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bidi w:val="0"/>
        <w:ind w:leftChars="0"/>
        <w:jc w:val="both"/>
        <w:rPr>
          <w:color w:val="auto"/>
        </w:rPr>
      </w:pPr>
      <w:bookmarkStart w:id="735" w:name="_GoBack"/>
      <w:bookmarkEnd w:id="735"/>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left"/>
        <w:rPr>
          <w:color w:val="auto"/>
        </w:rPr>
      </w:pPr>
    </w:p>
    <w:p>
      <w:pPr>
        <w:jc w:val="center"/>
        <w:rPr>
          <w:color w:val="auto"/>
        </w:rPr>
      </w:pPr>
    </w:p>
    <w:p>
      <w:pPr>
        <w:pStyle w:val="31"/>
        <w:spacing w:line="480" w:lineRule="auto"/>
        <w:rPr>
          <w:rFonts w:hint="eastAsia" w:ascii="黑体" w:hAnsi="黑体" w:eastAsia="黑体"/>
          <w:b w:val="0"/>
          <w:bCs w:val="0"/>
          <w:color w:val="auto"/>
          <w:sz w:val="44"/>
          <w:szCs w:val="44"/>
          <w:lang w:eastAsia="zh-CN"/>
        </w:rPr>
      </w:pPr>
      <w:r>
        <w:rPr>
          <w:rFonts w:hint="eastAsia" w:ascii="黑体" w:hAnsi="黑体" w:eastAsia="黑体"/>
          <w:b w:val="0"/>
          <w:bCs w:val="0"/>
          <w:color w:val="auto"/>
          <w:sz w:val="44"/>
          <w:szCs w:val="44"/>
        </w:rPr>
        <w:t>大庆升平储气库工程</w:t>
      </w:r>
      <w:r>
        <w:rPr>
          <w:rFonts w:hint="eastAsia" w:ascii="黑体" w:hAnsi="黑体" w:eastAsia="黑体"/>
          <w:b w:val="0"/>
          <w:bCs w:val="0"/>
          <w:color w:val="auto"/>
          <w:sz w:val="44"/>
          <w:szCs w:val="44"/>
          <w:lang w:eastAsia="zh-CN"/>
        </w:rPr>
        <w:t>钻采工程</w:t>
      </w:r>
    </w:p>
    <w:p>
      <w:pPr>
        <w:pStyle w:val="26"/>
        <w:rPr>
          <w:color w:val="auto"/>
        </w:rPr>
      </w:pPr>
      <w:r>
        <w:rPr>
          <w:color w:val="auto"/>
        </w:rPr>
        <w:t>环境影响报告书</w:t>
      </w:r>
    </w:p>
    <w:p>
      <w:pPr>
        <w:jc w:val="left"/>
        <w:rPr>
          <w:iCs/>
          <w:color w:val="auto"/>
        </w:rPr>
      </w:pPr>
    </w:p>
    <w:p>
      <w:pPr>
        <w:spacing w:after="120" w:line="460" w:lineRule="exact"/>
        <w:jc w:val="left"/>
        <w:rPr>
          <w:iCs/>
          <w:color w:val="auto"/>
          <w:kern w:val="2"/>
          <w:lang w:val="zh-CN"/>
        </w:rPr>
      </w:pPr>
    </w:p>
    <w:p>
      <w:pPr>
        <w:spacing w:after="120" w:line="460" w:lineRule="exact"/>
        <w:jc w:val="left"/>
        <w:rPr>
          <w:iCs/>
          <w:color w:val="auto"/>
          <w:kern w:val="2"/>
          <w:lang w:val="zh-CN"/>
        </w:rPr>
      </w:pPr>
    </w:p>
    <w:p>
      <w:pPr>
        <w:spacing w:after="120" w:line="460" w:lineRule="exact"/>
        <w:jc w:val="left"/>
        <w:rPr>
          <w:iCs/>
          <w:color w:val="auto"/>
          <w:kern w:val="2"/>
        </w:rPr>
      </w:pPr>
    </w:p>
    <w:p>
      <w:pPr>
        <w:spacing w:after="120" w:line="460" w:lineRule="exact"/>
        <w:jc w:val="left"/>
        <w:rPr>
          <w:iCs/>
          <w:color w:val="auto"/>
          <w:kern w:val="2"/>
        </w:rPr>
      </w:pPr>
    </w:p>
    <w:p>
      <w:pPr>
        <w:spacing w:after="120" w:line="460" w:lineRule="exact"/>
        <w:jc w:val="left"/>
        <w:rPr>
          <w:iCs/>
          <w:color w:val="auto"/>
          <w:kern w:val="2"/>
        </w:rPr>
      </w:pPr>
    </w:p>
    <w:p>
      <w:pPr>
        <w:spacing w:after="120" w:line="460" w:lineRule="exact"/>
        <w:jc w:val="left"/>
        <w:rPr>
          <w:i/>
          <w:iCs/>
          <w:color w:val="auto"/>
          <w:kern w:val="2"/>
          <w:lang w:val="zh-CN"/>
        </w:rPr>
      </w:pPr>
    </w:p>
    <w:p>
      <w:pPr>
        <w:spacing w:after="120" w:line="460" w:lineRule="exact"/>
        <w:jc w:val="left"/>
        <w:rPr>
          <w:i/>
          <w:iCs/>
          <w:color w:val="auto"/>
          <w:kern w:val="2"/>
        </w:rPr>
      </w:pPr>
    </w:p>
    <w:p>
      <w:pPr>
        <w:spacing w:after="120" w:line="460" w:lineRule="exact"/>
        <w:jc w:val="left"/>
        <w:rPr>
          <w:i/>
          <w:iCs/>
          <w:color w:val="auto"/>
          <w:kern w:val="2"/>
        </w:rPr>
      </w:pPr>
    </w:p>
    <w:p>
      <w:pPr>
        <w:pStyle w:val="58"/>
        <w:ind w:firstLine="600" w:firstLineChars="200"/>
        <w:jc w:val="left"/>
        <w:rPr>
          <w:rFonts w:hint="default"/>
          <w:color w:val="auto"/>
          <w:lang w:val="en-US" w:eastAsia="zh-CN"/>
        </w:rPr>
      </w:pPr>
      <w:r>
        <w:rPr>
          <w:rFonts w:hint="eastAsia"/>
          <w:color w:val="auto"/>
          <w:lang w:val="en-US" w:eastAsia="zh-CN"/>
        </w:rPr>
        <w:t>环评单位：大庆恒安评价检测有限公司</w:t>
      </w:r>
    </w:p>
    <w:p>
      <w:pPr>
        <w:pStyle w:val="58"/>
        <w:ind w:firstLine="600" w:firstLineChars="200"/>
        <w:jc w:val="left"/>
        <w:rPr>
          <w:rFonts w:hint="default" w:eastAsia="黑体"/>
          <w:color w:val="auto"/>
          <w:lang w:val="en-US" w:eastAsia="zh-CN"/>
        </w:rPr>
      </w:pPr>
      <w:r>
        <w:rPr>
          <w:color w:val="auto"/>
        </w:rPr>
        <w:t>建设单位：</w:t>
      </w:r>
      <w:r>
        <w:rPr>
          <w:rFonts w:hint="eastAsia"/>
          <w:color w:val="auto"/>
        </w:rPr>
        <w:t>大庆油田</w:t>
      </w:r>
      <w:r>
        <w:rPr>
          <w:color w:val="auto"/>
        </w:rPr>
        <w:t>有限责任公司</w:t>
      </w:r>
      <w:r>
        <w:rPr>
          <w:rFonts w:hint="eastAsia"/>
          <w:color w:val="auto"/>
          <w:lang w:val="en-US" w:eastAsia="zh-CN"/>
        </w:rPr>
        <w:t>采气分公司（储气库分公司）</w:t>
      </w:r>
    </w:p>
    <w:p>
      <w:pPr>
        <w:pStyle w:val="58"/>
        <w:rPr>
          <w:color w:val="auto"/>
        </w:rPr>
      </w:pPr>
    </w:p>
    <w:p>
      <w:pPr>
        <w:pStyle w:val="60"/>
        <w:bidi w:val="0"/>
        <w:rPr>
          <w:color w:val="auto"/>
        </w:rPr>
      </w:pPr>
      <w:r>
        <w:rPr>
          <w:color w:val="auto"/>
        </w:rPr>
        <w:t>2022年</w:t>
      </w:r>
      <w:r>
        <w:rPr>
          <w:rFonts w:hint="eastAsia"/>
          <w:color w:val="auto"/>
          <w:lang w:val="en-US" w:eastAsia="zh-CN"/>
        </w:rPr>
        <w:t>8</w:t>
      </w:r>
      <w:r>
        <w:rPr>
          <w:color w:val="auto"/>
        </w:rPr>
        <w:t>月</w:t>
      </w:r>
    </w:p>
    <w:p>
      <w:pPr>
        <w:rPr>
          <w:color w:val="auto"/>
        </w:rPr>
      </w:pPr>
    </w:p>
    <w:p>
      <w:pPr>
        <w:ind w:firstLine="420"/>
        <w:rPr>
          <w:rFonts w:cs="Times New Roman"/>
          <w:color w:val="auto"/>
          <w:kern w:val="2"/>
        </w:rPr>
      </w:pPr>
    </w:p>
    <w:p>
      <w:pPr>
        <w:ind w:firstLine="420"/>
        <w:rPr>
          <w:rFonts w:cs="Times New Roman"/>
          <w:color w:val="auto"/>
          <w:kern w:val="2"/>
        </w:rPr>
      </w:pPr>
    </w:p>
    <w:p>
      <w:pPr>
        <w:ind w:firstLine="420"/>
        <w:rPr>
          <w:rFonts w:cs="Times New Roman"/>
          <w:color w:val="auto"/>
          <w:kern w:val="2"/>
        </w:rPr>
      </w:pPr>
    </w:p>
    <w:p>
      <w:pPr>
        <w:widowControl/>
        <w:jc w:val="left"/>
        <w:rPr>
          <w:rFonts w:cs="Times New Roman"/>
          <w:color w:val="auto"/>
          <w:kern w:val="2"/>
        </w:rPr>
      </w:pPr>
      <w:r>
        <w:rPr>
          <w:rFonts w:cs="Times New Roman"/>
          <w:color w:val="auto"/>
          <w:kern w:val="2"/>
        </w:rPr>
        <w:br w:type="page"/>
      </w:r>
    </w:p>
    <w:p>
      <w:pPr>
        <w:ind w:firstLine="420"/>
        <w:rPr>
          <w:rFonts w:cs="Times New Roman"/>
          <w:color w:val="auto"/>
          <w:kern w:val="2"/>
        </w:rPr>
      </w:pPr>
    </w:p>
    <w:p>
      <w:pPr>
        <w:widowControl/>
        <w:jc w:val="left"/>
        <w:rPr>
          <w:rFonts w:cs="Times New Roman"/>
          <w:color w:val="auto"/>
          <w:kern w:val="2"/>
        </w:rPr>
      </w:pPr>
      <w:r>
        <w:rPr>
          <w:rFonts w:cs="Times New Roman"/>
          <w:color w:val="auto"/>
          <w:kern w:val="2"/>
        </w:rPr>
        <w:br w:type="page"/>
      </w:r>
    </w:p>
    <w:p>
      <w:pPr>
        <w:adjustRightInd w:val="0"/>
        <w:snapToGrid w:val="0"/>
        <w:jc w:val="center"/>
        <w:rPr>
          <w:b/>
          <w:bCs/>
          <w:color w:val="auto"/>
          <w:kern w:val="44"/>
          <w:sz w:val="28"/>
          <w:szCs w:val="28"/>
        </w:rPr>
      </w:pPr>
      <w:r>
        <w:rPr>
          <w:b/>
          <w:bCs/>
          <w:color w:val="auto"/>
          <w:kern w:val="44"/>
          <w:sz w:val="28"/>
          <w:szCs w:val="28"/>
        </w:rPr>
        <w:t>目      录</w:t>
      </w:r>
    </w:p>
    <w:p>
      <w:pPr>
        <w:adjustRightInd w:val="0"/>
        <w:snapToGrid w:val="0"/>
        <w:jc w:val="center"/>
        <w:rPr>
          <w:b/>
          <w:bCs/>
          <w:color w:val="auto"/>
          <w:kern w:val="44"/>
          <w:sz w:val="28"/>
          <w:szCs w:val="28"/>
        </w:rPr>
      </w:pP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TOC \o "1-2" \h \z \u </w:instrText>
      </w:r>
      <w:r>
        <w:rPr>
          <w:color w:val="auto"/>
          <w:sz w:val="28"/>
          <w:szCs w:val="28"/>
        </w:rPr>
        <w:fldChar w:fldCharType="separate"/>
      </w:r>
      <w:r>
        <w:rPr>
          <w:color w:val="auto"/>
          <w:sz w:val="28"/>
          <w:szCs w:val="28"/>
        </w:rPr>
        <w:fldChar w:fldCharType="begin"/>
      </w:r>
      <w:r>
        <w:rPr>
          <w:color w:val="auto"/>
          <w:sz w:val="28"/>
          <w:szCs w:val="28"/>
        </w:rPr>
        <w:instrText xml:space="preserve"> HYPERLINK \l _Toc12844 </w:instrText>
      </w:r>
      <w:r>
        <w:rPr>
          <w:color w:val="auto"/>
          <w:sz w:val="28"/>
          <w:szCs w:val="28"/>
        </w:rPr>
        <w:fldChar w:fldCharType="separate"/>
      </w:r>
      <w:r>
        <w:rPr>
          <w:rFonts w:hint="default"/>
          <w:color w:val="auto"/>
          <w:sz w:val="28"/>
          <w:szCs w:val="28"/>
        </w:rPr>
        <w:t xml:space="preserve">1. </w:t>
      </w:r>
      <w:r>
        <w:rPr>
          <w:color w:val="auto"/>
          <w:sz w:val="28"/>
          <w:szCs w:val="28"/>
        </w:rPr>
        <w:t>概  述</w:t>
      </w:r>
      <w:r>
        <w:rPr>
          <w:color w:val="auto"/>
          <w:sz w:val="28"/>
          <w:szCs w:val="28"/>
        </w:rPr>
        <w:tab/>
      </w:r>
      <w:r>
        <w:rPr>
          <w:color w:val="auto"/>
          <w:sz w:val="28"/>
          <w:szCs w:val="28"/>
        </w:rPr>
        <w:fldChar w:fldCharType="begin"/>
      </w:r>
      <w:r>
        <w:rPr>
          <w:color w:val="auto"/>
          <w:sz w:val="28"/>
          <w:szCs w:val="28"/>
        </w:rPr>
        <w:instrText xml:space="preserve"> PAGEREF _Toc12844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_Toc20365 </w:instrText>
      </w:r>
      <w:r>
        <w:rPr>
          <w:color w:val="auto"/>
          <w:sz w:val="28"/>
          <w:szCs w:val="28"/>
        </w:rPr>
        <w:fldChar w:fldCharType="separate"/>
      </w:r>
      <w:r>
        <w:rPr>
          <w:rFonts w:hint="default"/>
          <w:color w:val="auto"/>
          <w:sz w:val="28"/>
          <w:szCs w:val="28"/>
        </w:rPr>
        <w:t xml:space="preserve">1.1. </w:t>
      </w:r>
      <w:r>
        <w:rPr>
          <w:color w:val="auto"/>
          <w:sz w:val="28"/>
          <w:szCs w:val="28"/>
        </w:rPr>
        <w:t>建设项目由来</w:t>
      </w:r>
      <w:r>
        <w:rPr>
          <w:color w:val="auto"/>
          <w:sz w:val="28"/>
          <w:szCs w:val="28"/>
        </w:rPr>
        <w:tab/>
      </w:r>
      <w:r>
        <w:rPr>
          <w:color w:val="auto"/>
          <w:sz w:val="28"/>
          <w:szCs w:val="28"/>
        </w:rPr>
        <w:fldChar w:fldCharType="begin"/>
      </w:r>
      <w:r>
        <w:rPr>
          <w:color w:val="auto"/>
          <w:sz w:val="28"/>
          <w:szCs w:val="28"/>
        </w:rPr>
        <w:instrText xml:space="preserve"> PAGEREF _Toc20365 \h </w:instrText>
      </w:r>
      <w:r>
        <w:rPr>
          <w:color w:val="auto"/>
          <w:sz w:val="28"/>
          <w:szCs w:val="28"/>
        </w:rPr>
        <w:fldChar w:fldCharType="separate"/>
      </w:r>
      <w:r>
        <w:rPr>
          <w:color w:val="auto"/>
          <w:sz w:val="28"/>
          <w:szCs w:val="28"/>
        </w:rPr>
        <w:t>1</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_Toc17208 </w:instrText>
      </w:r>
      <w:r>
        <w:rPr>
          <w:color w:val="auto"/>
          <w:sz w:val="28"/>
          <w:szCs w:val="28"/>
        </w:rPr>
        <w:fldChar w:fldCharType="separate"/>
      </w:r>
      <w:r>
        <w:rPr>
          <w:rFonts w:hint="default"/>
          <w:color w:val="auto"/>
          <w:sz w:val="28"/>
          <w:szCs w:val="28"/>
        </w:rPr>
        <w:t xml:space="preserve">1.2. </w:t>
      </w:r>
      <w:r>
        <w:rPr>
          <w:rFonts w:hint="eastAsia"/>
          <w:color w:val="auto"/>
          <w:sz w:val="28"/>
          <w:szCs w:val="28"/>
        </w:rPr>
        <w:t>项目</w:t>
      </w:r>
      <w:r>
        <w:rPr>
          <w:color w:val="auto"/>
          <w:sz w:val="28"/>
          <w:szCs w:val="28"/>
        </w:rPr>
        <w:t>特点</w:t>
      </w:r>
      <w:r>
        <w:rPr>
          <w:color w:val="auto"/>
          <w:sz w:val="28"/>
          <w:szCs w:val="28"/>
        </w:rPr>
        <w:tab/>
      </w:r>
      <w:r>
        <w:rPr>
          <w:color w:val="auto"/>
          <w:sz w:val="28"/>
          <w:szCs w:val="28"/>
        </w:rPr>
        <w:fldChar w:fldCharType="begin"/>
      </w:r>
      <w:r>
        <w:rPr>
          <w:color w:val="auto"/>
          <w:sz w:val="28"/>
          <w:szCs w:val="28"/>
        </w:rPr>
        <w:instrText xml:space="preserve"> PAGEREF _Toc17208 \h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_Toc6850 </w:instrText>
      </w:r>
      <w:r>
        <w:rPr>
          <w:color w:val="auto"/>
          <w:sz w:val="28"/>
          <w:szCs w:val="28"/>
        </w:rPr>
        <w:fldChar w:fldCharType="separate"/>
      </w:r>
      <w:r>
        <w:rPr>
          <w:rFonts w:hint="default"/>
          <w:color w:val="auto"/>
          <w:sz w:val="28"/>
          <w:szCs w:val="28"/>
        </w:rPr>
        <w:t xml:space="preserve">1.3. </w:t>
      </w:r>
      <w:r>
        <w:rPr>
          <w:color w:val="auto"/>
          <w:sz w:val="28"/>
          <w:szCs w:val="28"/>
        </w:rPr>
        <w:t>环境影响评价工作过程</w:t>
      </w:r>
      <w:r>
        <w:rPr>
          <w:color w:val="auto"/>
          <w:sz w:val="28"/>
          <w:szCs w:val="28"/>
        </w:rPr>
        <w:tab/>
      </w:r>
      <w:r>
        <w:rPr>
          <w:color w:val="auto"/>
          <w:sz w:val="28"/>
          <w:szCs w:val="28"/>
        </w:rPr>
        <w:fldChar w:fldCharType="begin"/>
      </w:r>
      <w:r>
        <w:rPr>
          <w:color w:val="auto"/>
          <w:sz w:val="28"/>
          <w:szCs w:val="28"/>
        </w:rPr>
        <w:instrText xml:space="preserve"> PAGEREF _Toc6850 \h </w:instrText>
      </w:r>
      <w:r>
        <w:rPr>
          <w:color w:val="auto"/>
          <w:sz w:val="28"/>
          <w:szCs w:val="28"/>
        </w:rPr>
        <w:fldChar w:fldCharType="separate"/>
      </w:r>
      <w:r>
        <w:rPr>
          <w:color w:val="auto"/>
          <w:sz w:val="28"/>
          <w:szCs w:val="28"/>
        </w:rPr>
        <w:t>4</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_Toc31415 </w:instrText>
      </w:r>
      <w:r>
        <w:rPr>
          <w:color w:val="auto"/>
          <w:sz w:val="28"/>
          <w:szCs w:val="28"/>
        </w:rPr>
        <w:fldChar w:fldCharType="separate"/>
      </w:r>
      <w:r>
        <w:rPr>
          <w:rFonts w:hint="default"/>
          <w:color w:val="auto"/>
          <w:sz w:val="28"/>
          <w:szCs w:val="28"/>
        </w:rPr>
        <w:t xml:space="preserve">1.4. </w:t>
      </w:r>
      <w:r>
        <w:rPr>
          <w:color w:val="auto"/>
          <w:sz w:val="28"/>
          <w:szCs w:val="28"/>
        </w:rPr>
        <w:t>分析判定相关情况</w:t>
      </w:r>
      <w:r>
        <w:rPr>
          <w:color w:val="auto"/>
          <w:sz w:val="28"/>
          <w:szCs w:val="28"/>
        </w:rPr>
        <w:tab/>
      </w:r>
      <w:r>
        <w:rPr>
          <w:color w:val="auto"/>
          <w:sz w:val="28"/>
          <w:szCs w:val="28"/>
        </w:rPr>
        <w:fldChar w:fldCharType="begin"/>
      </w:r>
      <w:r>
        <w:rPr>
          <w:color w:val="auto"/>
          <w:sz w:val="28"/>
          <w:szCs w:val="28"/>
        </w:rPr>
        <w:instrText xml:space="preserve"> PAGEREF _Toc31415 \h </w:instrText>
      </w:r>
      <w:r>
        <w:rPr>
          <w:color w:val="auto"/>
          <w:sz w:val="28"/>
          <w:szCs w:val="28"/>
        </w:rPr>
        <w:fldChar w:fldCharType="separate"/>
      </w:r>
      <w:r>
        <w:rPr>
          <w:color w:val="auto"/>
          <w:sz w:val="28"/>
          <w:szCs w:val="28"/>
        </w:rPr>
        <w:t>6</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_Toc27792 </w:instrText>
      </w:r>
      <w:r>
        <w:rPr>
          <w:color w:val="auto"/>
          <w:sz w:val="28"/>
          <w:szCs w:val="28"/>
        </w:rPr>
        <w:fldChar w:fldCharType="separate"/>
      </w:r>
      <w:r>
        <w:rPr>
          <w:color w:val="auto"/>
          <w:sz w:val="28"/>
          <w:szCs w:val="28"/>
        </w:rPr>
        <w:t>1.5关注的主要环境问题及环境影响</w:t>
      </w:r>
      <w:r>
        <w:rPr>
          <w:color w:val="auto"/>
          <w:sz w:val="28"/>
          <w:szCs w:val="28"/>
        </w:rPr>
        <w:tab/>
      </w:r>
      <w:r>
        <w:rPr>
          <w:color w:val="auto"/>
          <w:sz w:val="28"/>
          <w:szCs w:val="28"/>
        </w:rPr>
        <w:fldChar w:fldCharType="begin"/>
      </w:r>
      <w:r>
        <w:rPr>
          <w:color w:val="auto"/>
          <w:sz w:val="28"/>
          <w:szCs w:val="28"/>
        </w:rPr>
        <w:instrText xml:space="preserve"> PAGEREF _Toc27792 \h </w:instrText>
      </w:r>
      <w:r>
        <w:rPr>
          <w:color w:val="auto"/>
          <w:sz w:val="28"/>
          <w:szCs w:val="28"/>
        </w:rPr>
        <w:fldChar w:fldCharType="separate"/>
      </w:r>
      <w:r>
        <w:rPr>
          <w:color w:val="auto"/>
          <w:sz w:val="28"/>
          <w:szCs w:val="28"/>
        </w:rPr>
        <w:t>25</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_Toc20875 </w:instrText>
      </w:r>
      <w:r>
        <w:rPr>
          <w:color w:val="auto"/>
          <w:sz w:val="28"/>
          <w:szCs w:val="28"/>
        </w:rPr>
        <w:fldChar w:fldCharType="separate"/>
      </w:r>
      <w:r>
        <w:rPr>
          <w:color w:val="auto"/>
          <w:sz w:val="28"/>
          <w:szCs w:val="28"/>
        </w:rPr>
        <w:t>1.6环境影响评价的主要结论</w:t>
      </w:r>
      <w:r>
        <w:rPr>
          <w:color w:val="auto"/>
          <w:sz w:val="28"/>
          <w:szCs w:val="28"/>
        </w:rPr>
        <w:tab/>
      </w:r>
      <w:r>
        <w:rPr>
          <w:color w:val="auto"/>
          <w:sz w:val="28"/>
          <w:szCs w:val="28"/>
        </w:rPr>
        <w:fldChar w:fldCharType="begin"/>
      </w:r>
      <w:r>
        <w:rPr>
          <w:color w:val="auto"/>
          <w:sz w:val="28"/>
          <w:szCs w:val="28"/>
        </w:rPr>
        <w:instrText xml:space="preserve"> PAGEREF _Toc20875 \h </w:instrText>
      </w:r>
      <w:r>
        <w:rPr>
          <w:color w:val="auto"/>
          <w:sz w:val="28"/>
          <w:szCs w:val="28"/>
        </w:rPr>
        <w:fldChar w:fldCharType="separate"/>
      </w:r>
      <w:r>
        <w:rPr>
          <w:color w:val="auto"/>
          <w:sz w:val="28"/>
          <w:szCs w:val="28"/>
        </w:rPr>
        <w:t>28</w:t>
      </w:r>
      <w:r>
        <w:rPr>
          <w:color w:val="auto"/>
          <w:sz w:val="28"/>
          <w:szCs w:val="28"/>
        </w:rPr>
        <w:fldChar w:fldCharType="end"/>
      </w:r>
      <w:r>
        <w:rPr>
          <w:color w:val="auto"/>
          <w:sz w:val="28"/>
          <w:szCs w:val="28"/>
        </w:rPr>
        <w:fldChar w:fldCharType="end"/>
      </w: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HYPERLINK \l _Toc25589 </w:instrText>
      </w:r>
      <w:r>
        <w:rPr>
          <w:color w:val="auto"/>
          <w:sz w:val="28"/>
          <w:szCs w:val="28"/>
        </w:rPr>
        <w:fldChar w:fldCharType="separate"/>
      </w:r>
      <w:r>
        <w:rPr>
          <w:rFonts w:hint="default"/>
          <w:color w:val="auto"/>
          <w:sz w:val="28"/>
          <w:szCs w:val="28"/>
        </w:rPr>
        <w:t xml:space="preserve">2. </w:t>
      </w:r>
      <w:r>
        <w:rPr>
          <w:color w:val="auto"/>
          <w:sz w:val="28"/>
          <w:szCs w:val="28"/>
        </w:rPr>
        <w:t>总  则</w:t>
      </w:r>
      <w:r>
        <w:rPr>
          <w:color w:val="auto"/>
          <w:sz w:val="28"/>
          <w:szCs w:val="28"/>
        </w:rPr>
        <w:tab/>
      </w:r>
      <w:r>
        <w:rPr>
          <w:color w:val="auto"/>
          <w:sz w:val="28"/>
          <w:szCs w:val="28"/>
        </w:rPr>
        <w:fldChar w:fldCharType="begin"/>
      </w:r>
      <w:r>
        <w:rPr>
          <w:color w:val="auto"/>
          <w:sz w:val="28"/>
          <w:szCs w:val="28"/>
        </w:rPr>
        <w:instrText xml:space="preserve"> PAGEREF _Toc25589 \h </w:instrText>
      </w:r>
      <w:r>
        <w:rPr>
          <w:color w:val="auto"/>
          <w:sz w:val="28"/>
          <w:szCs w:val="28"/>
        </w:rPr>
        <w:fldChar w:fldCharType="separate"/>
      </w:r>
      <w:r>
        <w:rPr>
          <w:color w:val="auto"/>
          <w:sz w:val="28"/>
          <w:szCs w:val="28"/>
        </w:rPr>
        <w:t>29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_Toc21978 </w:instrText>
      </w:r>
      <w:r>
        <w:rPr>
          <w:color w:val="auto"/>
          <w:sz w:val="28"/>
          <w:szCs w:val="28"/>
        </w:rPr>
        <w:fldChar w:fldCharType="separate"/>
      </w:r>
      <w:r>
        <w:rPr>
          <w:rFonts w:hint="default"/>
          <w:color w:val="auto"/>
          <w:sz w:val="28"/>
          <w:szCs w:val="28"/>
        </w:rPr>
        <w:t xml:space="preserve">2.1. </w:t>
      </w:r>
      <w:r>
        <w:rPr>
          <w:rFonts w:eastAsia="宋体"/>
          <w:color w:val="auto"/>
          <w:sz w:val="28"/>
          <w:szCs w:val="28"/>
        </w:rPr>
        <w:t>编制依据</w:t>
      </w:r>
      <w:r>
        <w:rPr>
          <w:color w:val="auto"/>
          <w:sz w:val="28"/>
          <w:szCs w:val="28"/>
        </w:rPr>
        <w:tab/>
      </w:r>
      <w:r>
        <w:rPr>
          <w:color w:val="auto"/>
          <w:sz w:val="28"/>
          <w:szCs w:val="28"/>
        </w:rPr>
        <w:fldChar w:fldCharType="begin"/>
      </w:r>
      <w:r>
        <w:rPr>
          <w:color w:val="auto"/>
          <w:sz w:val="28"/>
          <w:szCs w:val="28"/>
        </w:rPr>
        <w:instrText xml:space="preserve"> PAGEREF _Toc21978 \h </w:instrText>
      </w:r>
      <w:r>
        <w:rPr>
          <w:color w:val="auto"/>
          <w:sz w:val="28"/>
          <w:szCs w:val="28"/>
        </w:rPr>
        <w:fldChar w:fldCharType="separate"/>
      </w:r>
      <w:r>
        <w:rPr>
          <w:color w:val="auto"/>
          <w:sz w:val="28"/>
          <w:szCs w:val="28"/>
        </w:rPr>
        <w:t>29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_Toc32047 </w:instrText>
      </w:r>
      <w:r>
        <w:rPr>
          <w:color w:val="auto"/>
          <w:sz w:val="28"/>
          <w:szCs w:val="28"/>
        </w:rPr>
        <w:fldChar w:fldCharType="separate"/>
      </w:r>
      <w:r>
        <w:rPr>
          <w:rFonts w:hint="default"/>
          <w:color w:val="auto"/>
          <w:sz w:val="28"/>
          <w:szCs w:val="28"/>
        </w:rPr>
        <w:t xml:space="preserve">2.2. </w:t>
      </w:r>
      <w:r>
        <w:rPr>
          <w:color w:val="auto"/>
          <w:sz w:val="28"/>
          <w:szCs w:val="28"/>
        </w:rPr>
        <w:t>评价目的及原则</w:t>
      </w:r>
      <w:r>
        <w:rPr>
          <w:color w:val="auto"/>
          <w:sz w:val="28"/>
          <w:szCs w:val="28"/>
        </w:rPr>
        <w:tab/>
      </w:r>
      <w:r>
        <w:rPr>
          <w:color w:val="auto"/>
          <w:sz w:val="28"/>
          <w:szCs w:val="28"/>
        </w:rPr>
        <w:fldChar w:fldCharType="begin"/>
      </w:r>
      <w:r>
        <w:rPr>
          <w:color w:val="auto"/>
          <w:sz w:val="28"/>
          <w:szCs w:val="28"/>
        </w:rPr>
        <w:instrText xml:space="preserve"> PAGEREF _Toc32047 \h </w:instrText>
      </w:r>
      <w:r>
        <w:rPr>
          <w:color w:val="auto"/>
          <w:sz w:val="28"/>
          <w:szCs w:val="28"/>
        </w:rPr>
        <w:fldChar w:fldCharType="separate"/>
      </w:r>
      <w:r>
        <w:rPr>
          <w:color w:val="auto"/>
          <w:sz w:val="28"/>
          <w:szCs w:val="28"/>
        </w:rPr>
        <w:t>32</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_Toc26320 </w:instrText>
      </w:r>
      <w:r>
        <w:rPr>
          <w:color w:val="auto"/>
          <w:sz w:val="28"/>
          <w:szCs w:val="28"/>
        </w:rPr>
        <w:fldChar w:fldCharType="separate"/>
      </w:r>
      <w:r>
        <w:rPr>
          <w:rFonts w:hint="default"/>
          <w:color w:val="auto"/>
          <w:sz w:val="28"/>
          <w:szCs w:val="28"/>
        </w:rPr>
        <w:t xml:space="preserve">2.3. </w:t>
      </w:r>
      <w:r>
        <w:rPr>
          <w:color w:val="auto"/>
          <w:sz w:val="28"/>
          <w:szCs w:val="28"/>
        </w:rPr>
        <w:t>环境影响识别与评价因子筛选</w:t>
      </w:r>
      <w:r>
        <w:rPr>
          <w:color w:val="auto"/>
          <w:sz w:val="28"/>
          <w:szCs w:val="28"/>
        </w:rPr>
        <w:tab/>
      </w:r>
      <w:r>
        <w:rPr>
          <w:color w:val="auto"/>
          <w:sz w:val="28"/>
          <w:szCs w:val="28"/>
        </w:rPr>
        <w:fldChar w:fldCharType="begin"/>
      </w:r>
      <w:r>
        <w:rPr>
          <w:color w:val="auto"/>
          <w:sz w:val="28"/>
          <w:szCs w:val="28"/>
        </w:rPr>
        <w:instrText xml:space="preserve"> PAGEREF _Toc26320 \h </w:instrText>
      </w:r>
      <w:r>
        <w:rPr>
          <w:color w:val="auto"/>
          <w:sz w:val="28"/>
          <w:szCs w:val="28"/>
        </w:rPr>
        <w:fldChar w:fldCharType="separate"/>
      </w:r>
      <w:r>
        <w:rPr>
          <w:color w:val="auto"/>
          <w:sz w:val="28"/>
          <w:szCs w:val="28"/>
        </w:rPr>
        <w:t>33</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_Toc18179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2.4. </w:t>
      </w:r>
      <w:r>
        <w:rPr>
          <w:rFonts w:ascii="Times New Roman" w:hAnsi="宋体" w:eastAsia="宋体"/>
          <w:snapToGrid w:val="0"/>
          <w:color w:val="auto"/>
          <w:kern w:val="0"/>
          <w:sz w:val="28"/>
          <w:szCs w:val="28"/>
        </w:rPr>
        <w:t>环境功能区划及环境评价标准</w:t>
      </w:r>
      <w:r>
        <w:rPr>
          <w:color w:val="auto"/>
          <w:sz w:val="28"/>
          <w:szCs w:val="28"/>
        </w:rPr>
        <w:tab/>
      </w:r>
      <w:r>
        <w:rPr>
          <w:color w:val="auto"/>
          <w:sz w:val="28"/>
          <w:szCs w:val="28"/>
        </w:rPr>
        <w:fldChar w:fldCharType="begin"/>
      </w:r>
      <w:r>
        <w:rPr>
          <w:color w:val="auto"/>
          <w:sz w:val="28"/>
          <w:szCs w:val="28"/>
        </w:rPr>
        <w:instrText xml:space="preserve"> PAGEREF _Toc18179 \h </w:instrText>
      </w:r>
      <w:r>
        <w:rPr>
          <w:color w:val="auto"/>
          <w:sz w:val="28"/>
          <w:szCs w:val="28"/>
        </w:rPr>
        <w:fldChar w:fldCharType="separate"/>
      </w:r>
      <w:r>
        <w:rPr>
          <w:color w:val="auto"/>
          <w:sz w:val="28"/>
          <w:szCs w:val="28"/>
        </w:rPr>
        <w:t>35</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_Toc23386 </w:instrText>
      </w:r>
      <w:r>
        <w:rPr>
          <w:color w:val="auto"/>
          <w:sz w:val="28"/>
          <w:szCs w:val="28"/>
        </w:rPr>
        <w:fldChar w:fldCharType="separate"/>
      </w:r>
      <w:r>
        <w:rPr>
          <w:rFonts w:hint="default"/>
          <w:color w:val="auto"/>
          <w:sz w:val="28"/>
          <w:szCs w:val="28"/>
        </w:rPr>
        <w:t xml:space="preserve">2.5. </w:t>
      </w:r>
      <w:r>
        <w:rPr>
          <w:color w:val="auto"/>
          <w:sz w:val="28"/>
          <w:szCs w:val="28"/>
        </w:rPr>
        <w:t>环境评价标准</w:t>
      </w:r>
      <w:r>
        <w:rPr>
          <w:color w:val="auto"/>
          <w:sz w:val="28"/>
          <w:szCs w:val="28"/>
        </w:rPr>
        <w:tab/>
      </w:r>
      <w:r>
        <w:rPr>
          <w:color w:val="auto"/>
          <w:sz w:val="28"/>
          <w:szCs w:val="28"/>
        </w:rPr>
        <w:fldChar w:fldCharType="begin"/>
      </w:r>
      <w:r>
        <w:rPr>
          <w:color w:val="auto"/>
          <w:sz w:val="28"/>
          <w:szCs w:val="28"/>
        </w:rPr>
        <w:instrText xml:space="preserve"> PAGEREF _Toc23386 \h </w:instrText>
      </w:r>
      <w:r>
        <w:rPr>
          <w:color w:val="auto"/>
          <w:sz w:val="28"/>
          <w:szCs w:val="28"/>
        </w:rPr>
        <w:fldChar w:fldCharType="separate"/>
      </w:r>
      <w:r>
        <w:rPr>
          <w:color w:val="auto"/>
          <w:sz w:val="28"/>
          <w:szCs w:val="28"/>
        </w:rPr>
        <w:t>35</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_Toc6899 </w:instrText>
      </w:r>
      <w:r>
        <w:rPr>
          <w:color w:val="auto"/>
          <w:sz w:val="28"/>
          <w:szCs w:val="28"/>
        </w:rPr>
        <w:fldChar w:fldCharType="separate"/>
      </w:r>
      <w:r>
        <w:rPr>
          <w:rFonts w:hint="default"/>
          <w:color w:val="auto"/>
          <w:sz w:val="28"/>
          <w:szCs w:val="28"/>
        </w:rPr>
        <w:t xml:space="preserve">2.6. </w:t>
      </w:r>
      <w:r>
        <w:rPr>
          <w:color w:val="auto"/>
          <w:sz w:val="28"/>
          <w:szCs w:val="28"/>
        </w:rPr>
        <w:t>评价工作等级</w:t>
      </w:r>
      <w:r>
        <w:rPr>
          <w:color w:val="auto"/>
          <w:sz w:val="28"/>
          <w:szCs w:val="28"/>
        </w:rPr>
        <w:tab/>
      </w:r>
      <w:r>
        <w:rPr>
          <w:color w:val="auto"/>
          <w:sz w:val="28"/>
          <w:szCs w:val="28"/>
        </w:rPr>
        <w:fldChar w:fldCharType="begin"/>
      </w:r>
      <w:r>
        <w:rPr>
          <w:color w:val="auto"/>
          <w:sz w:val="28"/>
          <w:szCs w:val="28"/>
        </w:rPr>
        <w:instrText xml:space="preserve"> PAGEREF _Toc6899 \h </w:instrText>
      </w:r>
      <w:r>
        <w:rPr>
          <w:color w:val="auto"/>
          <w:sz w:val="28"/>
          <w:szCs w:val="28"/>
        </w:rPr>
        <w:fldChar w:fldCharType="separate"/>
      </w:r>
      <w:r>
        <w:rPr>
          <w:color w:val="auto"/>
          <w:sz w:val="28"/>
          <w:szCs w:val="28"/>
        </w:rPr>
        <w:t>40</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_Toc21496 </w:instrText>
      </w:r>
      <w:r>
        <w:rPr>
          <w:color w:val="auto"/>
          <w:sz w:val="28"/>
          <w:szCs w:val="28"/>
        </w:rPr>
        <w:fldChar w:fldCharType="separate"/>
      </w:r>
      <w:r>
        <w:rPr>
          <w:rFonts w:hint="default"/>
          <w:color w:val="auto"/>
          <w:sz w:val="28"/>
          <w:szCs w:val="28"/>
        </w:rPr>
        <w:t xml:space="preserve">2.7. </w:t>
      </w:r>
      <w:r>
        <w:rPr>
          <w:color w:val="auto"/>
          <w:sz w:val="28"/>
          <w:szCs w:val="28"/>
        </w:rPr>
        <w:t>评价范围及环境保护目标</w:t>
      </w:r>
      <w:r>
        <w:rPr>
          <w:color w:val="auto"/>
          <w:sz w:val="28"/>
          <w:szCs w:val="28"/>
        </w:rPr>
        <w:tab/>
      </w:r>
      <w:r>
        <w:rPr>
          <w:color w:val="auto"/>
          <w:sz w:val="28"/>
          <w:szCs w:val="28"/>
        </w:rPr>
        <w:fldChar w:fldCharType="begin"/>
      </w:r>
      <w:r>
        <w:rPr>
          <w:color w:val="auto"/>
          <w:sz w:val="28"/>
          <w:szCs w:val="28"/>
        </w:rPr>
        <w:instrText xml:space="preserve"> PAGEREF _Toc21496 \h </w:instrText>
      </w:r>
      <w:r>
        <w:rPr>
          <w:color w:val="auto"/>
          <w:sz w:val="28"/>
          <w:szCs w:val="28"/>
        </w:rPr>
        <w:fldChar w:fldCharType="separate"/>
      </w:r>
      <w:r>
        <w:rPr>
          <w:color w:val="auto"/>
          <w:sz w:val="28"/>
          <w:szCs w:val="28"/>
        </w:rPr>
        <w:t>45</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_Toc14439 </w:instrText>
      </w:r>
      <w:r>
        <w:rPr>
          <w:color w:val="auto"/>
          <w:sz w:val="28"/>
          <w:szCs w:val="28"/>
        </w:rPr>
        <w:fldChar w:fldCharType="separate"/>
      </w:r>
      <w:r>
        <w:rPr>
          <w:rFonts w:hint="default"/>
          <w:color w:val="auto"/>
          <w:sz w:val="28"/>
          <w:szCs w:val="28"/>
        </w:rPr>
        <w:t xml:space="preserve">2.8. </w:t>
      </w:r>
      <w:r>
        <w:rPr>
          <w:color w:val="auto"/>
          <w:sz w:val="28"/>
          <w:szCs w:val="28"/>
        </w:rPr>
        <w:t>评价工作内容及重点</w:t>
      </w:r>
      <w:r>
        <w:rPr>
          <w:color w:val="auto"/>
          <w:sz w:val="28"/>
          <w:szCs w:val="28"/>
        </w:rPr>
        <w:tab/>
      </w:r>
      <w:r>
        <w:rPr>
          <w:color w:val="auto"/>
          <w:sz w:val="28"/>
          <w:szCs w:val="28"/>
        </w:rPr>
        <w:fldChar w:fldCharType="begin"/>
      </w:r>
      <w:r>
        <w:rPr>
          <w:color w:val="auto"/>
          <w:sz w:val="28"/>
          <w:szCs w:val="28"/>
        </w:rPr>
        <w:instrText xml:space="preserve"> PAGEREF _Toc14439 \h </w:instrText>
      </w:r>
      <w:r>
        <w:rPr>
          <w:color w:val="auto"/>
          <w:sz w:val="28"/>
          <w:szCs w:val="28"/>
        </w:rPr>
        <w:fldChar w:fldCharType="separate"/>
      </w:r>
      <w:r>
        <w:rPr>
          <w:color w:val="auto"/>
          <w:sz w:val="28"/>
          <w:szCs w:val="28"/>
        </w:rPr>
        <w:t>48</w:t>
      </w:r>
      <w:r>
        <w:rPr>
          <w:color w:val="auto"/>
          <w:sz w:val="28"/>
          <w:szCs w:val="28"/>
        </w:rPr>
        <w:fldChar w:fldCharType="end"/>
      </w:r>
      <w:r>
        <w:rPr>
          <w:color w:val="auto"/>
          <w:sz w:val="28"/>
          <w:szCs w:val="28"/>
        </w:rPr>
        <w:fldChar w:fldCharType="end"/>
      </w: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HYPERLINK \l _Toc14292 </w:instrText>
      </w:r>
      <w:r>
        <w:rPr>
          <w:color w:val="auto"/>
          <w:sz w:val="28"/>
          <w:szCs w:val="28"/>
        </w:rPr>
        <w:fldChar w:fldCharType="separate"/>
      </w:r>
      <w:r>
        <w:rPr>
          <w:rFonts w:hint="default"/>
          <w:color w:val="auto"/>
          <w:sz w:val="28"/>
          <w:szCs w:val="28"/>
        </w:rPr>
        <w:t xml:space="preserve">3. </w:t>
      </w:r>
      <w:r>
        <w:rPr>
          <w:color w:val="auto"/>
          <w:sz w:val="28"/>
          <w:szCs w:val="28"/>
        </w:rPr>
        <w:t>建设项目工程分析</w:t>
      </w:r>
      <w:r>
        <w:rPr>
          <w:color w:val="auto"/>
          <w:sz w:val="28"/>
          <w:szCs w:val="28"/>
        </w:rPr>
        <w:tab/>
      </w:r>
      <w:r>
        <w:rPr>
          <w:color w:val="auto"/>
          <w:sz w:val="28"/>
          <w:szCs w:val="28"/>
        </w:rPr>
        <w:fldChar w:fldCharType="begin"/>
      </w:r>
      <w:r>
        <w:rPr>
          <w:color w:val="auto"/>
          <w:sz w:val="28"/>
          <w:szCs w:val="28"/>
        </w:rPr>
        <w:instrText xml:space="preserve"> PAGEREF _Toc14292 \h </w:instrText>
      </w:r>
      <w:r>
        <w:rPr>
          <w:color w:val="auto"/>
          <w:sz w:val="28"/>
          <w:szCs w:val="28"/>
        </w:rPr>
        <w:fldChar w:fldCharType="separate"/>
      </w:r>
      <w:r>
        <w:rPr>
          <w:color w:val="auto"/>
          <w:sz w:val="28"/>
          <w:szCs w:val="28"/>
        </w:rPr>
        <w:t>49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_Toc25043 </w:instrText>
      </w:r>
      <w:r>
        <w:rPr>
          <w:color w:val="auto"/>
          <w:sz w:val="28"/>
          <w:szCs w:val="28"/>
        </w:rPr>
        <w:fldChar w:fldCharType="separate"/>
      </w:r>
      <w:r>
        <w:rPr>
          <w:rFonts w:hint="default"/>
          <w:color w:val="auto"/>
          <w:sz w:val="28"/>
          <w:szCs w:val="28"/>
        </w:rPr>
        <w:t xml:space="preserve">3.1. </w:t>
      </w:r>
      <w:r>
        <w:rPr>
          <w:color w:val="auto"/>
          <w:sz w:val="28"/>
          <w:szCs w:val="28"/>
        </w:rPr>
        <w:t>拟建项目概况</w:t>
      </w:r>
      <w:r>
        <w:rPr>
          <w:color w:val="auto"/>
          <w:sz w:val="28"/>
          <w:szCs w:val="28"/>
        </w:rPr>
        <w:tab/>
      </w:r>
      <w:r>
        <w:rPr>
          <w:color w:val="auto"/>
          <w:sz w:val="28"/>
          <w:szCs w:val="28"/>
        </w:rPr>
        <w:fldChar w:fldCharType="begin"/>
      </w:r>
      <w:r>
        <w:rPr>
          <w:color w:val="auto"/>
          <w:sz w:val="28"/>
          <w:szCs w:val="28"/>
        </w:rPr>
        <w:instrText xml:space="preserve"> PAGEREF _Toc25043 \h </w:instrText>
      </w:r>
      <w:r>
        <w:rPr>
          <w:color w:val="auto"/>
          <w:sz w:val="28"/>
          <w:szCs w:val="28"/>
        </w:rPr>
        <w:fldChar w:fldCharType="separate"/>
      </w:r>
      <w:r>
        <w:rPr>
          <w:color w:val="auto"/>
          <w:sz w:val="28"/>
          <w:szCs w:val="28"/>
        </w:rPr>
        <w:t>49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_Toc8116 </w:instrText>
      </w:r>
      <w:r>
        <w:rPr>
          <w:color w:val="auto"/>
          <w:sz w:val="28"/>
          <w:szCs w:val="28"/>
        </w:rPr>
        <w:fldChar w:fldCharType="separate"/>
      </w:r>
      <w:r>
        <w:rPr>
          <w:rFonts w:hint="default"/>
          <w:color w:val="auto"/>
          <w:sz w:val="28"/>
          <w:szCs w:val="28"/>
        </w:rPr>
        <w:t xml:space="preserve">3.2. </w:t>
      </w:r>
      <w:r>
        <w:rPr>
          <w:color w:val="auto"/>
          <w:sz w:val="28"/>
          <w:szCs w:val="28"/>
        </w:rPr>
        <w:t>主要物料消耗</w:t>
      </w:r>
      <w:r>
        <w:rPr>
          <w:color w:val="auto"/>
          <w:sz w:val="28"/>
          <w:szCs w:val="28"/>
        </w:rPr>
        <w:tab/>
      </w:r>
      <w:r>
        <w:rPr>
          <w:color w:val="auto"/>
          <w:sz w:val="28"/>
          <w:szCs w:val="28"/>
        </w:rPr>
        <w:fldChar w:fldCharType="begin"/>
      </w:r>
      <w:r>
        <w:rPr>
          <w:color w:val="auto"/>
          <w:sz w:val="28"/>
          <w:szCs w:val="28"/>
        </w:rPr>
        <w:instrText xml:space="preserve"> PAGEREF _Toc8116 \h </w:instrText>
      </w:r>
      <w:r>
        <w:rPr>
          <w:color w:val="auto"/>
          <w:sz w:val="28"/>
          <w:szCs w:val="28"/>
        </w:rPr>
        <w:fldChar w:fldCharType="separate"/>
      </w:r>
      <w:r>
        <w:rPr>
          <w:color w:val="auto"/>
          <w:sz w:val="28"/>
          <w:szCs w:val="28"/>
        </w:rPr>
        <w:t>66</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_Toc21602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3.3. </w:t>
      </w:r>
      <w:r>
        <w:rPr>
          <w:rFonts w:ascii="Times New Roman" w:hAnsi="Times New Roman" w:eastAsia="宋体"/>
          <w:snapToGrid w:val="0"/>
          <w:color w:val="auto"/>
          <w:kern w:val="0"/>
          <w:sz w:val="28"/>
          <w:szCs w:val="28"/>
        </w:rPr>
        <w:t>场地布置及土地利用</w:t>
      </w:r>
      <w:r>
        <w:rPr>
          <w:color w:val="auto"/>
          <w:sz w:val="28"/>
          <w:szCs w:val="28"/>
        </w:rPr>
        <w:tab/>
      </w:r>
      <w:r>
        <w:rPr>
          <w:color w:val="auto"/>
          <w:sz w:val="28"/>
          <w:szCs w:val="28"/>
        </w:rPr>
        <w:fldChar w:fldCharType="begin"/>
      </w:r>
      <w:r>
        <w:rPr>
          <w:color w:val="auto"/>
          <w:sz w:val="28"/>
          <w:szCs w:val="28"/>
        </w:rPr>
        <w:instrText xml:space="preserve"> PAGEREF _Toc21602 \h </w:instrText>
      </w:r>
      <w:r>
        <w:rPr>
          <w:color w:val="auto"/>
          <w:sz w:val="28"/>
          <w:szCs w:val="28"/>
        </w:rPr>
        <w:fldChar w:fldCharType="separate"/>
      </w:r>
      <w:r>
        <w:rPr>
          <w:color w:val="auto"/>
          <w:sz w:val="28"/>
          <w:szCs w:val="28"/>
        </w:rPr>
        <w:t>67</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_Toc17813 </w:instrText>
      </w:r>
      <w:r>
        <w:rPr>
          <w:color w:val="auto"/>
          <w:sz w:val="28"/>
          <w:szCs w:val="28"/>
        </w:rPr>
        <w:fldChar w:fldCharType="separate"/>
      </w:r>
      <w:r>
        <w:rPr>
          <w:rFonts w:hint="default"/>
          <w:color w:val="auto"/>
          <w:sz w:val="28"/>
          <w:szCs w:val="28"/>
        </w:rPr>
        <w:t xml:space="preserve">3.4. </w:t>
      </w:r>
      <w:r>
        <w:rPr>
          <w:color w:val="auto"/>
          <w:sz w:val="28"/>
          <w:szCs w:val="28"/>
        </w:rPr>
        <w:t>依托工程</w:t>
      </w:r>
      <w:r>
        <w:rPr>
          <w:rFonts w:hint="eastAsia"/>
          <w:color w:val="auto"/>
          <w:sz w:val="28"/>
          <w:szCs w:val="28"/>
        </w:rPr>
        <w:t>可行性</w:t>
      </w:r>
      <w:r>
        <w:rPr>
          <w:color w:val="auto"/>
          <w:sz w:val="28"/>
          <w:szCs w:val="28"/>
        </w:rPr>
        <w:t>分析</w:t>
      </w:r>
      <w:r>
        <w:rPr>
          <w:color w:val="auto"/>
          <w:sz w:val="28"/>
          <w:szCs w:val="28"/>
        </w:rPr>
        <w:tab/>
      </w:r>
      <w:r>
        <w:rPr>
          <w:color w:val="auto"/>
          <w:sz w:val="28"/>
          <w:szCs w:val="28"/>
        </w:rPr>
        <w:fldChar w:fldCharType="begin"/>
      </w:r>
      <w:r>
        <w:rPr>
          <w:color w:val="auto"/>
          <w:sz w:val="28"/>
          <w:szCs w:val="28"/>
        </w:rPr>
        <w:instrText xml:space="preserve"> PAGEREF _Toc17813 \h </w:instrText>
      </w:r>
      <w:r>
        <w:rPr>
          <w:color w:val="auto"/>
          <w:sz w:val="28"/>
          <w:szCs w:val="28"/>
        </w:rPr>
        <w:fldChar w:fldCharType="separate"/>
      </w:r>
      <w:r>
        <w:rPr>
          <w:color w:val="auto"/>
          <w:sz w:val="28"/>
          <w:szCs w:val="28"/>
        </w:rPr>
        <w:t>69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_Toc30131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3.5. </w:t>
      </w:r>
      <w:r>
        <w:rPr>
          <w:rFonts w:ascii="Times New Roman" w:hAnsi="Times New Roman" w:eastAsia="宋体"/>
          <w:snapToGrid w:val="0"/>
          <w:color w:val="auto"/>
          <w:kern w:val="0"/>
          <w:sz w:val="28"/>
          <w:szCs w:val="28"/>
        </w:rPr>
        <w:t>影响因素分析</w:t>
      </w:r>
      <w:r>
        <w:rPr>
          <w:color w:val="auto"/>
          <w:sz w:val="28"/>
          <w:szCs w:val="28"/>
        </w:rPr>
        <w:tab/>
      </w:r>
      <w:r>
        <w:rPr>
          <w:color w:val="auto"/>
          <w:sz w:val="28"/>
          <w:szCs w:val="28"/>
        </w:rPr>
        <w:fldChar w:fldCharType="begin"/>
      </w:r>
      <w:r>
        <w:rPr>
          <w:color w:val="auto"/>
          <w:sz w:val="28"/>
          <w:szCs w:val="28"/>
        </w:rPr>
        <w:instrText xml:space="preserve"> PAGEREF _Toc30131 \h </w:instrText>
      </w:r>
      <w:r>
        <w:rPr>
          <w:color w:val="auto"/>
          <w:sz w:val="28"/>
          <w:szCs w:val="28"/>
        </w:rPr>
        <w:fldChar w:fldCharType="separate"/>
      </w:r>
      <w:r>
        <w:rPr>
          <w:color w:val="auto"/>
          <w:sz w:val="28"/>
          <w:szCs w:val="28"/>
        </w:rPr>
        <w:t>71</w:t>
      </w:r>
      <w:r>
        <w:rPr>
          <w:color w:val="auto"/>
          <w:sz w:val="28"/>
          <w:szCs w:val="28"/>
        </w:rPr>
        <w:fldChar w:fldCharType="end"/>
      </w:r>
      <w:r>
        <w:rPr>
          <w:color w:val="auto"/>
          <w:sz w:val="28"/>
          <w:szCs w:val="28"/>
        </w:rPr>
        <w:fldChar w:fldCharType="end"/>
      </w: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HYPERLINK \l _Toc1509 </w:instrText>
      </w:r>
      <w:r>
        <w:rPr>
          <w:color w:val="auto"/>
          <w:sz w:val="28"/>
          <w:szCs w:val="28"/>
        </w:rPr>
        <w:fldChar w:fldCharType="separate"/>
      </w:r>
      <w:r>
        <w:rPr>
          <w:rFonts w:hint="default"/>
          <w:color w:val="auto"/>
          <w:sz w:val="28"/>
          <w:szCs w:val="28"/>
        </w:rPr>
        <w:t xml:space="preserve">4. </w:t>
      </w:r>
      <w:r>
        <w:rPr>
          <w:color w:val="auto"/>
          <w:sz w:val="28"/>
          <w:szCs w:val="28"/>
        </w:rPr>
        <w:t>环境现状调查与评价</w:t>
      </w:r>
      <w:r>
        <w:rPr>
          <w:color w:val="auto"/>
          <w:sz w:val="28"/>
          <w:szCs w:val="28"/>
        </w:rPr>
        <w:tab/>
      </w:r>
      <w:r>
        <w:rPr>
          <w:color w:val="auto"/>
          <w:sz w:val="28"/>
          <w:szCs w:val="28"/>
        </w:rPr>
        <w:fldChar w:fldCharType="begin"/>
      </w:r>
      <w:r>
        <w:rPr>
          <w:color w:val="auto"/>
          <w:sz w:val="28"/>
          <w:szCs w:val="28"/>
        </w:rPr>
        <w:instrText xml:space="preserve"> PAGEREF _Toc1509 \h </w:instrText>
      </w:r>
      <w:r>
        <w:rPr>
          <w:color w:val="auto"/>
          <w:sz w:val="28"/>
          <w:szCs w:val="28"/>
        </w:rPr>
        <w:fldChar w:fldCharType="separate"/>
      </w:r>
      <w:r>
        <w:rPr>
          <w:color w:val="auto"/>
          <w:sz w:val="28"/>
          <w:szCs w:val="28"/>
        </w:rPr>
        <w:t>83</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_Toc12446 </w:instrText>
      </w:r>
      <w:r>
        <w:rPr>
          <w:color w:val="auto"/>
          <w:sz w:val="28"/>
          <w:szCs w:val="28"/>
        </w:rPr>
        <w:fldChar w:fldCharType="separate"/>
      </w:r>
      <w:r>
        <w:rPr>
          <w:rFonts w:hint="default"/>
          <w:color w:val="auto"/>
          <w:sz w:val="28"/>
          <w:szCs w:val="28"/>
        </w:rPr>
        <w:t xml:space="preserve">4.1. </w:t>
      </w:r>
      <w:r>
        <w:rPr>
          <w:color w:val="auto"/>
          <w:sz w:val="28"/>
          <w:szCs w:val="28"/>
        </w:rPr>
        <w:t>自然环境现状调查</w:t>
      </w:r>
      <w:r>
        <w:rPr>
          <w:color w:val="auto"/>
          <w:sz w:val="28"/>
          <w:szCs w:val="28"/>
        </w:rPr>
        <w:tab/>
      </w:r>
      <w:r>
        <w:rPr>
          <w:color w:val="auto"/>
          <w:sz w:val="28"/>
          <w:szCs w:val="28"/>
        </w:rPr>
        <w:fldChar w:fldCharType="begin"/>
      </w:r>
      <w:r>
        <w:rPr>
          <w:color w:val="auto"/>
          <w:sz w:val="28"/>
          <w:szCs w:val="28"/>
        </w:rPr>
        <w:instrText xml:space="preserve"> PAGEREF _Toc12446 \h </w:instrText>
      </w:r>
      <w:r>
        <w:rPr>
          <w:color w:val="auto"/>
          <w:sz w:val="28"/>
          <w:szCs w:val="28"/>
        </w:rPr>
        <w:fldChar w:fldCharType="separate"/>
      </w:r>
      <w:r>
        <w:rPr>
          <w:color w:val="auto"/>
          <w:sz w:val="28"/>
          <w:szCs w:val="28"/>
        </w:rPr>
        <w:t>83</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_Toc10162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4.2. </w:t>
      </w:r>
      <w:r>
        <w:rPr>
          <w:rFonts w:ascii="Times New Roman" w:hAnsi="宋体" w:eastAsia="宋体"/>
          <w:snapToGrid w:val="0"/>
          <w:color w:val="auto"/>
          <w:kern w:val="0"/>
          <w:sz w:val="28"/>
          <w:szCs w:val="28"/>
        </w:rPr>
        <w:t>环境保护目标调查</w:t>
      </w:r>
      <w:r>
        <w:rPr>
          <w:color w:val="auto"/>
          <w:sz w:val="28"/>
          <w:szCs w:val="28"/>
        </w:rPr>
        <w:tab/>
      </w:r>
      <w:r>
        <w:rPr>
          <w:color w:val="auto"/>
          <w:sz w:val="28"/>
          <w:szCs w:val="28"/>
        </w:rPr>
        <w:fldChar w:fldCharType="begin"/>
      </w:r>
      <w:r>
        <w:rPr>
          <w:color w:val="auto"/>
          <w:sz w:val="28"/>
          <w:szCs w:val="28"/>
        </w:rPr>
        <w:instrText xml:space="preserve"> PAGEREF _Toc10162 \h </w:instrText>
      </w:r>
      <w:r>
        <w:rPr>
          <w:color w:val="auto"/>
          <w:sz w:val="28"/>
          <w:szCs w:val="28"/>
        </w:rPr>
        <w:fldChar w:fldCharType="separate"/>
      </w:r>
      <w:r>
        <w:rPr>
          <w:color w:val="auto"/>
          <w:sz w:val="28"/>
          <w:szCs w:val="28"/>
        </w:rPr>
        <w:t>87</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_Toc298 </w:instrText>
      </w:r>
      <w:r>
        <w:rPr>
          <w:color w:val="auto"/>
          <w:sz w:val="28"/>
          <w:szCs w:val="28"/>
        </w:rPr>
        <w:fldChar w:fldCharType="separate"/>
      </w:r>
      <w:r>
        <w:rPr>
          <w:rFonts w:hint="default"/>
          <w:color w:val="auto"/>
          <w:sz w:val="28"/>
          <w:szCs w:val="28"/>
        </w:rPr>
        <w:t xml:space="preserve">4.3. </w:t>
      </w:r>
      <w:r>
        <w:rPr>
          <w:color w:val="auto"/>
          <w:sz w:val="28"/>
          <w:szCs w:val="28"/>
        </w:rPr>
        <w:t>环境质量现状调查与评价</w:t>
      </w:r>
      <w:r>
        <w:rPr>
          <w:color w:val="auto"/>
          <w:sz w:val="28"/>
          <w:szCs w:val="28"/>
        </w:rPr>
        <w:tab/>
      </w:r>
      <w:r>
        <w:rPr>
          <w:color w:val="auto"/>
          <w:sz w:val="28"/>
          <w:szCs w:val="28"/>
        </w:rPr>
        <w:fldChar w:fldCharType="begin"/>
      </w:r>
      <w:r>
        <w:rPr>
          <w:color w:val="auto"/>
          <w:sz w:val="28"/>
          <w:szCs w:val="28"/>
        </w:rPr>
        <w:instrText xml:space="preserve"> PAGEREF _Toc298 \h </w:instrText>
      </w:r>
      <w:r>
        <w:rPr>
          <w:color w:val="auto"/>
          <w:sz w:val="28"/>
          <w:szCs w:val="28"/>
        </w:rPr>
        <w:fldChar w:fldCharType="separate"/>
      </w:r>
      <w:r>
        <w:rPr>
          <w:color w:val="auto"/>
          <w:sz w:val="28"/>
          <w:szCs w:val="28"/>
        </w:rPr>
        <w:t>87</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_Toc2900 </w:instrText>
      </w:r>
      <w:r>
        <w:rPr>
          <w:color w:val="auto"/>
          <w:sz w:val="28"/>
          <w:szCs w:val="28"/>
        </w:rPr>
        <w:fldChar w:fldCharType="separate"/>
      </w:r>
      <w:r>
        <w:rPr>
          <w:rFonts w:hint="default"/>
          <w:snapToGrid w:val="0"/>
          <w:color w:val="auto"/>
          <w:kern w:val="0"/>
          <w:sz w:val="28"/>
          <w:szCs w:val="28"/>
        </w:rPr>
        <w:t xml:space="preserve">4.4. </w:t>
      </w:r>
      <w:r>
        <w:rPr>
          <w:rFonts w:hAnsi="宋体"/>
          <w:snapToGrid w:val="0"/>
          <w:color w:val="auto"/>
          <w:kern w:val="0"/>
          <w:sz w:val="28"/>
          <w:szCs w:val="28"/>
        </w:rPr>
        <w:t>区域污染源调查</w:t>
      </w:r>
      <w:r>
        <w:rPr>
          <w:color w:val="auto"/>
          <w:sz w:val="28"/>
          <w:szCs w:val="28"/>
        </w:rPr>
        <w:tab/>
      </w:r>
      <w:r>
        <w:rPr>
          <w:color w:val="auto"/>
          <w:sz w:val="28"/>
          <w:szCs w:val="28"/>
        </w:rPr>
        <w:fldChar w:fldCharType="begin"/>
      </w:r>
      <w:r>
        <w:rPr>
          <w:color w:val="auto"/>
          <w:sz w:val="28"/>
          <w:szCs w:val="28"/>
        </w:rPr>
        <w:instrText xml:space="preserve"> PAGEREF _Toc2900 \h </w:instrText>
      </w:r>
      <w:r>
        <w:rPr>
          <w:color w:val="auto"/>
          <w:sz w:val="28"/>
          <w:szCs w:val="28"/>
        </w:rPr>
        <w:fldChar w:fldCharType="separate"/>
      </w:r>
      <w:r>
        <w:rPr>
          <w:color w:val="auto"/>
          <w:sz w:val="28"/>
          <w:szCs w:val="28"/>
        </w:rPr>
        <w:t>106</w:t>
      </w:r>
      <w:r>
        <w:rPr>
          <w:color w:val="auto"/>
          <w:sz w:val="28"/>
          <w:szCs w:val="28"/>
        </w:rPr>
        <w:fldChar w:fldCharType="end"/>
      </w:r>
      <w:r>
        <w:rPr>
          <w:color w:val="auto"/>
          <w:sz w:val="28"/>
          <w:szCs w:val="28"/>
        </w:rPr>
        <w:fldChar w:fldCharType="end"/>
      </w: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HYPERLINK \l _Toc28946 </w:instrText>
      </w:r>
      <w:r>
        <w:rPr>
          <w:color w:val="auto"/>
          <w:sz w:val="28"/>
          <w:szCs w:val="28"/>
        </w:rPr>
        <w:fldChar w:fldCharType="separate"/>
      </w:r>
      <w:r>
        <w:rPr>
          <w:rFonts w:hint="default"/>
          <w:color w:val="auto"/>
          <w:sz w:val="28"/>
          <w:szCs w:val="28"/>
        </w:rPr>
        <w:t xml:space="preserve">5. </w:t>
      </w:r>
      <w:r>
        <w:rPr>
          <w:color w:val="auto"/>
          <w:sz w:val="28"/>
          <w:szCs w:val="28"/>
        </w:rPr>
        <w:t>环境影响预测与评价</w:t>
      </w:r>
      <w:r>
        <w:rPr>
          <w:color w:val="auto"/>
          <w:sz w:val="28"/>
          <w:szCs w:val="28"/>
        </w:rPr>
        <w:tab/>
      </w:r>
      <w:r>
        <w:rPr>
          <w:color w:val="auto"/>
          <w:sz w:val="28"/>
          <w:szCs w:val="28"/>
        </w:rPr>
        <w:fldChar w:fldCharType="begin"/>
      </w:r>
      <w:r>
        <w:rPr>
          <w:color w:val="auto"/>
          <w:sz w:val="28"/>
          <w:szCs w:val="28"/>
        </w:rPr>
        <w:instrText xml:space="preserve"> PAGEREF _Toc28946 \h </w:instrText>
      </w:r>
      <w:r>
        <w:rPr>
          <w:color w:val="auto"/>
          <w:sz w:val="28"/>
          <w:szCs w:val="28"/>
        </w:rPr>
        <w:fldChar w:fldCharType="separate"/>
      </w:r>
      <w:r>
        <w:rPr>
          <w:color w:val="auto"/>
          <w:sz w:val="28"/>
          <w:szCs w:val="28"/>
        </w:rPr>
        <w:t>107</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_Toc6998 </w:instrText>
      </w:r>
      <w:r>
        <w:rPr>
          <w:color w:val="auto"/>
          <w:sz w:val="28"/>
          <w:szCs w:val="28"/>
        </w:rPr>
        <w:fldChar w:fldCharType="separate"/>
      </w:r>
      <w:r>
        <w:rPr>
          <w:rFonts w:hint="default"/>
          <w:color w:val="auto"/>
          <w:sz w:val="28"/>
          <w:szCs w:val="28"/>
        </w:rPr>
        <w:t xml:space="preserve">5.1. </w:t>
      </w:r>
      <w:r>
        <w:rPr>
          <w:color w:val="auto"/>
          <w:sz w:val="28"/>
          <w:szCs w:val="28"/>
        </w:rPr>
        <w:t>环境空气影响预测与评价</w:t>
      </w:r>
      <w:r>
        <w:rPr>
          <w:color w:val="auto"/>
          <w:sz w:val="28"/>
          <w:szCs w:val="28"/>
        </w:rPr>
        <w:tab/>
      </w:r>
      <w:r>
        <w:rPr>
          <w:color w:val="auto"/>
          <w:sz w:val="28"/>
          <w:szCs w:val="28"/>
        </w:rPr>
        <w:fldChar w:fldCharType="begin"/>
      </w:r>
      <w:r>
        <w:rPr>
          <w:color w:val="auto"/>
          <w:sz w:val="28"/>
          <w:szCs w:val="28"/>
        </w:rPr>
        <w:instrText xml:space="preserve"> PAGEREF _Toc6998 \h </w:instrText>
      </w:r>
      <w:r>
        <w:rPr>
          <w:color w:val="auto"/>
          <w:sz w:val="28"/>
          <w:szCs w:val="28"/>
        </w:rPr>
        <w:fldChar w:fldCharType="separate"/>
      </w:r>
      <w:r>
        <w:rPr>
          <w:color w:val="auto"/>
          <w:sz w:val="28"/>
          <w:szCs w:val="28"/>
        </w:rPr>
        <w:t>107</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_Toc4488 </w:instrText>
      </w:r>
      <w:r>
        <w:rPr>
          <w:color w:val="auto"/>
          <w:sz w:val="28"/>
          <w:szCs w:val="28"/>
        </w:rPr>
        <w:fldChar w:fldCharType="separate"/>
      </w:r>
      <w:r>
        <w:rPr>
          <w:rFonts w:hint="default" w:ascii="宋体" w:cs="宋体"/>
          <w:color w:val="auto"/>
          <w:kern w:val="0"/>
          <w:sz w:val="28"/>
          <w:szCs w:val="28"/>
        </w:rPr>
        <w:t xml:space="preserve">5.2. </w:t>
      </w:r>
      <w:r>
        <w:rPr>
          <w:rFonts w:hint="eastAsia" w:ascii="Times New Roman" w:hAnsi="宋体" w:eastAsia="宋体"/>
          <w:snapToGrid w:val="0"/>
          <w:color w:val="auto"/>
          <w:kern w:val="0"/>
          <w:sz w:val="28"/>
          <w:szCs w:val="28"/>
        </w:rPr>
        <w:t>地表水环境影响分析</w:t>
      </w:r>
      <w:r>
        <w:rPr>
          <w:color w:val="auto"/>
          <w:sz w:val="28"/>
          <w:szCs w:val="28"/>
        </w:rPr>
        <w:tab/>
      </w:r>
      <w:r>
        <w:rPr>
          <w:color w:val="auto"/>
          <w:sz w:val="28"/>
          <w:szCs w:val="28"/>
        </w:rPr>
        <w:fldChar w:fldCharType="begin"/>
      </w:r>
      <w:r>
        <w:rPr>
          <w:color w:val="auto"/>
          <w:sz w:val="28"/>
          <w:szCs w:val="28"/>
        </w:rPr>
        <w:instrText xml:space="preserve"> PAGEREF _Toc4488 \h </w:instrText>
      </w:r>
      <w:r>
        <w:rPr>
          <w:color w:val="auto"/>
          <w:sz w:val="28"/>
          <w:szCs w:val="28"/>
        </w:rPr>
        <w:fldChar w:fldCharType="separate"/>
      </w:r>
      <w:r>
        <w:rPr>
          <w:color w:val="auto"/>
          <w:sz w:val="28"/>
          <w:szCs w:val="28"/>
        </w:rPr>
        <w:t>109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_Toc31140 </w:instrText>
      </w:r>
      <w:r>
        <w:rPr>
          <w:color w:val="auto"/>
          <w:sz w:val="28"/>
          <w:szCs w:val="28"/>
        </w:rPr>
        <w:fldChar w:fldCharType="separate"/>
      </w:r>
      <w:r>
        <w:rPr>
          <w:rFonts w:hint="default"/>
          <w:color w:val="auto"/>
          <w:sz w:val="28"/>
          <w:szCs w:val="28"/>
        </w:rPr>
        <w:t xml:space="preserve">5.3. </w:t>
      </w:r>
      <w:r>
        <w:rPr>
          <w:color w:val="auto"/>
          <w:sz w:val="28"/>
          <w:szCs w:val="28"/>
        </w:rPr>
        <w:t>地下水环境影响预测与评价</w:t>
      </w:r>
      <w:r>
        <w:rPr>
          <w:color w:val="auto"/>
          <w:sz w:val="28"/>
          <w:szCs w:val="28"/>
        </w:rPr>
        <w:tab/>
      </w:r>
      <w:r>
        <w:rPr>
          <w:color w:val="auto"/>
          <w:sz w:val="28"/>
          <w:szCs w:val="28"/>
        </w:rPr>
        <w:fldChar w:fldCharType="begin"/>
      </w:r>
      <w:r>
        <w:rPr>
          <w:color w:val="auto"/>
          <w:sz w:val="28"/>
          <w:szCs w:val="28"/>
        </w:rPr>
        <w:instrText xml:space="preserve"> PAGEREF _Toc31140 \h </w:instrText>
      </w:r>
      <w:r>
        <w:rPr>
          <w:color w:val="auto"/>
          <w:sz w:val="28"/>
          <w:szCs w:val="28"/>
        </w:rPr>
        <w:fldChar w:fldCharType="separate"/>
      </w:r>
      <w:r>
        <w:rPr>
          <w:color w:val="auto"/>
          <w:sz w:val="28"/>
          <w:szCs w:val="28"/>
        </w:rPr>
        <w:t>110</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_Toc9253 </w:instrText>
      </w:r>
      <w:r>
        <w:rPr>
          <w:color w:val="auto"/>
          <w:sz w:val="28"/>
          <w:szCs w:val="28"/>
        </w:rPr>
        <w:fldChar w:fldCharType="separate"/>
      </w:r>
      <w:r>
        <w:rPr>
          <w:rFonts w:hint="default"/>
          <w:color w:val="auto"/>
          <w:sz w:val="28"/>
          <w:szCs w:val="28"/>
        </w:rPr>
        <w:t xml:space="preserve">5.4. </w:t>
      </w:r>
      <w:r>
        <w:rPr>
          <w:color w:val="auto"/>
          <w:sz w:val="28"/>
          <w:szCs w:val="28"/>
        </w:rPr>
        <w:t>声环境影响预测与评价</w:t>
      </w:r>
      <w:r>
        <w:rPr>
          <w:color w:val="auto"/>
          <w:sz w:val="28"/>
          <w:szCs w:val="28"/>
        </w:rPr>
        <w:tab/>
      </w:r>
      <w:r>
        <w:rPr>
          <w:color w:val="auto"/>
          <w:sz w:val="28"/>
          <w:szCs w:val="28"/>
        </w:rPr>
        <w:fldChar w:fldCharType="begin"/>
      </w:r>
      <w:r>
        <w:rPr>
          <w:color w:val="auto"/>
          <w:sz w:val="28"/>
          <w:szCs w:val="28"/>
        </w:rPr>
        <w:instrText xml:space="preserve"> PAGEREF _Toc9253 \h </w:instrText>
      </w:r>
      <w:r>
        <w:rPr>
          <w:color w:val="auto"/>
          <w:sz w:val="28"/>
          <w:szCs w:val="28"/>
        </w:rPr>
        <w:fldChar w:fldCharType="separate"/>
      </w:r>
      <w:r>
        <w:rPr>
          <w:color w:val="auto"/>
          <w:sz w:val="28"/>
          <w:szCs w:val="28"/>
        </w:rPr>
        <w:t>112</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_Toc29526 </w:instrText>
      </w:r>
      <w:r>
        <w:rPr>
          <w:color w:val="auto"/>
          <w:sz w:val="28"/>
          <w:szCs w:val="28"/>
        </w:rPr>
        <w:fldChar w:fldCharType="separate"/>
      </w:r>
      <w:r>
        <w:rPr>
          <w:rFonts w:hint="default"/>
          <w:color w:val="auto"/>
          <w:sz w:val="28"/>
          <w:szCs w:val="28"/>
        </w:rPr>
        <w:t xml:space="preserve">5.5. </w:t>
      </w:r>
      <w:r>
        <w:rPr>
          <w:color w:val="auto"/>
          <w:sz w:val="28"/>
          <w:szCs w:val="28"/>
        </w:rPr>
        <w:t>固体废物环境影响分析</w:t>
      </w:r>
      <w:r>
        <w:rPr>
          <w:color w:val="auto"/>
          <w:sz w:val="28"/>
          <w:szCs w:val="28"/>
        </w:rPr>
        <w:tab/>
      </w:r>
      <w:r>
        <w:rPr>
          <w:color w:val="auto"/>
          <w:sz w:val="28"/>
          <w:szCs w:val="28"/>
        </w:rPr>
        <w:fldChar w:fldCharType="begin"/>
      </w:r>
      <w:r>
        <w:rPr>
          <w:color w:val="auto"/>
          <w:sz w:val="28"/>
          <w:szCs w:val="28"/>
        </w:rPr>
        <w:instrText xml:space="preserve"> PAGEREF _Toc29526 \h </w:instrText>
      </w:r>
      <w:r>
        <w:rPr>
          <w:color w:val="auto"/>
          <w:sz w:val="28"/>
          <w:szCs w:val="28"/>
        </w:rPr>
        <w:fldChar w:fldCharType="separate"/>
      </w:r>
      <w:r>
        <w:rPr>
          <w:color w:val="auto"/>
          <w:sz w:val="28"/>
          <w:szCs w:val="28"/>
        </w:rPr>
        <w:t>113</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_Toc29720 </w:instrText>
      </w:r>
      <w:r>
        <w:rPr>
          <w:color w:val="auto"/>
          <w:sz w:val="28"/>
          <w:szCs w:val="28"/>
        </w:rPr>
        <w:fldChar w:fldCharType="separate"/>
      </w:r>
      <w:r>
        <w:rPr>
          <w:rFonts w:hint="default"/>
          <w:color w:val="auto"/>
          <w:sz w:val="28"/>
          <w:szCs w:val="28"/>
        </w:rPr>
        <w:t xml:space="preserve">5.6. </w:t>
      </w:r>
      <w:r>
        <w:rPr>
          <w:color w:val="auto"/>
          <w:sz w:val="28"/>
          <w:szCs w:val="28"/>
        </w:rPr>
        <w:t>生态影响评价</w:t>
      </w:r>
      <w:r>
        <w:rPr>
          <w:color w:val="auto"/>
          <w:sz w:val="28"/>
          <w:szCs w:val="28"/>
        </w:rPr>
        <w:tab/>
      </w:r>
      <w:r>
        <w:rPr>
          <w:color w:val="auto"/>
          <w:sz w:val="28"/>
          <w:szCs w:val="28"/>
        </w:rPr>
        <w:fldChar w:fldCharType="begin"/>
      </w:r>
      <w:r>
        <w:rPr>
          <w:color w:val="auto"/>
          <w:sz w:val="28"/>
          <w:szCs w:val="28"/>
        </w:rPr>
        <w:instrText xml:space="preserve"> PAGEREF _Toc29720 \h </w:instrText>
      </w:r>
      <w:r>
        <w:rPr>
          <w:color w:val="auto"/>
          <w:sz w:val="28"/>
          <w:szCs w:val="28"/>
        </w:rPr>
        <w:fldChar w:fldCharType="separate"/>
      </w:r>
      <w:r>
        <w:rPr>
          <w:color w:val="auto"/>
          <w:sz w:val="28"/>
          <w:szCs w:val="28"/>
        </w:rPr>
        <w:t>116</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_Toc22405 </w:instrText>
      </w:r>
      <w:r>
        <w:rPr>
          <w:color w:val="auto"/>
          <w:sz w:val="28"/>
          <w:szCs w:val="28"/>
        </w:rPr>
        <w:fldChar w:fldCharType="separate"/>
      </w:r>
      <w:r>
        <w:rPr>
          <w:rFonts w:hint="default"/>
          <w:color w:val="auto"/>
          <w:sz w:val="28"/>
          <w:szCs w:val="28"/>
        </w:rPr>
        <w:t xml:space="preserve">5.7. </w:t>
      </w:r>
      <w:r>
        <w:rPr>
          <w:color w:val="auto"/>
          <w:sz w:val="28"/>
          <w:szCs w:val="28"/>
        </w:rPr>
        <w:t>土壤环境影响预测与评价</w:t>
      </w:r>
      <w:r>
        <w:rPr>
          <w:color w:val="auto"/>
          <w:sz w:val="28"/>
          <w:szCs w:val="28"/>
        </w:rPr>
        <w:tab/>
      </w:r>
      <w:r>
        <w:rPr>
          <w:color w:val="auto"/>
          <w:sz w:val="28"/>
          <w:szCs w:val="28"/>
        </w:rPr>
        <w:fldChar w:fldCharType="begin"/>
      </w:r>
      <w:r>
        <w:rPr>
          <w:color w:val="auto"/>
          <w:sz w:val="28"/>
          <w:szCs w:val="28"/>
        </w:rPr>
        <w:instrText xml:space="preserve"> PAGEREF _Toc22405 \h </w:instrText>
      </w:r>
      <w:r>
        <w:rPr>
          <w:color w:val="auto"/>
          <w:sz w:val="28"/>
          <w:szCs w:val="28"/>
        </w:rPr>
        <w:fldChar w:fldCharType="separate"/>
      </w:r>
      <w:r>
        <w:rPr>
          <w:color w:val="auto"/>
          <w:sz w:val="28"/>
          <w:szCs w:val="28"/>
        </w:rPr>
        <w:t>118</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_Toc10774 </w:instrText>
      </w:r>
      <w:r>
        <w:rPr>
          <w:color w:val="auto"/>
          <w:sz w:val="28"/>
          <w:szCs w:val="28"/>
        </w:rPr>
        <w:fldChar w:fldCharType="separate"/>
      </w:r>
      <w:r>
        <w:rPr>
          <w:rFonts w:hint="default"/>
          <w:color w:val="auto"/>
          <w:sz w:val="28"/>
          <w:szCs w:val="28"/>
        </w:rPr>
        <w:t xml:space="preserve">5.8. </w:t>
      </w:r>
      <w:r>
        <w:rPr>
          <w:color w:val="auto"/>
          <w:sz w:val="28"/>
          <w:szCs w:val="28"/>
        </w:rPr>
        <w:t>环境风险分析</w:t>
      </w:r>
      <w:r>
        <w:rPr>
          <w:color w:val="auto"/>
          <w:sz w:val="28"/>
          <w:szCs w:val="28"/>
        </w:rPr>
        <w:tab/>
      </w:r>
      <w:r>
        <w:rPr>
          <w:color w:val="auto"/>
          <w:sz w:val="28"/>
          <w:szCs w:val="28"/>
        </w:rPr>
        <w:fldChar w:fldCharType="begin"/>
      </w:r>
      <w:r>
        <w:rPr>
          <w:color w:val="auto"/>
          <w:sz w:val="28"/>
          <w:szCs w:val="28"/>
        </w:rPr>
        <w:instrText xml:space="preserve"> PAGEREF _Toc10774 \h </w:instrText>
      </w:r>
      <w:r>
        <w:rPr>
          <w:color w:val="auto"/>
          <w:sz w:val="28"/>
          <w:szCs w:val="28"/>
        </w:rPr>
        <w:fldChar w:fldCharType="separate"/>
      </w:r>
      <w:r>
        <w:rPr>
          <w:color w:val="auto"/>
          <w:sz w:val="28"/>
          <w:szCs w:val="28"/>
        </w:rPr>
        <w:t>119</w:t>
      </w:r>
      <w:r>
        <w:rPr>
          <w:color w:val="auto"/>
          <w:sz w:val="28"/>
          <w:szCs w:val="28"/>
        </w:rPr>
        <w:fldChar w:fldCharType="end"/>
      </w:r>
      <w:r>
        <w:rPr>
          <w:color w:val="auto"/>
          <w:sz w:val="28"/>
          <w:szCs w:val="28"/>
        </w:rPr>
        <w:fldChar w:fldCharType="end"/>
      </w: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HYPERLINK \l _Toc29195 </w:instrText>
      </w:r>
      <w:r>
        <w:rPr>
          <w:color w:val="auto"/>
          <w:sz w:val="28"/>
          <w:szCs w:val="28"/>
        </w:rPr>
        <w:fldChar w:fldCharType="separate"/>
      </w:r>
      <w:r>
        <w:rPr>
          <w:rFonts w:hint="default"/>
          <w:color w:val="auto"/>
          <w:sz w:val="28"/>
          <w:szCs w:val="28"/>
        </w:rPr>
        <w:t xml:space="preserve">6. </w:t>
      </w:r>
      <w:r>
        <w:rPr>
          <w:color w:val="auto"/>
          <w:sz w:val="28"/>
          <w:szCs w:val="28"/>
        </w:rPr>
        <w:t>环境保护措施及可行性论证</w:t>
      </w:r>
      <w:r>
        <w:rPr>
          <w:color w:val="auto"/>
          <w:sz w:val="28"/>
          <w:szCs w:val="28"/>
        </w:rPr>
        <w:tab/>
      </w:r>
      <w:r>
        <w:rPr>
          <w:color w:val="auto"/>
          <w:sz w:val="28"/>
          <w:szCs w:val="28"/>
        </w:rPr>
        <w:fldChar w:fldCharType="begin"/>
      </w:r>
      <w:r>
        <w:rPr>
          <w:color w:val="auto"/>
          <w:sz w:val="28"/>
          <w:szCs w:val="28"/>
        </w:rPr>
        <w:instrText xml:space="preserve"> PAGEREF _Toc29195 \h </w:instrText>
      </w:r>
      <w:r>
        <w:rPr>
          <w:color w:val="auto"/>
          <w:sz w:val="28"/>
          <w:szCs w:val="28"/>
        </w:rPr>
        <w:fldChar w:fldCharType="separate"/>
      </w:r>
      <w:r>
        <w:rPr>
          <w:color w:val="auto"/>
          <w:sz w:val="28"/>
          <w:szCs w:val="28"/>
        </w:rPr>
        <w:t>129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_Toc30882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6.1. </w:t>
      </w:r>
      <w:r>
        <w:rPr>
          <w:rFonts w:ascii="Times New Roman" w:hAnsi="宋体" w:eastAsia="宋体"/>
          <w:snapToGrid w:val="0"/>
          <w:color w:val="auto"/>
          <w:kern w:val="0"/>
          <w:sz w:val="28"/>
          <w:szCs w:val="28"/>
        </w:rPr>
        <w:t>污染防治措施</w:t>
      </w:r>
      <w:r>
        <w:rPr>
          <w:color w:val="auto"/>
          <w:sz w:val="28"/>
          <w:szCs w:val="28"/>
        </w:rPr>
        <w:tab/>
      </w:r>
      <w:r>
        <w:rPr>
          <w:color w:val="auto"/>
          <w:sz w:val="28"/>
          <w:szCs w:val="28"/>
        </w:rPr>
        <w:fldChar w:fldCharType="begin"/>
      </w:r>
      <w:r>
        <w:rPr>
          <w:color w:val="auto"/>
          <w:sz w:val="28"/>
          <w:szCs w:val="28"/>
        </w:rPr>
        <w:instrText xml:space="preserve"> PAGEREF _Toc30882 \h </w:instrText>
      </w:r>
      <w:r>
        <w:rPr>
          <w:color w:val="auto"/>
          <w:sz w:val="28"/>
          <w:szCs w:val="28"/>
        </w:rPr>
        <w:fldChar w:fldCharType="separate"/>
      </w:r>
      <w:r>
        <w:rPr>
          <w:color w:val="auto"/>
          <w:sz w:val="28"/>
          <w:szCs w:val="28"/>
        </w:rPr>
        <w:t>129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_Toc12586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6.2. </w:t>
      </w:r>
      <w:r>
        <w:rPr>
          <w:rFonts w:ascii="Times New Roman" w:hAnsi="Times New Roman" w:eastAsia="宋体"/>
          <w:snapToGrid w:val="0"/>
          <w:color w:val="auto"/>
          <w:kern w:val="0"/>
          <w:sz w:val="28"/>
          <w:szCs w:val="28"/>
        </w:rPr>
        <w:t>“</w:t>
      </w:r>
      <w:r>
        <w:rPr>
          <w:rFonts w:ascii="Times New Roman" w:hAnsi="宋体" w:eastAsia="宋体"/>
          <w:snapToGrid w:val="0"/>
          <w:color w:val="auto"/>
          <w:kern w:val="0"/>
          <w:sz w:val="28"/>
          <w:szCs w:val="28"/>
        </w:rPr>
        <w:t>三同时</w:t>
      </w:r>
      <w:r>
        <w:rPr>
          <w:rFonts w:ascii="Times New Roman" w:hAnsi="Times New Roman" w:eastAsia="宋体"/>
          <w:snapToGrid w:val="0"/>
          <w:color w:val="auto"/>
          <w:kern w:val="0"/>
          <w:sz w:val="28"/>
          <w:szCs w:val="28"/>
        </w:rPr>
        <w:t>”</w:t>
      </w:r>
      <w:r>
        <w:rPr>
          <w:rFonts w:ascii="Times New Roman" w:hAnsi="宋体" w:eastAsia="宋体"/>
          <w:snapToGrid w:val="0"/>
          <w:color w:val="auto"/>
          <w:kern w:val="0"/>
          <w:sz w:val="28"/>
          <w:szCs w:val="28"/>
        </w:rPr>
        <w:t>项目一览表</w:t>
      </w:r>
      <w:r>
        <w:rPr>
          <w:color w:val="auto"/>
          <w:sz w:val="28"/>
          <w:szCs w:val="28"/>
        </w:rPr>
        <w:tab/>
      </w:r>
      <w:r>
        <w:rPr>
          <w:color w:val="auto"/>
          <w:sz w:val="28"/>
          <w:szCs w:val="28"/>
        </w:rPr>
        <w:fldChar w:fldCharType="begin"/>
      </w:r>
      <w:r>
        <w:rPr>
          <w:color w:val="auto"/>
          <w:sz w:val="28"/>
          <w:szCs w:val="28"/>
        </w:rPr>
        <w:instrText xml:space="preserve"> PAGEREF _Toc12586 \h </w:instrText>
      </w:r>
      <w:r>
        <w:rPr>
          <w:color w:val="auto"/>
          <w:sz w:val="28"/>
          <w:szCs w:val="28"/>
        </w:rPr>
        <w:fldChar w:fldCharType="separate"/>
      </w:r>
      <w:r>
        <w:rPr>
          <w:color w:val="auto"/>
          <w:sz w:val="28"/>
          <w:szCs w:val="28"/>
        </w:rPr>
        <w:t>148</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_Toc11163 </w:instrText>
      </w:r>
      <w:r>
        <w:rPr>
          <w:color w:val="auto"/>
          <w:sz w:val="28"/>
          <w:szCs w:val="28"/>
        </w:rPr>
        <w:fldChar w:fldCharType="separate"/>
      </w:r>
      <w:r>
        <w:rPr>
          <w:rFonts w:hint="default"/>
          <w:color w:val="auto"/>
          <w:sz w:val="28"/>
          <w:szCs w:val="28"/>
        </w:rPr>
        <w:t xml:space="preserve">6.3. </w:t>
      </w:r>
      <w:r>
        <w:rPr>
          <w:color w:val="auto"/>
          <w:sz w:val="28"/>
          <w:szCs w:val="28"/>
        </w:rPr>
        <w:t>环保投资估算</w:t>
      </w:r>
      <w:r>
        <w:rPr>
          <w:color w:val="auto"/>
          <w:sz w:val="28"/>
          <w:szCs w:val="28"/>
        </w:rPr>
        <w:tab/>
      </w:r>
      <w:r>
        <w:rPr>
          <w:color w:val="auto"/>
          <w:sz w:val="28"/>
          <w:szCs w:val="28"/>
        </w:rPr>
        <w:fldChar w:fldCharType="begin"/>
      </w:r>
      <w:r>
        <w:rPr>
          <w:color w:val="auto"/>
          <w:sz w:val="28"/>
          <w:szCs w:val="28"/>
        </w:rPr>
        <w:instrText xml:space="preserve"> PAGEREF _Toc11163 \h </w:instrText>
      </w:r>
      <w:r>
        <w:rPr>
          <w:color w:val="auto"/>
          <w:sz w:val="28"/>
          <w:szCs w:val="28"/>
        </w:rPr>
        <w:fldChar w:fldCharType="separate"/>
      </w:r>
      <w:r>
        <w:rPr>
          <w:color w:val="auto"/>
          <w:sz w:val="28"/>
          <w:szCs w:val="28"/>
        </w:rPr>
        <w:t>149</w:t>
      </w:r>
      <w:r>
        <w:rPr>
          <w:color w:val="auto"/>
          <w:sz w:val="28"/>
          <w:szCs w:val="28"/>
        </w:rPr>
        <w:fldChar w:fldCharType="end"/>
      </w:r>
      <w:r>
        <w:rPr>
          <w:color w:val="auto"/>
          <w:sz w:val="28"/>
          <w:szCs w:val="28"/>
        </w:rPr>
        <w:fldChar w:fldCharType="end"/>
      </w: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HYPERLINK \l _Toc30048 </w:instrText>
      </w:r>
      <w:r>
        <w:rPr>
          <w:color w:val="auto"/>
          <w:sz w:val="28"/>
          <w:szCs w:val="28"/>
        </w:rPr>
        <w:fldChar w:fldCharType="separate"/>
      </w:r>
      <w:r>
        <w:rPr>
          <w:rFonts w:hint="default"/>
          <w:color w:val="auto"/>
          <w:sz w:val="28"/>
          <w:szCs w:val="28"/>
        </w:rPr>
        <w:t xml:space="preserve">7. </w:t>
      </w:r>
      <w:r>
        <w:rPr>
          <w:color w:val="auto"/>
          <w:sz w:val="28"/>
          <w:szCs w:val="28"/>
        </w:rPr>
        <w:t>环境影响经济损益分析</w:t>
      </w:r>
      <w:r>
        <w:rPr>
          <w:color w:val="auto"/>
          <w:sz w:val="28"/>
          <w:szCs w:val="28"/>
        </w:rPr>
        <w:tab/>
      </w:r>
      <w:r>
        <w:rPr>
          <w:color w:val="auto"/>
          <w:sz w:val="28"/>
          <w:szCs w:val="28"/>
        </w:rPr>
        <w:fldChar w:fldCharType="begin"/>
      </w:r>
      <w:r>
        <w:rPr>
          <w:color w:val="auto"/>
          <w:sz w:val="28"/>
          <w:szCs w:val="28"/>
        </w:rPr>
        <w:instrText xml:space="preserve"> PAGEREF _Toc30048 \h </w:instrText>
      </w:r>
      <w:r>
        <w:rPr>
          <w:color w:val="auto"/>
          <w:sz w:val="28"/>
          <w:szCs w:val="28"/>
        </w:rPr>
        <w:fldChar w:fldCharType="separate"/>
      </w:r>
      <w:r>
        <w:rPr>
          <w:color w:val="auto"/>
          <w:sz w:val="28"/>
          <w:szCs w:val="28"/>
        </w:rPr>
        <w:t>151</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_Toc15668 </w:instrText>
      </w:r>
      <w:r>
        <w:rPr>
          <w:color w:val="auto"/>
          <w:sz w:val="28"/>
          <w:szCs w:val="28"/>
        </w:rPr>
        <w:fldChar w:fldCharType="separate"/>
      </w:r>
      <w:r>
        <w:rPr>
          <w:rFonts w:hint="default"/>
          <w:color w:val="auto"/>
          <w:sz w:val="28"/>
          <w:szCs w:val="28"/>
        </w:rPr>
        <w:t xml:space="preserve">7.1. </w:t>
      </w:r>
      <w:r>
        <w:rPr>
          <w:color w:val="auto"/>
          <w:sz w:val="28"/>
          <w:szCs w:val="28"/>
        </w:rPr>
        <w:t>经济效益分析</w:t>
      </w:r>
      <w:r>
        <w:rPr>
          <w:color w:val="auto"/>
          <w:sz w:val="28"/>
          <w:szCs w:val="28"/>
        </w:rPr>
        <w:tab/>
      </w:r>
      <w:r>
        <w:rPr>
          <w:color w:val="auto"/>
          <w:sz w:val="28"/>
          <w:szCs w:val="28"/>
        </w:rPr>
        <w:fldChar w:fldCharType="begin"/>
      </w:r>
      <w:r>
        <w:rPr>
          <w:color w:val="auto"/>
          <w:sz w:val="28"/>
          <w:szCs w:val="28"/>
        </w:rPr>
        <w:instrText xml:space="preserve"> PAGEREF _Toc15668 \h </w:instrText>
      </w:r>
      <w:r>
        <w:rPr>
          <w:color w:val="auto"/>
          <w:sz w:val="28"/>
          <w:szCs w:val="28"/>
        </w:rPr>
        <w:fldChar w:fldCharType="separate"/>
      </w:r>
      <w:r>
        <w:rPr>
          <w:color w:val="auto"/>
          <w:sz w:val="28"/>
          <w:szCs w:val="28"/>
        </w:rPr>
        <w:t>151</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_Toc17660 </w:instrText>
      </w:r>
      <w:r>
        <w:rPr>
          <w:color w:val="auto"/>
          <w:sz w:val="28"/>
          <w:szCs w:val="28"/>
        </w:rPr>
        <w:fldChar w:fldCharType="separate"/>
      </w:r>
      <w:r>
        <w:rPr>
          <w:rFonts w:hint="default"/>
          <w:color w:val="auto"/>
          <w:sz w:val="28"/>
          <w:szCs w:val="28"/>
        </w:rPr>
        <w:t xml:space="preserve">7.2. </w:t>
      </w:r>
      <w:r>
        <w:rPr>
          <w:color w:val="auto"/>
          <w:sz w:val="28"/>
          <w:szCs w:val="28"/>
        </w:rPr>
        <w:t>环境损失费估算</w:t>
      </w:r>
      <w:r>
        <w:rPr>
          <w:color w:val="auto"/>
          <w:sz w:val="28"/>
          <w:szCs w:val="28"/>
        </w:rPr>
        <w:tab/>
      </w:r>
      <w:r>
        <w:rPr>
          <w:color w:val="auto"/>
          <w:sz w:val="28"/>
          <w:szCs w:val="28"/>
        </w:rPr>
        <w:fldChar w:fldCharType="begin"/>
      </w:r>
      <w:r>
        <w:rPr>
          <w:color w:val="auto"/>
          <w:sz w:val="28"/>
          <w:szCs w:val="28"/>
        </w:rPr>
        <w:instrText xml:space="preserve"> PAGEREF _Toc17660 \h </w:instrText>
      </w:r>
      <w:r>
        <w:rPr>
          <w:color w:val="auto"/>
          <w:sz w:val="28"/>
          <w:szCs w:val="28"/>
        </w:rPr>
        <w:fldChar w:fldCharType="separate"/>
      </w:r>
      <w:r>
        <w:rPr>
          <w:color w:val="auto"/>
          <w:sz w:val="28"/>
          <w:szCs w:val="28"/>
        </w:rPr>
        <w:t>151</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_Toc25544 </w:instrText>
      </w:r>
      <w:r>
        <w:rPr>
          <w:color w:val="auto"/>
          <w:sz w:val="28"/>
          <w:szCs w:val="28"/>
        </w:rPr>
        <w:fldChar w:fldCharType="separate"/>
      </w:r>
      <w:r>
        <w:rPr>
          <w:rFonts w:hint="default"/>
          <w:color w:val="auto"/>
          <w:sz w:val="28"/>
          <w:szCs w:val="28"/>
        </w:rPr>
        <w:t xml:space="preserve">7.3. </w:t>
      </w:r>
      <w:r>
        <w:rPr>
          <w:color w:val="auto"/>
          <w:sz w:val="28"/>
          <w:szCs w:val="28"/>
        </w:rPr>
        <w:t>社会效益分析</w:t>
      </w:r>
      <w:r>
        <w:rPr>
          <w:color w:val="auto"/>
          <w:sz w:val="28"/>
          <w:szCs w:val="28"/>
        </w:rPr>
        <w:tab/>
      </w:r>
      <w:r>
        <w:rPr>
          <w:color w:val="auto"/>
          <w:sz w:val="28"/>
          <w:szCs w:val="28"/>
        </w:rPr>
        <w:fldChar w:fldCharType="begin"/>
      </w:r>
      <w:r>
        <w:rPr>
          <w:color w:val="auto"/>
          <w:sz w:val="28"/>
          <w:szCs w:val="28"/>
        </w:rPr>
        <w:instrText xml:space="preserve"> PAGEREF _Toc25544 \h </w:instrText>
      </w:r>
      <w:r>
        <w:rPr>
          <w:color w:val="auto"/>
          <w:sz w:val="28"/>
          <w:szCs w:val="28"/>
        </w:rPr>
        <w:fldChar w:fldCharType="separate"/>
      </w:r>
      <w:r>
        <w:rPr>
          <w:color w:val="auto"/>
          <w:sz w:val="28"/>
          <w:szCs w:val="28"/>
        </w:rPr>
        <w:t>151</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_Toc10538 </w:instrText>
      </w:r>
      <w:r>
        <w:rPr>
          <w:color w:val="auto"/>
          <w:sz w:val="28"/>
          <w:szCs w:val="28"/>
        </w:rPr>
        <w:fldChar w:fldCharType="separate"/>
      </w:r>
      <w:r>
        <w:rPr>
          <w:rFonts w:hint="default"/>
          <w:color w:val="auto"/>
          <w:sz w:val="28"/>
          <w:szCs w:val="28"/>
        </w:rPr>
        <w:t xml:space="preserve">7.4. </w:t>
      </w:r>
      <w:r>
        <w:rPr>
          <w:color w:val="auto"/>
          <w:sz w:val="28"/>
          <w:szCs w:val="28"/>
        </w:rPr>
        <w:t>分析结论</w:t>
      </w:r>
      <w:r>
        <w:rPr>
          <w:color w:val="auto"/>
          <w:sz w:val="28"/>
          <w:szCs w:val="28"/>
        </w:rPr>
        <w:tab/>
      </w:r>
      <w:r>
        <w:rPr>
          <w:color w:val="auto"/>
          <w:sz w:val="28"/>
          <w:szCs w:val="28"/>
        </w:rPr>
        <w:fldChar w:fldCharType="begin"/>
      </w:r>
      <w:r>
        <w:rPr>
          <w:color w:val="auto"/>
          <w:sz w:val="28"/>
          <w:szCs w:val="28"/>
        </w:rPr>
        <w:instrText xml:space="preserve"> PAGEREF _Toc10538 \h </w:instrText>
      </w:r>
      <w:r>
        <w:rPr>
          <w:color w:val="auto"/>
          <w:sz w:val="28"/>
          <w:szCs w:val="28"/>
        </w:rPr>
        <w:fldChar w:fldCharType="separate"/>
      </w:r>
      <w:r>
        <w:rPr>
          <w:color w:val="auto"/>
          <w:sz w:val="28"/>
          <w:szCs w:val="28"/>
        </w:rPr>
        <w:t>151</w:t>
      </w:r>
      <w:r>
        <w:rPr>
          <w:color w:val="auto"/>
          <w:sz w:val="28"/>
          <w:szCs w:val="28"/>
        </w:rPr>
        <w:fldChar w:fldCharType="end"/>
      </w:r>
      <w:r>
        <w:rPr>
          <w:color w:val="auto"/>
          <w:sz w:val="28"/>
          <w:szCs w:val="28"/>
        </w:rPr>
        <w:fldChar w:fldCharType="end"/>
      </w: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HYPERLINK \l _Toc26768 </w:instrText>
      </w:r>
      <w:r>
        <w:rPr>
          <w:color w:val="auto"/>
          <w:sz w:val="28"/>
          <w:szCs w:val="28"/>
        </w:rPr>
        <w:fldChar w:fldCharType="separate"/>
      </w:r>
      <w:r>
        <w:rPr>
          <w:rFonts w:hint="default"/>
          <w:color w:val="auto"/>
          <w:sz w:val="28"/>
          <w:szCs w:val="28"/>
        </w:rPr>
        <w:t xml:space="preserve">8. </w:t>
      </w:r>
      <w:r>
        <w:rPr>
          <w:color w:val="auto"/>
          <w:sz w:val="28"/>
          <w:szCs w:val="28"/>
        </w:rPr>
        <w:t>环境管理与监测计划</w:t>
      </w:r>
      <w:r>
        <w:rPr>
          <w:color w:val="auto"/>
          <w:sz w:val="28"/>
          <w:szCs w:val="28"/>
        </w:rPr>
        <w:tab/>
      </w:r>
      <w:r>
        <w:rPr>
          <w:color w:val="auto"/>
          <w:sz w:val="28"/>
          <w:szCs w:val="28"/>
        </w:rPr>
        <w:fldChar w:fldCharType="begin"/>
      </w:r>
      <w:r>
        <w:rPr>
          <w:color w:val="auto"/>
          <w:sz w:val="28"/>
          <w:szCs w:val="28"/>
        </w:rPr>
        <w:instrText xml:space="preserve"> PAGEREF _Toc26768 \h </w:instrText>
      </w:r>
      <w:r>
        <w:rPr>
          <w:color w:val="auto"/>
          <w:sz w:val="28"/>
          <w:szCs w:val="28"/>
        </w:rPr>
        <w:fldChar w:fldCharType="separate"/>
      </w:r>
      <w:r>
        <w:rPr>
          <w:color w:val="auto"/>
          <w:sz w:val="28"/>
          <w:szCs w:val="28"/>
        </w:rPr>
        <w:t>153</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_Toc16691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8.1. </w:t>
      </w:r>
      <w:r>
        <w:rPr>
          <w:rFonts w:hint="eastAsia" w:ascii="Times New Roman" w:hAnsi="Times New Roman" w:eastAsia="宋体"/>
          <w:snapToGrid w:val="0"/>
          <w:color w:val="auto"/>
          <w:kern w:val="0"/>
          <w:sz w:val="28"/>
          <w:szCs w:val="28"/>
        </w:rPr>
        <w:t>环境</w:t>
      </w:r>
      <w:r>
        <w:rPr>
          <w:rFonts w:ascii="Times New Roman" w:hAnsi="宋体" w:eastAsia="宋体"/>
          <w:snapToGrid w:val="0"/>
          <w:color w:val="auto"/>
          <w:kern w:val="0"/>
          <w:sz w:val="28"/>
          <w:szCs w:val="28"/>
        </w:rPr>
        <w:t>管理</w:t>
      </w:r>
      <w:r>
        <w:rPr>
          <w:color w:val="auto"/>
          <w:sz w:val="28"/>
          <w:szCs w:val="28"/>
        </w:rPr>
        <w:tab/>
      </w:r>
      <w:r>
        <w:rPr>
          <w:color w:val="auto"/>
          <w:sz w:val="28"/>
          <w:szCs w:val="28"/>
        </w:rPr>
        <w:fldChar w:fldCharType="begin"/>
      </w:r>
      <w:r>
        <w:rPr>
          <w:color w:val="auto"/>
          <w:sz w:val="28"/>
          <w:szCs w:val="28"/>
        </w:rPr>
        <w:instrText xml:space="preserve"> PAGEREF _Toc16691 \h </w:instrText>
      </w:r>
      <w:r>
        <w:rPr>
          <w:color w:val="auto"/>
          <w:sz w:val="28"/>
          <w:szCs w:val="28"/>
        </w:rPr>
        <w:fldChar w:fldCharType="separate"/>
      </w:r>
      <w:r>
        <w:rPr>
          <w:color w:val="auto"/>
          <w:sz w:val="28"/>
          <w:szCs w:val="28"/>
        </w:rPr>
        <w:t>153</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_Toc13240 </w:instrText>
      </w:r>
      <w:r>
        <w:rPr>
          <w:color w:val="auto"/>
          <w:sz w:val="28"/>
          <w:szCs w:val="28"/>
        </w:rPr>
        <w:fldChar w:fldCharType="separate"/>
      </w:r>
      <w:r>
        <w:rPr>
          <w:rFonts w:hint="default"/>
          <w:color w:val="auto"/>
          <w:sz w:val="28"/>
          <w:szCs w:val="28"/>
        </w:rPr>
        <w:t xml:space="preserve">8.2. </w:t>
      </w:r>
      <w:r>
        <w:rPr>
          <w:color w:val="auto"/>
          <w:sz w:val="28"/>
          <w:szCs w:val="28"/>
        </w:rPr>
        <w:t>组织结构</w:t>
      </w:r>
      <w:r>
        <w:rPr>
          <w:color w:val="auto"/>
          <w:sz w:val="28"/>
          <w:szCs w:val="28"/>
        </w:rPr>
        <w:tab/>
      </w:r>
      <w:r>
        <w:rPr>
          <w:color w:val="auto"/>
          <w:sz w:val="28"/>
          <w:szCs w:val="28"/>
        </w:rPr>
        <w:fldChar w:fldCharType="begin"/>
      </w:r>
      <w:r>
        <w:rPr>
          <w:color w:val="auto"/>
          <w:sz w:val="28"/>
          <w:szCs w:val="28"/>
        </w:rPr>
        <w:instrText xml:space="preserve"> PAGEREF _Toc13240 \h </w:instrText>
      </w:r>
      <w:r>
        <w:rPr>
          <w:color w:val="auto"/>
          <w:sz w:val="28"/>
          <w:szCs w:val="28"/>
        </w:rPr>
        <w:fldChar w:fldCharType="separate"/>
      </w:r>
      <w:r>
        <w:rPr>
          <w:color w:val="auto"/>
          <w:sz w:val="28"/>
          <w:szCs w:val="28"/>
        </w:rPr>
        <w:t>153</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_Toc27980 </w:instrText>
      </w:r>
      <w:r>
        <w:rPr>
          <w:color w:val="auto"/>
          <w:sz w:val="28"/>
          <w:szCs w:val="28"/>
        </w:rPr>
        <w:fldChar w:fldCharType="separate"/>
      </w:r>
      <w:r>
        <w:rPr>
          <w:rFonts w:hint="default"/>
          <w:color w:val="auto"/>
          <w:sz w:val="28"/>
          <w:szCs w:val="28"/>
        </w:rPr>
        <w:t xml:space="preserve">8.3. </w:t>
      </w:r>
      <w:r>
        <w:rPr>
          <w:color w:val="auto"/>
          <w:sz w:val="28"/>
          <w:szCs w:val="28"/>
        </w:rPr>
        <w:t>环境监控</w:t>
      </w:r>
      <w:r>
        <w:rPr>
          <w:color w:val="auto"/>
          <w:sz w:val="28"/>
          <w:szCs w:val="28"/>
        </w:rPr>
        <w:tab/>
      </w:r>
      <w:r>
        <w:rPr>
          <w:color w:val="auto"/>
          <w:sz w:val="28"/>
          <w:szCs w:val="28"/>
        </w:rPr>
        <w:fldChar w:fldCharType="begin"/>
      </w:r>
      <w:r>
        <w:rPr>
          <w:color w:val="auto"/>
          <w:sz w:val="28"/>
          <w:szCs w:val="28"/>
        </w:rPr>
        <w:instrText xml:space="preserve"> PAGEREF _Toc27980 \h </w:instrText>
      </w:r>
      <w:r>
        <w:rPr>
          <w:color w:val="auto"/>
          <w:sz w:val="28"/>
          <w:szCs w:val="28"/>
        </w:rPr>
        <w:fldChar w:fldCharType="separate"/>
      </w:r>
      <w:r>
        <w:rPr>
          <w:color w:val="auto"/>
          <w:sz w:val="28"/>
          <w:szCs w:val="28"/>
        </w:rPr>
        <w:t>154</w:t>
      </w:r>
      <w:r>
        <w:rPr>
          <w:color w:val="auto"/>
          <w:sz w:val="28"/>
          <w:szCs w:val="28"/>
        </w:rPr>
        <w:fldChar w:fldCharType="end"/>
      </w:r>
      <w:r>
        <w:rPr>
          <w:color w:val="auto"/>
          <w:sz w:val="28"/>
          <w:szCs w:val="28"/>
        </w:rPr>
        <w:fldChar w:fldCharType="end"/>
      </w:r>
    </w:p>
    <w:p>
      <w:pPr>
        <w:pStyle w:val="25"/>
        <w:tabs>
          <w:tab w:val="right" w:leader="dot" w:pos="9016"/>
        </w:tabs>
        <w:rPr>
          <w:color w:val="auto"/>
          <w:sz w:val="28"/>
          <w:szCs w:val="28"/>
        </w:rPr>
      </w:pPr>
      <w:r>
        <w:rPr>
          <w:color w:val="auto"/>
          <w:sz w:val="28"/>
          <w:szCs w:val="28"/>
        </w:rPr>
        <w:fldChar w:fldCharType="begin"/>
      </w:r>
      <w:r>
        <w:rPr>
          <w:color w:val="auto"/>
          <w:sz w:val="28"/>
          <w:szCs w:val="28"/>
        </w:rPr>
        <w:instrText xml:space="preserve"> HYPERLINK \l _Toc14806 </w:instrText>
      </w:r>
      <w:r>
        <w:rPr>
          <w:color w:val="auto"/>
          <w:sz w:val="28"/>
          <w:szCs w:val="28"/>
        </w:rPr>
        <w:fldChar w:fldCharType="separate"/>
      </w:r>
      <w:r>
        <w:rPr>
          <w:rFonts w:hint="default"/>
          <w:color w:val="auto"/>
          <w:sz w:val="28"/>
          <w:szCs w:val="28"/>
        </w:rPr>
        <w:t xml:space="preserve">9. </w:t>
      </w:r>
      <w:r>
        <w:rPr>
          <w:color w:val="auto"/>
          <w:sz w:val="28"/>
          <w:szCs w:val="28"/>
        </w:rPr>
        <w:t>环境影响评价结论</w:t>
      </w:r>
      <w:r>
        <w:rPr>
          <w:color w:val="auto"/>
          <w:sz w:val="28"/>
          <w:szCs w:val="28"/>
        </w:rPr>
        <w:tab/>
      </w:r>
      <w:r>
        <w:rPr>
          <w:color w:val="auto"/>
          <w:sz w:val="28"/>
          <w:szCs w:val="28"/>
        </w:rPr>
        <w:fldChar w:fldCharType="begin"/>
      </w:r>
      <w:r>
        <w:rPr>
          <w:color w:val="auto"/>
          <w:sz w:val="28"/>
          <w:szCs w:val="28"/>
        </w:rPr>
        <w:instrText xml:space="preserve"> PAGEREF _Toc14806 \h </w:instrText>
      </w:r>
      <w:r>
        <w:rPr>
          <w:color w:val="auto"/>
          <w:sz w:val="28"/>
          <w:szCs w:val="28"/>
        </w:rPr>
        <w:fldChar w:fldCharType="separate"/>
      </w:r>
      <w:r>
        <w:rPr>
          <w:color w:val="auto"/>
          <w:sz w:val="28"/>
          <w:szCs w:val="28"/>
        </w:rPr>
        <w:t>159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_Toc8790 </w:instrText>
      </w:r>
      <w:r>
        <w:rPr>
          <w:color w:val="auto"/>
          <w:sz w:val="28"/>
          <w:szCs w:val="28"/>
        </w:rPr>
        <w:fldChar w:fldCharType="separate"/>
      </w:r>
      <w:r>
        <w:rPr>
          <w:rFonts w:hint="default"/>
          <w:color w:val="auto"/>
          <w:sz w:val="28"/>
          <w:szCs w:val="28"/>
        </w:rPr>
        <w:t xml:space="preserve">9.1. </w:t>
      </w:r>
      <w:r>
        <w:rPr>
          <w:color w:val="auto"/>
          <w:sz w:val="28"/>
          <w:szCs w:val="28"/>
        </w:rPr>
        <w:t>工程概况</w:t>
      </w:r>
      <w:r>
        <w:rPr>
          <w:color w:val="auto"/>
          <w:sz w:val="28"/>
          <w:szCs w:val="28"/>
        </w:rPr>
        <w:tab/>
      </w:r>
      <w:r>
        <w:rPr>
          <w:color w:val="auto"/>
          <w:sz w:val="28"/>
          <w:szCs w:val="28"/>
        </w:rPr>
        <w:fldChar w:fldCharType="begin"/>
      </w:r>
      <w:r>
        <w:rPr>
          <w:color w:val="auto"/>
          <w:sz w:val="28"/>
          <w:szCs w:val="28"/>
        </w:rPr>
        <w:instrText xml:space="preserve"> PAGEREF _Toc8790 \h </w:instrText>
      </w:r>
      <w:r>
        <w:rPr>
          <w:color w:val="auto"/>
          <w:sz w:val="28"/>
          <w:szCs w:val="28"/>
        </w:rPr>
        <w:fldChar w:fldCharType="separate"/>
      </w:r>
      <w:r>
        <w:rPr>
          <w:color w:val="auto"/>
          <w:sz w:val="28"/>
          <w:szCs w:val="28"/>
        </w:rPr>
        <w:t>159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_Toc4267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9.2. </w:t>
      </w:r>
      <w:r>
        <w:rPr>
          <w:rFonts w:ascii="Times New Roman" w:hAnsi="宋体" w:eastAsia="宋体"/>
          <w:snapToGrid w:val="0"/>
          <w:color w:val="auto"/>
          <w:kern w:val="0"/>
          <w:sz w:val="28"/>
          <w:szCs w:val="28"/>
        </w:rPr>
        <w:t>环境质量现状</w:t>
      </w:r>
      <w:r>
        <w:rPr>
          <w:color w:val="auto"/>
          <w:sz w:val="28"/>
          <w:szCs w:val="28"/>
        </w:rPr>
        <w:tab/>
      </w:r>
      <w:r>
        <w:rPr>
          <w:color w:val="auto"/>
          <w:sz w:val="28"/>
          <w:szCs w:val="28"/>
        </w:rPr>
        <w:fldChar w:fldCharType="begin"/>
      </w:r>
      <w:r>
        <w:rPr>
          <w:color w:val="auto"/>
          <w:sz w:val="28"/>
          <w:szCs w:val="28"/>
        </w:rPr>
        <w:instrText xml:space="preserve"> PAGEREF _Toc4267 \h </w:instrText>
      </w:r>
      <w:r>
        <w:rPr>
          <w:color w:val="auto"/>
          <w:sz w:val="28"/>
          <w:szCs w:val="28"/>
        </w:rPr>
        <w:fldChar w:fldCharType="separate"/>
      </w:r>
      <w:r>
        <w:rPr>
          <w:color w:val="auto"/>
          <w:sz w:val="28"/>
          <w:szCs w:val="28"/>
        </w:rPr>
        <w:t>159</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_Toc22431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9.3. </w:t>
      </w:r>
      <w:r>
        <w:rPr>
          <w:rFonts w:ascii="Times New Roman" w:hAnsi="宋体" w:eastAsia="宋体"/>
          <w:snapToGrid w:val="0"/>
          <w:color w:val="auto"/>
          <w:kern w:val="0"/>
          <w:sz w:val="28"/>
          <w:szCs w:val="28"/>
        </w:rPr>
        <w:t>主要环境影响</w:t>
      </w:r>
      <w:r>
        <w:rPr>
          <w:color w:val="auto"/>
          <w:sz w:val="28"/>
          <w:szCs w:val="28"/>
        </w:rPr>
        <w:tab/>
      </w:r>
      <w:r>
        <w:rPr>
          <w:color w:val="auto"/>
          <w:sz w:val="28"/>
          <w:szCs w:val="28"/>
        </w:rPr>
        <w:fldChar w:fldCharType="begin"/>
      </w:r>
      <w:r>
        <w:rPr>
          <w:color w:val="auto"/>
          <w:sz w:val="28"/>
          <w:szCs w:val="28"/>
        </w:rPr>
        <w:instrText xml:space="preserve"> PAGEREF _Toc22431 \h </w:instrText>
      </w:r>
      <w:r>
        <w:rPr>
          <w:color w:val="auto"/>
          <w:sz w:val="28"/>
          <w:szCs w:val="28"/>
        </w:rPr>
        <w:fldChar w:fldCharType="separate"/>
      </w:r>
      <w:r>
        <w:rPr>
          <w:color w:val="auto"/>
          <w:sz w:val="28"/>
          <w:szCs w:val="28"/>
        </w:rPr>
        <w:t>160</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_Toc28820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9.4. </w:t>
      </w:r>
      <w:r>
        <w:rPr>
          <w:rFonts w:ascii="Times New Roman" w:hAnsi="宋体" w:eastAsia="宋体"/>
          <w:snapToGrid w:val="0"/>
          <w:color w:val="auto"/>
          <w:kern w:val="0"/>
          <w:sz w:val="28"/>
          <w:szCs w:val="28"/>
        </w:rPr>
        <w:t>公众意见采纳情况</w:t>
      </w:r>
      <w:r>
        <w:rPr>
          <w:color w:val="auto"/>
          <w:sz w:val="28"/>
          <w:szCs w:val="28"/>
        </w:rPr>
        <w:tab/>
      </w:r>
      <w:r>
        <w:rPr>
          <w:color w:val="auto"/>
          <w:sz w:val="28"/>
          <w:szCs w:val="28"/>
        </w:rPr>
        <w:fldChar w:fldCharType="begin"/>
      </w:r>
      <w:r>
        <w:rPr>
          <w:color w:val="auto"/>
          <w:sz w:val="28"/>
          <w:szCs w:val="28"/>
        </w:rPr>
        <w:instrText xml:space="preserve"> PAGEREF _Toc28820 \h </w:instrText>
      </w:r>
      <w:r>
        <w:rPr>
          <w:color w:val="auto"/>
          <w:sz w:val="28"/>
          <w:szCs w:val="28"/>
        </w:rPr>
        <w:fldChar w:fldCharType="separate"/>
      </w:r>
      <w:r>
        <w:rPr>
          <w:color w:val="auto"/>
          <w:sz w:val="28"/>
          <w:szCs w:val="28"/>
        </w:rPr>
        <w:t>162</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_Toc12596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9.5. </w:t>
      </w:r>
      <w:r>
        <w:rPr>
          <w:rFonts w:ascii="Times New Roman" w:hAnsi="宋体" w:eastAsia="宋体"/>
          <w:snapToGrid w:val="0"/>
          <w:color w:val="auto"/>
          <w:kern w:val="0"/>
          <w:sz w:val="28"/>
          <w:szCs w:val="28"/>
        </w:rPr>
        <w:t>环境影响经济损益分析</w:t>
      </w:r>
      <w:r>
        <w:rPr>
          <w:color w:val="auto"/>
          <w:sz w:val="28"/>
          <w:szCs w:val="28"/>
        </w:rPr>
        <w:tab/>
      </w:r>
      <w:r>
        <w:rPr>
          <w:color w:val="auto"/>
          <w:sz w:val="28"/>
          <w:szCs w:val="28"/>
        </w:rPr>
        <w:fldChar w:fldCharType="begin"/>
      </w:r>
      <w:r>
        <w:rPr>
          <w:color w:val="auto"/>
          <w:sz w:val="28"/>
          <w:szCs w:val="28"/>
        </w:rPr>
        <w:instrText xml:space="preserve"> PAGEREF _Toc12596 \h </w:instrText>
      </w:r>
      <w:r>
        <w:rPr>
          <w:color w:val="auto"/>
          <w:sz w:val="28"/>
          <w:szCs w:val="28"/>
        </w:rPr>
        <w:fldChar w:fldCharType="separate"/>
      </w:r>
      <w:r>
        <w:rPr>
          <w:color w:val="auto"/>
          <w:sz w:val="28"/>
          <w:szCs w:val="28"/>
        </w:rPr>
        <w:t>162</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_Toc3592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9.6. </w:t>
      </w:r>
      <w:r>
        <w:rPr>
          <w:rFonts w:ascii="Times New Roman" w:hAnsi="宋体" w:eastAsia="宋体"/>
          <w:snapToGrid w:val="0"/>
          <w:color w:val="auto"/>
          <w:kern w:val="0"/>
          <w:sz w:val="28"/>
          <w:szCs w:val="28"/>
        </w:rPr>
        <w:t>环境管理与监测计划</w:t>
      </w:r>
      <w:r>
        <w:rPr>
          <w:color w:val="auto"/>
          <w:sz w:val="28"/>
          <w:szCs w:val="28"/>
        </w:rPr>
        <w:tab/>
      </w:r>
      <w:r>
        <w:rPr>
          <w:color w:val="auto"/>
          <w:sz w:val="28"/>
          <w:szCs w:val="28"/>
        </w:rPr>
        <w:fldChar w:fldCharType="begin"/>
      </w:r>
      <w:r>
        <w:rPr>
          <w:color w:val="auto"/>
          <w:sz w:val="28"/>
          <w:szCs w:val="28"/>
        </w:rPr>
        <w:instrText xml:space="preserve"> PAGEREF _Toc3592 \h </w:instrText>
      </w:r>
      <w:r>
        <w:rPr>
          <w:color w:val="auto"/>
          <w:sz w:val="28"/>
          <w:szCs w:val="28"/>
        </w:rPr>
        <w:fldChar w:fldCharType="separate"/>
      </w:r>
      <w:r>
        <w:rPr>
          <w:color w:val="auto"/>
          <w:sz w:val="28"/>
          <w:szCs w:val="28"/>
        </w:rPr>
        <w:t>162</w:t>
      </w:r>
      <w:r>
        <w:rPr>
          <w:color w:val="auto"/>
          <w:sz w:val="28"/>
          <w:szCs w:val="28"/>
        </w:rPr>
        <w:fldChar w:fldCharType="end"/>
      </w:r>
      <w:r>
        <w:rPr>
          <w:color w:val="auto"/>
          <w:sz w:val="28"/>
          <w:szCs w:val="28"/>
        </w:rPr>
        <w:fldChar w:fldCharType="end"/>
      </w:r>
    </w:p>
    <w:p>
      <w:pPr>
        <w:pStyle w:val="28"/>
        <w:tabs>
          <w:tab w:val="right" w:leader="dot" w:pos="9016"/>
          <w:tab w:val="clear" w:pos="9006"/>
        </w:tabs>
        <w:rPr>
          <w:color w:val="auto"/>
          <w:sz w:val="28"/>
          <w:szCs w:val="28"/>
        </w:rPr>
      </w:pPr>
      <w:r>
        <w:rPr>
          <w:color w:val="auto"/>
          <w:sz w:val="28"/>
          <w:szCs w:val="28"/>
        </w:rPr>
        <w:fldChar w:fldCharType="begin"/>
      </w:r>
      <w:r>
        <w:rPr>
          <w:color w:val="auto"/>
          <w:sz w:val="28"/>
          <w:szCs w:val="28"/>
        </w:rPr>
        <w:instrText xml:space="preserve"> HYPERLINK \l _Toc6111 </w:instrText>
      </w:r>
      <w:r>
        <w:rPr>
          <w:color w:val="auto"/>
          <w:sz w:val="28"/>
          <w:szCs w:val="28"/>
        </w:rPr>
        <w:fldChar w:fldCharType="separate"/>
      </w:r>
      <w:r>
        <w:rPr>
          <w:rFonts w:hint="default" w:ascii="Times New Roman" w:hAnsi="Times New Roman" w:eastAsia="宋体"/>
          <w:snapToGrid w:val="0"/>
          <w:color w:val="auto"/>
          <w:kern w:val="0"/>
          <w:sz w:val="28"/>
          <w:szCs w:val="28"/>
        </w:rPr>
        <w:t xml:space="preserve">9.7. </w:t>
      </w:r>
      <w:r>
        <w:rPr>
          <w:rFonts w:ascii="Times New Roman" w:hAnsi="宋体" w:eastAsia="宋体"/>
          <w:snapToGrid w:val="0"/>
          <w:color w:val="auto"/>
          <w:kern w:val="0"/>
          <w:sz w:val="28"/>
          <w:szCs w:val="28"/>
        </w:rPr>
        <w:t>综合结论</w:t>
      </w:r>
      <w:r>
        <w:rPr>
          <w:color w:val="auto"/>
          <w:sz w:val="28"/>
          <w:szCs w:val="28"/>
        </w:rPr>
        <w:tab/>
      </w:r>
      <w:r>
        <w:rPr>
          <w:color w:val="auto"/>
          <w:sz w:val="28"/>
          <w:szCs w:val="28"/>
        </w:rPr>
        <w:fldChar w:fldCharType="begin"/>
      </w:r>
      <w:r>
        <w:rPr>
          <w:color w:val="auto"/>
          <w:sz w:val="28"/>
          <w:szCs w:val="28"/>
        </w:rPr>
        <w:instrText xml:space="preserve"> PAGEREF _Toc6111 \h </w:instrText>
      </w:r>
      <w:r>
        <w:rPr>
          <w:color w:val="auto"/>
          <w:sz w:val="28"/>
          <w:szCs w:val="28"/>
        </w:rPr>
        <w:fldChar w:fldCharType="separate"/>
      </w:r>
      <w:r>
        <w:rPr>
          <w:color w:val="auto"/>
          <w:sz w:val="28"/>
          <w:szCs w:val="28"/>
        </w:rPr>
        <w:t>163</w:t>
      </w:r>
      <w:r>
        <w:rPr>
          <w:color w:val="auto"/>
          <w:sz w:val="28"/>
          <w:szCs w:val="28"/>
        </w:rPr>
        <w:fldChar w:fldCharType="end"/>
      </w:r>
      <w:r>
        <w:rPr>
          <w:color w:val="auto"/>
          <w:sz w:val="28"/>
          <w:szCs w:val="28"/>
        </w:rPr>
        <w:fldChar w:fldCharType="end"/>
      </w:r>
    </w:p>
    <w:p>
      <w:pPr>
        <w:tabs>
          <w:tab w:val="right" w:leader="dot" w:pos="9062"/>
        </w:tabs>
        <w:adjustRightInd w:val="0"/>
        <w:snapToGrid w:val="0"/>
        <w:ind w:firstLine="560"/>
        <w:rPr>
          <w:color w:val="auto"/>
          <w:kern w:val="2"/>
        </w:rPr>
      </w:pPr>
      <w:r>
        <w:rPr>
          <w:color w:val="auto"/>
          <w:sz w:val="28"/>
          <w:szCs w:val="28"/>
        </w:rPr>
        <w:fldChar w:fldCharType="end"/>
      </w:r>
      <w:r>
        <w:rPr>
          <w:color w:val="auto"/>
        </w:rPr>
        <w:t xml:space="preserve"> </w:t>
      </w:r>
      <w:bookmarkStart w:id="0" w:name="_Toc9029"/>
      <w:bookmarkStart w:id="1" w:name="_Toc30656"/>
      <w:bookmarkStart w:id="2" w:name="_Toc9401"/>
      <w:bookmarkStart w:id="3" w:name="_Toc30159"/>
    </w:p>
    <w:p>
      <w:pPr>
        <w:pStyle w:val="3"/>
        <w:spacing w:before="312" w:after="312"/>
        <w:rPr>
          <w:color w:val="auto"/>
        </w:rPr>
        <w:sectPr>
          <w:headerReference r:id="rId3" w:type="default"/>
          <w:footerReference r:id="rId4" w:type="default"/>
          <w:pgSz w:w="11850" w:h="16783"/>
          <w:pgMar w:top="1361" w:right="1417" w:bottom="1361" w:left="1417" w:header="851" w:footer="992" w:gutter="0"/>
          <w:pgNumType w:fmt="upperRoman" w:start="1"/>
          <w:cols w:space="720" w:num="1"/>
          <w:docGrid w:type="lines" w:linePitch="312" w:charSpace="0"/>
        </w:sectPr>
      </w:pPr>
    </w:p>
    <w:p>
      <w:pPr>
        <w:pStyle w:val="3"/>
        <w:spacing w:before="312" w:after="312"/>
        <w:rPr>
          <w:color w:val="auto"/>
        </w:rPr>
      </w:pPr>
      <w:bookmarkStart w:id="4" w:name="_Toc12844"/>
      <w:bookmarkStart w:id="5" w:name="_Toc49174478"/>
      <w:bookmarkStart w:id="6" w:name="_Toc49174935"/>
      <w:bookmarkStart w:id="7" w:name="_Toc49174760"/>
      <w:bookmarkStart w:id="8" w:name="_Toc49174442"/>
      <w:bookmarkStart w:id="9" w:name="_Toc49174594"/>
      <w:bookmarkStart w:id="10" w:name="_Toc49174384"/>
      <w:bookmarkStart w:id="11" w:name="_Toc49174703"/>
      <w:r>
        <w:rPr>
          <w:color w:val="auto"/>
        </w:rPr>
        <w:t>概  述</w:t>
      </w:r>
      <w:bookmarkEnd w:id="0"/>
      <w:bookmarkEnd w:id="4"/>
      <w:bookmarkEnd w:id="5"/>
      <w:bookmarkEnd w:id="6"/>
      <w:bookmarkEnd w:id="7"/>
      <w:bookmarkEnd w:id="8"/>
      <w:bookmarkEnd w:id="9"/>
      <w:bookmarkEnd w:id="10"/>
      <w:bookmarkEnd w:id="11"/>
    </w:p>
    <w:bookmarkEnd w:id="1"/>
    <w:bookmarkEnd w:id="2"/>
    <w:bookmarkEnd w:id="3"/>
    <w:p>
      <w:pPr>
        <w:pStyle w:val="4"/>
        <w:bidi w:val="0"/>
        <w:rPr>
          <w:color w:val="auto"/>
        </w:rPr>
      </w:pPr>
      <w:bookmarkStart w:id="12" w:name="_Toc6012"/>
      <w:bookmarkStart w:id="13" w:name="_Toc14485"/>
      <w:bookmarkStart w:id="14" w:name="_Toc31427"/>
      <w:bookmarkStart w:id="15" w:name="_Toc4446"/>
      <w:bookmarkStart w:id="16" w:name="_Toc25945"/>
      <w:bookmarkStart w:id="17" w:name="_Toc49174936"/>
      <w:bookmarkStart w:id="18" w:name="_Toc20365"/>
      <w:bookmarkStart w:id="19" w:name="_Toc49174704"/>
      <w:bookmarkStart w:id="20" w:name="_Toc49174385"/>
      <w:bookmarkStart w:id="21" w:name="_Toc7268"/>
      <w:bookmarkStart w:id="22" w:name="_Toc49174595"/>
      <w:bookmarkStart w:id="23" w:name="_Toc49174761"/>
      <w:r>
        <w:rPr>
          <w:color w:val="auto"/>
        </w:rPr>
        <w:t>建设项目</w:t>
      </w:r>
      <w:bookmarkEnd w:id="12"/>
      <w:bookmarkEnd w:id="13"/>
      <w:bookmarkEnd w:id="14"/>
      <w:bookmarkEnd w:id="15"/>
      <w:bookmarkEnd w:id="16"/>
      <w:r>
        <w:rPr>
          <w:color w:val="auto"/>
        </w:rPr>
        <w:t>由来</w:t>
      </w:r>
      <w:bookmarkEnd w:id="17"/>
      <w:bookmarkEnd w:id="18"/>
      <w:bookmarkEnd w:id="19"/>
      <w:bookmarkEnd w:id="20"/>
      <w:bookmarkEnd w:id="21"/>
      <w:bookmarkEnd w:id="22"/>
      <w:bookmarkEnd w:id="23"/>
    </w:p>
    <w:p>
      <w:pPr>
        <w:pStyle w:val="33"/>
        <w:rPr>
          <w:rFonts w:hint="eastAsia"/>
          <w:color w:val="auto"/>
        </w:rPr>
      </w:pPr>
      <w:r>
        <w:rPr>
          <w:rFonts w:hint="eastAsia"/>
          <w:color w:val="auto"/>
        </w:rPr>
        <w:t>为解决我国天然气消费逐步增长以及储气能力不足的问题，国务院在2018年下发了《国务院关于促进天然气协调稳定发展的若干意见》（国发[2018]31号文）</w:t>
      </w:r>
      <w:r>
        <w:rPr>
          <w:rFonts w:hint="eastAsia"/>
          <w:color w:val="auto"/>
          <w:lang w:eastAsia="zh-CN"/>
        </w:rPr>
        <w:t>，明确要求供气企业要形成不低于其年合同销售量10%的储气能力。</w:t>
      </w:r>
      <w:r>
        <w:rPr>
          <w:rFonts w:hint="eastAsia"/>
          <w:color w:val="auto"/>
        </w:rPr>
        <w:t>2020年6月，《国家发改委国家能源局关于做好2020年能源安全保障工作的指导意见》（发改运行[2020]900号）意见要求“着力增强能源储备能力”。根据《中国石油天然气股份有限公司储气库建设责任书》中要求，2021年要完成升平储气库的可研编制工作，“十四五”期间，大庆油田储气库系统将初具规模。</w:t>
      </w:r>
    </w:p>
    <w:p>
      <w:pPr>
        <w:pStyle w:val="33"/>
        <w:rPr>
          <w:rFonts w:hint="eastAsia"/>
          <w:color w:val="auto"/>
        </w:rPr>
      </w:pPr>
      <w:r>
        <w:rPr>
          <w:rFonts w:hint="eastAsia"/>
          <w:color w:val="auto"/>
        </w:rPr>
        <w:t>目前，中俄东线天然气管道在黑龙江地区已开始供气，按照中俄东线规划成果，将在2024年实现供气380×10</w:t>
      </w:r>
      <w:r>
        <w:rPr>
          <w:rFonts w:hint="eastAsia"/>
          <w:color w:val="auto"/>
          <w:vertAlign w:val="superscript"/>
        </w:rPr>
        <w:t>8</w:t>
      </w:r>
      <w:r>
        <w:rPr>
          <w:rFonts w:hint="eastAsia"/>
          <w:color w:val="auto"/>
        </w:rPr>
        <w:t>m</w:t>
      </w:r>
      <w:r>
        <w:rPr>
          <w:rFonts w:hint="eastAsia"/>
          <w:color w:val="auto"/>
          <w:vertAlign w:val="superscript"/>
        </w:rPr>
        <w:t>3</w:t>
      </w:r>
      <w:r>
        <w:rPr>
          <w:rFonts w:hint="eastAsia"/>
          <w:color w:val="auto"/>
        </w:rPr>
        <w:t>规模，根据2017年中俄双方签订的《中俄东线购销合同的补充协议》的内容，合同采用“照付不议”条款，合理利用俄气资源也显得尤为重要。而中俄东线为单向输气管道，大庆地区作为管道起始端，对俄气的存储能力，在东三省、乃至全国天然气战略储备中具有重要作用。按照储气库季节调峰需求，建设大庆升平处理库是非常必要的。</w:t>
      </w:r>
    </w:p>
    <w:p>
      <w:pPr>
        <w:pStyle w:val="33"/>
        <w:rPr>
          <w:rFonts w:hint="eastAsia"/>
          <w:color w:val="auto"/>
        </w:rPr>
      </w:pPr>
      <w:r>
        <w:rPr>
          <w:rFonts w:hint="eastAsia"/>
          <w:color w:val="auto"/>
        </w:rPr>
        <w:t>另外大庆升平储气库建设的必要性还主要表现在</w:t>
      </w:r>
      <w:r>
        <w:rPr>
          <w:rFonts w:hint="eastAsia"/>
          <w:color w:val="auto"/>
          <w:lang w:eastAsia="zh-CN"/>
        </w:rPr>
        <w:t>以</w:t>
      </w:r>
      <w:r>
        <w:rPr>
          <w:rFonts w:hint="eastAsia"/>
          <w:color w:val="auto"/>
        </w:rPr>
        <w:t>下几个方面：</w:t>
      </w:r>
    </w:p>
    <w:p>
      <w:pPr>
        <w:pStyle w:val="33"/>
        <w:rPr>
          <w:rFonts w:hint="eastAsia"/>
          <w:color w:val="auto"/>
        </w:rPr>
      </w:pPr>
      <w:r>
        <w:rPr>
          <w:rFonts w:hint="eastAsia"/>
          <w:color w:val="auto"/>
        </w:rPr>
        <w:t>1、落实国家天然气产业政策，构建天然气储备体系的迫切需要</w:t>
      </w:r>
    </w:p>
    <w:p>
      <w:pPr>
        <w:pStyle w:val="33"/>
        <w:rPr>
          <w:rFonts w:hint="eastAsia"/>
          <w:color w:val="auto"/>
        </w:rPr>
      </w:pPr>
      <w:r>
        <w:rPr>
          <w:rFonts w:hint="eastAsia"/>
          <w:color w:val="auto"/>
          <w:lang w:eastAsia="zh-CN"/>
        </w:rPr>
        <w:t>根据</w:t>
      </w:r>
      <w:r>
        <w:rPr>
          <w:rFonts w:hint="eastAsia"/>
          <w:color w:val="auto"/>
        </w:rPr>
        <w:t>《国务院关于促进天然气协调稳定发展的若干意见》国发[2018]31号文</w:t>
      </w:r>
      <w:r>
        <w:rPr>
          <w:rFonts w:hint="eastAsia"/>
          <w:color w:val="auto"/>
          <w:lang w:eastAsia="zh-CN"/>
        </w:rPr>
        <w:t>件</w:t>
      </w:r>
      <w:r>
        <w:rPr>
          <w:rFonts w:hint="eastAsia"/>
          <w:color w:val="auto"/>
        </w:rPr>
        <w:t>精神，供气企业到2020年需要形成不低于其合同销售量10%的储气能力。根据市场需求，到2025年大庆及周边地区天然气需求量达到62×10</w:t>
      </w:r>
      <w:r>
        <w:rPr>
          <w:rFonts w:hint="eastAsia"/>
          <w:color w:val="auto"/>
          <w:vertAlign w:val="superscript"/>
        </w:rPr>
        <w:t>8</w:t>
      </w:r>
      <w:r>
        <w:rPr>
          <w:rFonts w:hint="eastAsia"/>
          <w:color w:val="auto"/>
        </w:rPr>
        <w:t>m</w:t>
      </w:r>
      <w:r>
        <w:rPr>
          <w:rFonts w:hint="eastAsia"/>
          <w:color w:val="auto"/>
          <w:vertAlign w:val="superscript"/>
        </w:rPr>
        <w:t>3</w:t>
      </w:r>
      <w:r>
        <w:rPr>
          <w:rFonts w:hint="eastAsia"/>
          <w:color w:val="auto"/>
        </w:rPr>
        <w:t>/a，而目前大庆油田仅有喇二储气库，调峰能力为1.0×10</w:t>
      </w:r>
      <w:r>
        <w:rPr>
          <w:rFonts w:hint="eastAsia"/>
          <w:color w:val="auto"/>
          <w:vertAlign w:val="superscript"/>
        </w:rPr>
        <w:t>8</w:t>
      </w:r>
      <w:r>
        <w:rPr>
          <w:rFonts w:hint="eastAsia"/>
          <w:color w:val="auto"/>
        </w:rPr>
        <w:t>m</w:t>
      </w:r>
      <w:r>
        <w:rPr>
          <w:rFonts w:hint="eastAsia"/>
          <w:color w:val="auto"/>
          <w:vertAlign w:val="superscript"/>
        </w:rPr>
        <w:t>3</w:t>
      </w:r>
      <w:r>
        <w:rPr>
          <w:rFonts w:hint="eastAsia"/>
          <w:color w:val="auto"/>
        </w:rPr>
        <w:t>，正在建设的四站储气库，调峰能力3.05×10</w:t>
      </w:r>
      <w:r>
        <w:rPr>
          <w:rFonts w:hint="eastAsia"/>
          <w:color w:val="auto"/>
          <w:vertAlign w:val="superscript"/>
        </w:rPr>
        <w:t>8</w:t>
      </w:r>
      <w:r>
        <w:rPr>
          <w:rFonts w:hint="eastAsia"/>
          <w:color w:val="auto"/>
        </w:rPr>
        <w:t>m</w:t>
      </w:r>
      <w:r>
        <w:rPr>
          <w:rFonts w:hint="eastAsia"/>
          <w:color w:val="auto"/>
          <w:vertAlign w:val="superscript"/>
        </w:rPr>
        <w:t>3</w:t>
      </w:r>
      <w:r>
        <w:rPr>
          <w:rFonts w:hint="eastAsia"/>
          <w:color w:val="auto"/>
        </w:rPr>
        <w:t>，能力还达不到《意见》中的要求。因此大庆</w:t>
      </w:r>
      <w:r>
        <w:rPr>
          <w:rFonts w:hint="eastAsia"/>
          <w:color w:val="auto"/>
          <w:lang w:eastAsia="zh-CN"/>
        </w:rPr>
        <w:t>升平</w:t>
      </w:r>
      <w:r>
        <w:rPr>
          <w:rFonts w:hint="eastAsia"/>
          <w:color w:val="auto"/>
        </w:rPr>
        <w:t>储气库的建设是大庆地区落实国家天然气产业政策，构建天然气储备体系的迫切需要。</w:t>
      </w:r>
    </w:p>
    <w:p>
      <w:pPr>
        <w:pStyle w:val="33"/>
        <w:rPr>
          <w:rFonts w:hint="eastAsia"/>
          <w:color w:val="auto"/>
        </w:rPr>
      </w:pPr>
      <w:r>
        <w:rPr>
          <w:rFonts w:hint="eastAsia"/>
          <w:color w:val="auto"/>
        </w:rPr>
        <w:t>2、确保长输管道安全运行的有利保障</w:t>
      </w:r>
    </w:p>
    <w:p>
      <w:pPr>
        <w:pStyle w:val="33"/>
        <w:rPr>
          <w:color w:val="auto"/>
        </w:rPr>
      </w:pPr>
      <w:r>
        <w:rPr>
          <w:rFonts w:hint="eastAsia"/>
          <w:color w:val="auto"/>
        </w:rPr>
        <w:t>2014年5月，中俄双方企业签署了中俄东线天然气购销合同，2014年10月中俄政府间协议签订后生效。中俄东线天然气管道目标市场为东北三省、环渤海和长三角地区，途经黑龙江、吉林、内蒙古、辽宁、河北、天津、山东、江苏、上海9个省区市，将在2024年达到年供气380亿方规模。目前中俄东线天然气管道项目已开始运行。当今世界相对稳定，但局部地区冲突时有发生，不稳定因素依然存在。地下储气库除具备季节调峰功能外，还是长输管道发生各种意外故障停输情况下，确保安全供气的有力保障，地下储气库作为国家战略能源储备手段，将对我国社会的稳定和发展起到不可估量的作用。为输气管网配套建设一定规模的地下储气库同样符合股份公司关于地下储气库建设的战略发展规划和天然气安全供应要求，尤其是对于像中俄天然气管道这样大规模的跨国管道来说，更为重要。中俄东线作为单向输气管道，一旦发生故障、造成停气的局面时，黑龙江省作为中俄东线中国境内的起始端，气库内储存备用天然气，可保证中俄东线全线供气的连续性，确保全线管道下游地区的民用燃气和重要工业设施的用气需求。</w:t>
      </w:r>
    </w:p>
    <w:p>
      <w:pPr>
        <w:pStyle w:val="33"/>
        <w:rPr>
          <w:color w:val="auto"/>
        </w:rPr>
      </w:pPr>
      <w:r>
        <w:rPr>
          <w:rFonts w:hint="eastAsia"/>
          <w:color w:val="auto"/>
        </w:rPr>
        <w:t>3、满足黑</w:t>
      </w:r>
      <w:r>
        <w:rPr>
          <w:rFonts w:hint="eastAsia"/>
          <w:color w:val="auto"/>
          <w:lang w:eastAsia="zh-CN"/>
        </w:rPr>
        <w:t>、</w:t>
      </w:r>
      <w:r>
        <w:rPr>
          <w:rFonts w:hint="eastAsia"/>
          <w:color w:val="auto"/>
        </w:rPr>
        <w:t>吉、蒙东地区调峰需求，确保安全供气</w:t>
      </w:r>
    </w:p>
    <w:p>
      <w:pPr>
        <w:pStyle w:val="33"/>
        <w:rPr>
          <w:rFonts w:hint="eastAsia"/>
          <w:color w:val="auto"/>
        </w:rPr>
      </w:pPr>
      <w:r>
        <w:rPr>
          <w:rFonts w:hint="eastAsia"/>
          <w:color w:val="auto"/>
        </w:rPr>
        <w:t>根据规划总院提供的天然气需求预测，黑龙江、吉林和内蒙东部地区天然气调峰需求量将由2022年12.9×10</w:t>
      </w:r>
      <w:r>
        <w:rPr>
          <w:rFonts w:hint="eastAsia"/>
          <w:color w:val="auto"/>
          <w:vertAlign w:val="superscript"/>
        </w:rPr>
        <w:t>8</w:t>
      </w:r>
      <w:r>
        <w:rPr>
          <w:rFonts w:hint="eastAsia"/>
          <w:color w:val="auto"/>
        </w:rPr>
        <w:t>m</w:t>
      </w:r>
      <w:r>
        <w:rPr>
          <w:rFonts w:hint="eastAsia"/>
          <w:color w:val="auto"/>
          <w:vertAlign w:val="superscript"/>
        </w:rPr>
        <w:t>3</w:t>
      </w:r>
      <w:r>
        <w:rPr>
          <w:rFonts w:hint="eastAsia"/>
          <w:color w:val="auto"/>
        </w:rPr>
        <w:t>增加到2035年的50.4×10</w:t>
      </w:r>
      <w:r>
        <w:rPr>
          <w:rFonts w:hint="eastAsia"/>
          <w:color w:val="auto"/>
          <w:vertAlign w:val="superscript"/>
        </w:rPr>
        <w:t>8</w:t>
      </w:r>
      <w:r>
        <w:rPr>
          <w:rFonts w:hint="eastAsia"/>
          <w:color w:val="auto"/>
        </w:rPr>
        <w:t>m</w:t>
      </w:r>
      <w:r>
        <w:rPr>
          <w:rFonts w:hint="eastAsia"/>
          <w:color w:val="auto"/>
          <w:vertAlign w:val="superscript"/>
        </w:rPr>
        <w:t>3</w:t>
      </w:r>
      <w:r>
        <w:rPr>
          <w:rFonts w:hint="eastAsia"/>
          <w:color w:val="auto"/>
        </w:rPr>
        <w:t>。因此，为了适应目标市场快速增长的季节峰谷差的天然气市场需求，必须尽快增加新的可靠气源和功能较强的储气调峰手段，减少“气荒”现象，以切实保障安全平稳供气需求。</w:t>
      </w:r>
    </w:p>
    <w:p>
      <w:pPr>
        <w:pStyle w:val="33"/>
        <w:rPr>
          <w:rFonts w:hint="eastAsia"/>
          <w:color w:val="auto"/>
        </w:rPr>
      </w:pPr>
      <w:r>
        <w:rPr>
          <w:color w:val="auto"/>
        </w:rPr>
        <w:t>4</w:t>
      </w:r>
      <w:r>
        <w:rPr>
          <w:rFonts w:hint="eastAsia"/>
          <w:color w:val="auto"/>
        </w:rPr>
        <w:t>、充分利用大庆已有气藏地质资源，打造大庆油田储气库业务新的增长极气藏型地下储气库是世界上公认最普遍、最经济的季节储气调峰方式。与其它的储气调峰方式相比，气藏型储气库具有占地面积小、环境影响小、造价低、运行费用低、经济性好等一系列优点，可充分利用原有地质勘探资料与地面集输配套设施，节省大量研究与建设时间。根据股份公司2019-2030年地下储气库建设规划部署，股份公司将加速推进储气库建设，至2030年再新建23座储气库。储气库的建设受到了社会各界越来越多的关注。目前，大庆油田有多个构造相对简单，圈闭性较好，储层物性好，边水不活跃，具备建设储气库地质条件的气藏资源。因此，为满足储气调峰需求，应充分利用现有资源，顺应股份公司规划部署，加快大庆油田储气库产业建设。大庆油田已经踏上了振兴发展的新征程，储气库产业可为油田培育新的增长极。</w:t>
      </w:r>
    </w:p>
    <w:p>
      <w:pPr>
        <w:pStyle w:val="33"/>
        <w:rPr>
          <w:rFonts w:hint="eastAsia"/>
          <w:color w:val="auto"/>
        </w:rPr>
      </w:pPr>
      <w:r>
        <w:rPr>
          <w:color w:val="auto"/>
        </w:rPr>
        <w:t>5</w:t>
      </w:r>
      <w:r>
        <w:rPr>
          <w:rFonts w:hint="eastAsia"/>
          <w:color w:val="auto"/>
        </w:rPr>
        <w:t>、根据《升平储气库工程可行性研究-总体报告》，升平储气库圈闭完整，单一，落实。储气库圈闭范围内断层较少，穿过储层和盖层的断层垂向和侧向密封性较强。盖层厚度大，覆盖储气库圈闭全部区域，物性致密，密封性好。重新核实了地质储量规模，与探明储量相比变化小，储量落实。综合评价认为升平储气库具备建库地质条件。</w:t>
      </w:r>
    </w:p>
    <w:p>
      <w:pPr>
        <w:pStyle w:val="33"/>
        <w:rPr>
          <w:color w:val="auto"/>
        </w:rPr>
      </w:pPr>
      <w:r>
        <w:rPr>
          <w:rFonts w:hint="eastAsia"/>
          <w:color w:val="auto"/>
        </w:rPr>
        <w:t>为此，</w:t>
      </w:r>
      <w:r>
        <w:rPr>
          <w:rFonts w:hint="eastAsia"/>
          <w:color w:val="auto"/>
          <w:lang w:eastAsia="zh-CN"/>
        </w:rPr>
        <w:t>升平储气库的建设是大庆地区落实国家天然气产业政策，构建天然气储备体系的迫切需要。</w:t>
      </w:r>
      <w:r>
        <w:rPr>
          <w:rFonts w:hint="eastAsia"/>
          <w:color w:val="auto"/>
        </w:rPr>
        <w:t>大庆油田有限责任公司</w:t>
      </w:r>
      <w:r>
        <w:rPr>
          <w:rFonts w:hint="eastAsia"/>
          <w:color w:val="auto"/>
          <w:lang w:eastAsia="zh-CN"/>
        </w:rPr>
        <w:t>采气分公司（储气库分公司）</w:t>
      </w:r>
      <w:r>
        <w:rPr>
          <w:rFonts w:hint="eastAsia"/>
          <w:color w:val="auto"/>
        </w:rPr>
        <w:t>决定实施《</w:t>
      </w:r>
      <w:r>
        <w:rPr>
          <w:rFonts w:hint="eastAsia"/>
          <w:color w:val="auto"/>
          <w:lang w:eastAsia="zh-CN"/>
        </w:rPr>
        <w:t>大庆升平储气库工程钻</w:t>
      </w:r>
      <w:r>
        <w:rPr>
          <w:rFonts w:hint="eastAsia"/>
          <w:color w:val="auto"/>
          <w:lang w:val="en-US" w:eastAsia="zh-CN"/>
        </w:rPr>
        <w:t>采</w:t>
      </w:r>
      <w:r>
        <w:rPr>
          <w:rFonts w:hint="eastAsia"/>
          <w:color w:val="auto"/>
          <w:lang w:eastAsia="zh-CN"/>
        </w:rPr>
        <w:t>工程</w:t>
      </w:r>
      <w:r>
        <w:rPr>
          <w:rFonts w:hint="eastAsia"/>
          <w:color w:val="auto"/>
        </w:rPr>
        <w:t>》，在</w:t>
      </w:r>
      <w:r>
        <w:rPr>
          <w:rFonts w:hint="eastAsia"/>
          <w:color w:val="auto"/>
          <w:lang w:eastAsia="zh-CN"/>
        </w:rPr>
        <w:t>升平地区</w:t>
      </w:r>
      <w:r>
        <w:rPr>
          <w:rFonts w:hint="eastAsia"/>
          <w:color w:val="auto"/>
        </w:rPr>
        <w:t>为拟建储气库新钻</w:t>
      </w:r>
      <w:r>
        <w:rPr>
          <w:rFonts w:hint="eastAsia"/>
          <w:color w:val="auto"/>
          <w:lang w:eastAsia="zh-CN"/>
        </w:rPr>
        <w:t>注采</w:t>
      </w:r>
      <w:r>
        <w:rPr>
          <w:rFonts w:hint="eastAsia"/>
          <w:color w:val="auto"/>
        </w:rPr>
        <w:t>井</w:t>
      </w:r>
      <w:r>
        <w:rPr>
          <w:rFonts w:hint="eastAsia"/>
          <w:color w:val="auto"/>
          <w:lang w:val="en-US" w:eastAsia="zh-CN"/>
        </w:rPr>
        <w:t>30</w:t>
      </w:r>
      <w:r>
        <w:rPr>
          <w:rFonts w:hint="eastAsia"/>
          <w:color w:val="auto"/>
        </w:rPr>
        <w:t>口，通过天然气的夏注冬采，增加冬季的天然气产量，</w:t>
      </w:r>
      <w:r>
        <w:rPr>
          <w:rFonts w:hint="eastAsia"/>
          <w:color w:val="auto"/>
          <w:lang w:eastAsia="zh-CN"/>
        </w:rPr>
        <w:t>建成中俄东线天然气管道季节调峰的配套储气库</w:t>
      </w:r>
      <w:r>
        <w:rPr>
          <w:color w:val="auto"/>
        </w:rPr>
        <w:t>。</w:t>
      </w:r>
    </w:p>
    <w:p>
      <w:pPr>
        <w:pStyle w:val="4"/>
        <w:bidi w:val="0"/>
        <w:rPr>
          <w:color w:val="auto"/>
        </w:rPr>
      </w:pPr>
      <w:bookmarkStart w:id="24" w:name="_Toc17208"/>
      <w:r>
        <w:rPr>
          <w:rFonts w:hint="eastAsia"/>
          <w:color w:val="auto"/>
        </w:rPr>
        <w:t>项目</w:t>
      </w:r>
      <w:r>
        <w:rPr>
          <w:color w:val="auto"/>
        </w:rPr>
        <w:t>特点</w:t>
      </w:r>
      <w:bookmarkEnd w:id="24"/>
      <w:r>
        <w:rPr>
          <w:color w:val="auto"/>
        </w:rPr>
        <w:t xml:space="preserve"> </w:t>
      </w:r>
    </w:p>
    <w:p>
      <w:pPr>
        <w:pStyle w:val="33"/>
        <w:rPr>
          <w:rFonts w:hint="eastAsia"/>
          <w:color w:val="auto"/>
        </w:rPr>
      </w:pPr>
      <w:r>
        <w:rPr>
          <w:rFonts w:hint="eastAsia"/>
          <w:color w:val="auto"/>
        </w:rPr>
        <w:t>大庆升平储气库位于位于</w:t>
      </w:r>
      <w:r>
        <w:rPr>
          <w:rFonts w:hint="eastAsia"/>
          <w:color w:val="auto"/>
          <w:lang w:eastAsia="zh-CN"/>
        </w:rPr>
        <w:t>绥化市安达市</w:t>
      </w:r>
      <w:r>
        <w:rPr>
          <w:rFonts w:hint="eastAsia"/>
          <w:color w:val="auto"/>
        </w:rPr>
        <w:t>升平镇，行政</w:t>
      </w:r>
      <w:r>
        <w:rPr>
          <w:color w:val="auto"/>
        </w:rPr>
        <w:t>归属安达市，</w:t>
      </w:r>
      <w:r>
        <w:rPr>
          <w:rFonts w:hint="eastAsia"/>
          <w:color w:val="auto"/>
        </w:rPr>
        <w:t>位于安达市南约16km。区块范围内主要居住区有升平镇、白家屯、高明礼窝棚、胡井安、新立屯</w:t>
      </w:r>
      <w:r>
        <w:rPr>
          <w:rFonts w:hint="eastAsia"/>
          <w:color w:val="auto"/>
          <w:lang w:eastAsia="zh-CN"/>
        </w:rPr>
        <w:t>、保田村</w:t>
      </w:r>
      <w:r>
        <w:rPr>
          <w:rFonts w:hint="eastAsia"/>
          <w:color w:val="auto"/>
        </w:rPr>
        <w:t>等。</w:t>
      </w:r>
    </w:p>
    <w:p>
      <w:pPr>
        <w:pStyle w:val="33"/>
        <w:rPr>
          <w:rFonts w:hint="eastAsia" w:eastAsia="宋体"/>
          <w:color w:val="auto"/>
          <w:lang w:eastAsia="zh-CN"/>
        </w:rPr>
      </w:pPr>
      <w:r>
        <w:rPr>
          <w:rFonts w:hint="eastAsia"/>
          <w:color w:val="auto"/>
          <w:lang w:eastAsia="zh-CN"/>
        </w:rPr>
        <w:t>本</w:t>
      </w:r>
      <w:r>
        <w:rPr>
          <w:rFonts w:hint="eastAsia"/>
          <w:color w:val="auto"/>
        </w:rPr>
        <w:t>工程</w:t>
      </w:r>
      <w:r>
        <w:rPr>
          <w:rFonts w:hint="eastAsia"/>
          <w:color w:val="auto"/>
          <w:lang w:eastAsia="zh-CN"/>
        </w:rPr>
        <w:t>为升平</w:t>
      </w:r>
      <w:r>
        <w:rPr>
          <w:rFonts w:ascii="Times New Roman" w:hAnsi="Times New Roman" w:cs="Times New Roman"/>
          <w:color w:val="auto"/>
          <w:sz w:val="28"/>
          <w:szCs w:val="28"/>
        </w:rPr>
        <w:t>地下储气库建设项目</w:t>
      </w:r>
      <w:r>
        <w:rPr>
          <w:rFonts w:hint="eastAsia"/>
          <w:color w:val="auto"/>
          <w:lang w:eastAsia="zh-CN"/>
        </w:rPr>
        <w:t>的前期</w:t>
      </w:r>
      <w:r>
        <w:rPr>
          <w:rFonts w:hint="eastAsia"/>
          <w:color w:val="auto"/>
        </w:rPr>
        <w:t>钻井</w:t>
      </w:r>
      <w:r>
        <w:rPr>
          <w:rFonts w:hint="eastAsia"/>
          <w:color w:val="auto"/>
          <w:lang w:eastAsia="zh-CN"/>
        </w:rPr>
        <w:t>工程，</w:t>
      </w:r>
      <w:r>
        <w:rPr>
          <w:rFonts w:hint="eastAsia"/>
          <w:color w:val="auto"/>
        </w:rPr>
        <w:t>性质为</w:t>
      </w:r>
      <w:r>
        <w:rPr>
          <w:rFonts w:hint="eastAsia"/>
          <w:color w:val="auto"/>
          <w:lang w:eastAsia="zh-CN"/>
        </w:rPr>
        <w:t>新建</w:t>
      </w:r>
      <w:r>
        <w:rPr>
          <w:rFonts w:hint="eastAsia"/>
          <w:color w:val="auto"/>
        </w:rPr>
        <w:t>工程，建设内容包括：新钻井</w:t>
      </w:r>
      <w:r>
        <w:rPr>
          <w:rFonts w:hint="eastAsia"/>
          <w:color w:val="auto"/>
          <w:lang w:val="en-US" w:eastAsia="zh-CN"/>
        </w:rPr>
        <w:t>30</w:t>
      </w:r>
      <w:r>
        <w:rPr>
          <w:rFonts w:hint="eastAsia"/>
          <w:color w:val="auto"/>
        </w:rPr>
        <w:t>口</w:t>
      </w:r>
      <w:r>
        <w:rPr>
          <w:rFonts w:hint="eastAsia"/>
          <w:color w:val="auto"/>
          <w:lang w:eastAsia="zh-CN"/>
        </w:rPr>
        <w:t>，完钻层位营三段，井深3559m-4389m，垂深2800m-2900m，</w:t>
      </w:r>
      <w:r>
        <w:rPr>
          <w:rFonts w:hint="eastAsia"/>
          <w:color w:val="auto"/>
          <w:highlight w:val="none"/>
        </w:rPr>
        <w:t>钻井总进尺</w:t>
      </w:r>
      <w:r>
        <w:rPr>
          <w:rFonts w:hint="eastAsia"/>
          <w:color w:val="auto"/>
          <w:highlight w:val="none"/>
          <w:lang w:val="en-US" w:eastAsia="zh-CN"/>
        </w:rPr>
        <w:t>105020</w:t>
      </w:r>
      <w:r>
        <w:rPr>
          <w:rFonts w:hint="eastAsia"/>
          <w:color w:val="auto"/>
        </w:rPr>
        <w:t>m。本工程包含钻井、测井、录井、</w:t>
      </w:r>
      <w:r>
        <w:rPr>
          <w:rFonts w:hint="eastAsia"/>
          <w:color w:val="auto"/>
          <w:lang w:eastAsia="zh-CN"/>
        </w:rPr>
        <w:t>完井</w:t>
      </w:r>
      <w:r>
        <w:rPr>
          <w:rFonts w:hint="eastAsia"/>
          <w:color w:val="auto"/>
        </w:rPr>
        <w:t>等工程，不包括</w:t>
      </w:r>
      <w:r>
        <w:rPr>
          <w:rFonts w:hint="eastAsia"/>
          <w:color w:val="auto"/>
          <w:lang w:eastAsia="zh-CN"/>
        </w:rPr>
        <w:t>酸化、射孔、</w:t>
      </w:r>
      <w:r>
        <w:rPr>
          <w:rFonts w:hint="eastAsia"/>
          <w:color w:val="auto"/>
        </w:rPr>
        <w:t>压裂及后续产能地面建设开发建设</w:t>
      </w:r>
      <w:r>
        <w:rPr>
          <w:rFonts w:hint="eastAsia"/>
          <w:color w:val="auto"/>
          <w:lang w:eastAsia="zh-CN"/>
        </w:rPr>
        <w:t>，</w:t>
      </w:r>
      <w:r>
        <w:rPr>
          <w:rFonts w:hint="eastAsia"/>
          <w:snapToGrid w:val="0"/>
          <w:color w:val="auto"/>
          <w:kern w:val="0"/>
          <w:sz w:val="28"/>
          <w:szCs w:val="28"/>
        </w:rPr>
        <w:t>后续地面工程及产能建设项目另行开展环境影响评价工作。</w:t>
      </w:r>
    </w:p>
    <w:p>
      <w:pPr>
        <w:pStyle w:val="33"/>
        <w:rPr>
          <w:rFonts w:hint="eastAsia"/>
          <w:color w:val="auto"/>
        </w:rPr>
      </w:pPr>
      <w:r>
        <w:rPr>
          <w:rFonts w:hint="eastAsia"/>
          <w:color w:val="auto"/>
        </w:rPr>
        <w:t>本工程占地总计约</w:t>
      </w:r>
      <w:r>
        <w:rPr>
          <w:rFonts w:hint="eastAsia"/>
          <w:color w:val="auto"/>
          <w:lang w:eastAsia="zh-CN"/>
        </w:rPr>
        <w:t>占地面积</w:t>
      </w:r>
      <w:r>
        <w:rPr>
          <w:rFonts w:hint="eastAsia"/>
          <w:color w:val="auto"/>
          <w:lang w:val="en-US" w:eastAsia="zh-CN"/>
        </w:rPr>
        <w:t>134400</w:t>
      </w:r>
      <w:r>
        <w:rPr>
          <w:rFonts w:hint="eastAsia"/>
          <w:color w:val="auto"/>
        </w:rPr>
        <w:t>m</w:t>
      </w:r>
      <w:r>
        <w:rPr>
          <w:rFonts w:hint="eastAsia"/>
          <w:color w:val="auto"/>
          <w:vertAlign w:val="superscript"/>
        </w:rPr>
        <w:t>2</w:t>
      </w:r>
      <w:r>
        <w:rPr>
          <w:rFonts w:hint="eastAsia"/>
          <w:color w:val="auto"/>
        </w:rPr>
        <w:t>，所占地类为耕地和草地，耕地均为基本农田；草地属于一般草地。其中永久占用耕地</w:t>
      </w:r>
      <w:r>
        <w:rPr>
          <w:rFonts w:hint="eastAsia"/>
          <w:color w:val="auto"/>
          <w:lang w:eastAsia="zh-CN"/>
        </w:rPr>
        <w:t>面积</w:t>
      </w:r>
      <w:r>
        <w:rPr>
          <w:rFonts w:hint="eastAsia"/>
          <w:color w:val="auto"/>
          <w:lang w:val="en-US" w:eastAsia="zh-CN"/>
        </w:rPr>
        <w:t>16000</w:t>
      </w:r>
      <w:r>
        <w:rPr>
          <w:rFonts w:hint="eastAsia"/>
          <w:color w:val="auto"/>
        </w:rPr>
        <w:t>m</w:t>
      </w:r>
      <w:r>
        <w:rPr>
          <w:rFonts w:hint="eastAsia"/>
          <w:color w:val="auto"/>
          <w:vertAlign w:val="superscript"/>
        </w:rPr>
        <w:t>2</w:t>
      </w:r>
      <w:r>
        <w:rPr>
          <w:rFonts w:hint="eastAsia"/>
          <w:color w:val="auto"/>
        </w:rPr>
        <w:t>；临时占用耕地</w:t>
      </w:r>
      <w:r>
        <w:rPr>
          <w:rFonts w:hint="eastAsia"/>
          <w:color w:val="auto"/>
          <w:lang w:eastAsia="zh-CN"/>
        </w:rPr>
        <w:t>面积</w:t>
      </w:r>
      <w:r>
        <w:rPr>
          <w:rFonts w:hint="eastAsia"/>
          <w:color w:val="auto"/>
          <w:lang w:val="en-US" w:eastAsia="zh-CN"/>
        </w:rPr>
        <w:t>109950</w:t>
      </w:r>
      <w:r>
        <w:rPr>
          <w:rFonts w:hint="eastAsia"/>
          <w:color w:val="auto"/>
        </w:rPr>
        <w:t>m</w:t>
      </w:r>
      <w:r>
        <w:rPr>
          <w:rFonts w:hint="eastAsia"/>
          <w:color w:val="auto"/>
          <w:vertAlign w:val="superscript"/>
        </w:rPr>
        <w:t>2</w:t>
      </w:r>
      <w:r>
        <w:rPr>
          <w:rFonts w:hint="eastAsia"/>
          <w:color w:val="auto"/>
        </w:rPr>
        <w:t>，临时占用草地</w:t>
      </w:r>
      <w:r>
        <w:rPr>
          <w:rFonts w:hint="eastAsia"/>
          <w:color w:val="auto"/>
          <w:lang w:eastAsia="zh-CN"/>
        </w:rPr>
        <w:t>面积</w:t>
      </w:r>
      <w:r>
        <w:rPr>
          <w:rFonts w:hint="eastAsia"/>
          <w:color w:val="auto"/>
          <w:lang w:val="en-US" w:eastAsia="zh-CN"/>
        </w:rPr>
        <w:t>8450</w:t>
      </w:r>
      <w:r>
        <w:rPr>
          <w:rFonts w:hint="eastAsia"/>
          <w:color w:val="auto"/>
        </w:rPr>
        <w:t>m</w:t>
      </w:r>
      <w:r>
        <w:rPr>
          <w:rFonts w:hint="eastAsia"/>
          <w:color w:val="auto"/>
          <w:vertAlign w:val="superscript"/>
        </w:rPr>
        <w:t>2</w:t>
      </w:r>
      <w:r>
        <w:rPr>
          <w:rFonts w:hint="eastAsia"/>
          <w:color w:val="auto"/>
        </w:rPr>
        <w:t>。</w:t>
      </w:r>
      <w:r>
        <w:rPr>
          <w:rFonts w:hint="eastAsia"/>
          <w:snapToGrid w:val="0"/>
          <w:color w:val="auto"/>
          <w:kern w:val="0"/>
          <w:sz w:val="28"/>
          <w:szCs w:val="28"/>
        </w:rPr>
        <w:t>工程周围以农业为主，无其它大型工业区，周围分布村屯较多，村屯饮用水均来自于</w:t>
      </w:r>
      <w:r>
        <w:rPr>
          <w:rFonts w:hint="eastAsia"/>
          <w:snapToGrid w:val="0"/>
          <w:color w:val="auto"/>
          <w:kern w:val="0"/>
          <w:sz w:val="28"/>
          <w:szCs w:val="28"/>
          <w:lang w:eastAsia="zh-CN"/>
        </w:rPr>
        <w:t>羊草镇集中饮用水水源</w:t>
      </w:r>
      <w:r>
        <w:rPr>
          <w:rFonts w:hint="eastAsia"/>
          <w:snapToGrid w:val="0"/>
          <w:color w:val="auto"/>
          <w:kern w:val="0"/>
          <w:sz w:val="28"/>
          <w:szCs w:val="28"/>
        </w:rPr>
        <w:t>水</w:t>
      </w:r>
      <w:r>
        <w:rPr>
          <w:rFonts w:hint="eastAsia"/>
          <w:snapToGrid w:val="0"/>
          <w:color w:val="auto"/>
          <w:kern w:val="0"/>
          <w:sz w:val="28"/>
          <w:szCs w:val="28"/>
          <w:lang w:eastAsia="zh-CN"/>
        </w:rPr>
        <w:t>，距离本项目最近井场</w:t>
      </w:r>
      <w:r>
        <w:rPr>
          <w:rFonts w:hint="eastAsia"/>
          <w:snapToGrid w:val="0"/>
          <w:color w:val="auto"/>
          <w:kern w:val="0"/>
          <w:sz w:val="28"/>
          <w:szCs w:val="28"/>
          <w:lang w:val="en-US" w:eastAsia="zh-CN"/>
        </w:rPr>
        <w:t>6.03km，本工程评价范围内的水井均为</w:t>
      </w:r>
      <w:r>
        <w:rPr>
          <w:rFonts w:hint="eastAsia"/>
          <w:snapToGrid w:val="0"/>
          <w:color w:val="auto"/>
          <w:kern w:val="0"/>
          <w:sz w:val="28"/>
          <w:szCs w:val="28"/>
          <w:lang w:eastAsia="zh-CN"/>
        </w:rPr>
        <w:t>村屯单井</w:t>
      </w:r>
      <w:r>
        <w:rPr>
          <w:rFonts w:hint="eastAsia"/>
          <w:snapToGrid w:val="0"/>
          <w:color w:val="auto"/>
          <w:kern w:val="0"/>
          <w:sz w:val="28"/>
          <w:szCs w:val="28"/>
        </w:rPr>
        <w:t>。</w:t>
      </w:r>
    </w:p>
    <w:p>
      <w:pPr>
        <w:pStyle w:val="33"/>
        <w:rPr>
          <w:rFonts w:hint="eastAsia"/>
          <w:color w:val="auto"/>
        </w:rPr>
      </w:pPr>
      <w:r>
        <w:rPr>
          <w:rFonts w:hint="eastAsia"/>
          <w:color w:val="auto"/>
        </w:rPr>
        <w:t>工程总投资</w:t>
      </w:r>
      <w:r>
        <w:rPr>
          <w:rFonts w:hint="eastAsia"/>
          <w:color w:val="auto"/>
          <w:lang w:val="en-US" w:eastAsia="zh-CN"/>
        </w:rPr>
        <w:t>252726</w:t>
      </w:r>
      <w:r>
        <w:rPr>
          <w:rFonts w:hint="eastAsia"/>
          <w:color w:val="auto"/>
        </w:rPr>
        <w:t>万元，环保投资</w:t>
      </w:r>
      <w:r>
        <w:rPr>
          <w:rFonts w:hint="eastAsia"/>
          <w:color w:val="auto"/>
          <w:lang w:eastAsia="zh-CN"/>
        </w:rPr>
        <w:t>为</w:t>
      </w:r>
      <w:r>
        <w:rPr>
          <w:rFonts w:hint="eastAsia"/>
          <w:color w:val="auto"/>
        </w:rPr>
        <w:t>1665.06万元，占总投资的</w:t>
      </w:r>
      <w:r>
        <w:rPr>
          <w:rFonts w:hint="eastAsia"/>
          <w:color w:val="auto"/>
          <w:lang w:val="en-US" w:eastAsia="zh-CN"/>
        </w:rPr>
        <w:t>0.65%</w:t>
      </w:r>
      <w:r>
        <w:rPr>
          <w:rFonts w:hint="eastAsia"/>
          <w:color w:val="auto"/>
        </w:rPr>
        <w:t>。</w:t>
      </w:r>
    </w:p>
    <w:p>
      <w:pPr>
        <w:pStyle w:val="33"/>
        <w:rPr>
          <w:rFonts w:hint="eastAsia"/>
          <w:color w:val="auto"/>
        </w:rPr>
      </w:pPr>
      <w:r>
        <w:rPr>
          <w:rFonts w:hAnsi="宋体"/>
          <w:color w:val="auto"/>
          <w:sz w:val="28"/>
          <w:szCs w:val="28"/>
        </w:rPr>
        <w:t>本工程</w:t>
      </w:r>
      <w:r>
        <w:rPr>
          <w:rFonts w:hint="eastAsia" w:hAnsi="宋体"/>
          <w:color w:val="auto"/>
          <w:sz w:val="28"/>
          <w:szCs w:val="28"/>
        </w:rPr>
        <w:t>钻井</w:t>
      </w:r>
      <w:r>
        <w:rPr>
          <w:rFonts w:hint="eastAsia" w:hAnsi="宋体"/>
          <w:color w:val="auto"/>
          <w:sz w:val="28"/>
          <w:szCs w:val="28"/>
          <w:lang w:val="en-US" w:eastAsia="zh-CN"/>
        </w:rPr>
        <w:t>一开二开</w:t>
      </w:r>
      <w:r>
        <w:rPr>
          <w:rFonts w:hAnsi="宋体"/>
          <w:color w:val="auto"/>
          <w:sz w:val="28"/>
          <w:szCs w:val="28"/>
        </w:rPr>
        <w:t>采用</w:t>
      </w:r>
      <w:r>
        <w:rPr>
          <w:rFonts w:hint="eastAsia" w:hAnsi="宋体"/>
          <w:color w:val="auto"/>
          <w:sz w:val="28"/>
          <w:szCs w:val="28"/>
          <w:lang w:val="en-US" w:eastAsia="zh-CN"/>
        </w:rPr>
        <w:t>无毒无害的</w:t>
      </w:r>
      <w:r>
        <w:rPr>
          <w:rFonts w:hAnsi="宋体"/>
          <w:color w:val="auto"/>
          <w:sz w:val="28"/>
          <w:szCs w:val="28"/>
        </w:rPr>
        <w:t>水基钻井液</w:t>
      </w:r>
      <w:r>
        <w:rPr>
          <w:rFonts w:hint="eastAsia" w:hAnsi="宋体"/>
          <w:color w:val="auto"/>
          <w:sz w:val="28"/>
          <w:szCs w:val="28"/>
        </w:rPr>
        <w:t>，</w:t>
      </w:r>
      <w:r>
        <w:rPr>
          <w:rFonts w:hint="eastAsia" w:hAnsi="宋体"/>
          <w:color w:val="auto"/>
          <w:sz w:val="28"/>
          <w:szCs w:val="28"/>
          <w:lang w:val="en-US" w:eastAsia="zh-CN"/>
        </w:rPr>
        <w:t>三开四开采用油基钻井液。</w:t>
      </w:r>
      <w:r>
        <w:rPr>
          <w:rFonts w:hint="eastAsia" w:hAnsi="宋体"/>
          <w:color w:val="auto"/>
          <w:sz w:val="28"/>
          <w:szCs w:val="28"/>
          <w:lang w:eastAsia="zh-CN"/>
        </w:rPr>
        <w:t>采用四开井身结构</w:t>
      </w:r>
      <w:r>
        <w:rPr>
          <w:rFonts w:hAnsi="宋体"/>
          <w:color w:val="auto"/>
          <w:sz w:val="28"/>
          <w:szCs w:val="28"/>
        </w:rPr>
        <w:t>，固井水泥返高至地面，确保完全封闭地下水层，以保护地下水不受污染；</w:t>
      </w:r>
      <w:r>
        <w:rPr>
          <w:rFonts w:hint="eastAsia" w:hAnsi="宋体"/>
          <w:color w:val="auto"/>
          <w:sz w:val="28"/>
          <w:szCs w:val="28"/>
        </w:rPr>
        <w:t>本工程钻井过程中产生的钻井污水、</w:t>
      </w:r>
      <w:r>
        <w:rPr>
          <w:rFonts w:hint="eastAsia" w:hAnsi="宋体"/>
          <w:color w:val="auto"/>
          <w:sz w:val="28"/>
          <w:szCs w:val="28"/>
          <w:lang w:val="en-US" w:eastAsia="zh-CN"/>
        </w:rPr>
        <w:t>水基</w:t>
      </w:r>
      <w:r>
        <w:rPr>
          <w:rFonts w:hint="eastAsia" w:hAnsi="宋体"/>
          <w:color w:val="auto"/>
          <w:sz w:val="28"/>
          <w:szCs w:val="28"/>
        </w:rPr>
        <w:t>废钻井液、岩屑执行不落地收集处理工艺，废弃泥浆在井场进行固液分离处理。分离出的液相处理达标后循环利用，无法利用的分离出的固相废弃物，就近拉运至大庆市采油八厂废弃钻井液集中处理站统一处理，泥饼统一收集后转运至大庆油田采油八厂指定地点，作为油田铺路、铺垫井场等综合利用。</w:t>
      </w:r>
      <w:r>
        <w:rPr>
          <w:rFonts w:hint="eastAsia" w:hAnsi="宋体"/>
          <w:color w:val="auto"/>
          <w:sz w:val="28"/>
          <w:szCs w:val="28"/>
          <w:lang w:val="en-US" w:eastAsia="zh-CN"/>
        </w:rPr>
        <w:t>三开和四开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w:t>
      </w:r>
      <w:r>
        <w:rPr>
          <w:color w:val="auto"/>
        </w:rPr>
        <w:t>完井方式优化为</w:t>
      </w:r>
      <w:r>
        <w:rPr>
          <w:rFonts w:hint="eastAsia" w:hAnsi="宋体"/>
          <w:color w:val="auto"/>
          <w:sz w:val="28"/>
          <w:szCs w:val="28"/>
        </w:rPr>
        <w:t>筛管完井</w:t>
      </w:r>
      <w:r>
        <w:rPr>
          <w:rFonts w:hint="eastAsia" w:hAnsi="宋体"/>
          <w:color w:val="auto"/>
          <w:sz w:val="28"/>
          <w:szCs w:val="28"/>
          <w:lang w:eastAsia="zh-CN"/>
        </w:rPr>
        <w:t>，可</w:t>
      </w:r>
      <w:r>
        <w:rPr>
          <w:rFonts w:hint="eastAsia"/>
          <w:color w:val="auto"/>
        </w:rPr>
        <w:t>有效降低完井管串复杂性</w:t>
      </w:r>
      <w:r>
        <w:rPr>
          <w:rFonts w:hAnsi="宋体"/>
          <w:color w:val="auto"/>
          <w:sz w:val="28"/>
          <w:szCs w:val="28"/>
        </w:rPr>
        <w:t>。</w:t>
      </w:r>
    </w:p>
    <w:p>
      <w:pPr>
        <w:pStyle w:val="33"/>
        <w:rPr>
          <w:rFonts w:hint="eastAsia"/>
          <w:color w:val="auto"/>
        </w:rPr>
      </w:pPr>
      <w:r>
        <w:rPr>
          <w:rFonts w:hint="eastAsia"/>
          <w:color w:val="auto"/>
        </w:rPr>
        <w:t>根据《中华人民共和国环境保护法》、《中华人民共和国环境影响评价法》的规定，受大庆油田有限责任公司</w:t>
      </w:r>
      <w:r>
        <w:rPr>
          <w:rFonts w:hint="eastAsia"/>
          <w:color w:val="auto"/>
          <w:lang w:eastAsia="zh-CN"/>
        </w:rPr>
        <w:t>采气分公司（储气库分公司）</w:t>
      </w:r>
      <w:r>
        <w:rPr>
          <w:rFonts w:hint="eastAsia"/>
          <w:color w:val="auto"/>
        </w:rPr>
        <w:t>质量安全环保部的委托，大庆恒安评价检测有限公司承担了该项目的环境影响评价工作</w:t>
      </w:r>
    </w:p>
    <w:p>
      <w:pPr>
        <w:pStyle w:val="33"/>
        <w:rPr>
          <w:color w:val="auto"/>
        </w:rPr>
      </w:pPr>
      <w:r>
        <w:rPr>
          <w:rFonts w:hint="eastAsia"/>
          <w:color w:val="auto"/>
        </w:rPr>
        <w:t>本工程所在地无自然保护区、风景名胜区、饮用水水源保护区、生态保护红线管控范围、基本草原、重要湿地、水土流失重点预防区和重点治理区、文物保护单位等环境敏感区分布，但井场建设需占用永久基本农田。</w:t>
      </w:r>
    </w:p>
    <w:p>
      <w:pPr>
        <w:pStyle w:val="4"/>
        <w:bidi w:val="0"/>
        <w:rPr>
          <w:color w:val="auto"/>
        </w:rPr>
      </w:pPr>
      <w:bookmarkStart w:id="25" w:name="_Toc49174386"/>
      <w:bookmarkStart w:id="26" w:name="_Toc10497"/>
      <w:bookmarkStart w:id="27" w:name="_Toc49174937"/>
      <w:bookmarkStart w:id="28" w:name="_Toc5210"/>
      <w:bookmarkStart w:id="29" w:name="_Toc20496"/>
      <w:bookmarkStart w:id="30" w:name="_Toc49174596"/>
      <w:bookmarkStart w:id="31" w:name="_Toc11315"/>
      <w:bookmarkStart w:id="32" w:name="_Toc49174762"/>
      <w:bookmarkStart w:id="33" w:name="_Toc6850"/>
      <w:bookmarkStart w:id="34" w:name="_Toc49174705"/>
      <w:bookmarkStart w:id="35" w:name="_Toc7076"/>
      <w:bookmarkStart w:id="36" w:name="_Toc31968"/>
      <w:bookmarkStart w:id="37" w:name="_Toc12098"/>
      <w:bookmarkStart w:id="38" w:name="_Toc3616"/>
      <w:bookmarkStart w:id="39" w:name="_Toc25371"/>
      <w:r>
        <w:rPr>
          <w:color w:val="auto"/>
        </w:rPr>
        <w:t>环境影响评价工作过程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pPr>
        <w:pStyle w:val="33"/>
        <w:rPr>
          <w:rFonts w:hint="eastAsia"/>
          <w:bCs/>
          <w:snapToGrid w:val="0"/>
          <w:color w:val="auto"/>
        </w:rPr>
      </w:pPr>
      <w:r>
        <w:rPr>
          <w:rFonts w:hint="eastAsia"/>
          <w:bCs/>
          <w:snapToGrid w:val="0"/>
          <w:color w:val="auto"/>
        </w:rPr>
        <w:t>我单位在接受委托后，按照《建设项目环境影响评价技术导则总纲》（HJ2.1-2016）、《环境影响评价技术导则陆地石油天然气开发建设项目》（HJ/T349-2007）等国家有关环境影响评价规范、技术导则及环境保护管理部门的要求，依次完成以下环境影响评价工作：</w:t>
      </w:r>
    </w:p>
    <w:p>
      <w:pPr>
        <w:pStyle w:val="33"/>
        <w:rPr>
          <w:rFonts w:hint="eastAsia"/>
          <w:bCs/>
          <w:snapToGrid w:val="0"/>
          <w:color w:val="auto"/>
        </w:rPr>
      </w:pPr>
      <w:r>
        <w:rPr>
          <w:rFonts w:hint="eastAsia"/>
          <w:bCs/>
          <w:snapToGrid w:val="0"/>
          <w:color w:val="auto"/>
        </w:rPr>
        <w:t>第一阶段：首先，本项目为地下储气库</w:t>
      </w:r>
      <w:r>
        <w:rPr>
          <w:rFonts w:hint="eastAsia"/>
          <w:bCs/>
          <w:snapToGrid w:val="0"/>
          <w:color w:val="auto"/>
          <w:lang w:eastAsia="zh-CN"/>
        </w:rPr>
        <w:t>钻井工程</w:t>
      </w:r>
      <w:r>
        <w:rPr>
          <w:rFonts w:hint="eastAsia"/>
          <w:bCs/>
          <w:snapToGrid w:val="0"/>
          <w:color w:val="auto"/>
        </w:rPr>
        <w:t>建设项目，按照《国民经济行业分类》（GB/T4754-2017），行业类别为G5941油气仓储。按照《建设项目环境影响评价分类管理名录》（2021版）的规定，本项目属于“149危险品仓储594”中的“地下气库”类别，需编制环境影响报告书，对项目产生的污染和对环境影响情况进行详细评价，从环境保护角度评估项目建设的可行性。</w:t>
      </w:r>
    </w:p>
    <w:p>
      <w:pPr>
        <w:pStyle w:val="33"/>
        <w:rPr>
          <w:rFonts w:hint="eastAsia"/>
          <w:bCs/>
          <w:snapToGrid w:val="0"/>
          <w:color w:val="auto"/>
        </w:rPr>
      </w:pPr>
      <w:r>
        <w:rPr>
          <w:rFonts w:hint="eastAsia"/>
          <w:bCs/>
          <w:snapToGrid w:val="0"/>
          <w:color w:val="auto"/>
        </w:rPr>
        <w:t>202</w:t>
      </w:r>
      <w:r>
        <w:rPr>
          <w:rFonts w:hint="eastAsia"/>
          <w:bCs/>
          <w:snapToGrid w:val="0"/>
          <w:color w:val="auto"/>
          <w:lang w:val="en-US" w:eastAsia="zh-CN"/>
        </w:rPr>
        <w:t>2</w:t>
      </w:r>
      <w:r>
        <w:rPr>
          <w:rFonts w:hint="eastAsia"/>
          <w:bCs/>
          <w:snapToGrid w:val="0"/>
          <w:color w:val="auto"/>
        </w:rPr>
        <w:t>年</w:t>
      </w:r>
      <w:r>
        <w:rPr>
          <w:rFonts w:hint="eastAsia"/>
          <w:bCs/>
          <w:snapToGrid w:val="0"/>
          <w:color w:val="auto"/>
          <w:lang w:val="en-US" w:eastAsia="zh-CN"/>
        </w:rPr>
        <w:t>3</w:t>
      </w:r>
      <w:r>
        <w:rPr>
          <w:rFonts w:hint="eastAsia"/>
          <w:bCs/>
          <w:snapToGrid w:val="0"/>
          <w:color w:val="auto"/>
        </w:rPr>
        <w:t>月大庆油田有限责任公司</w:t>
      </w:r>
      <w:r>
        <w:rPr>
          <w:rFonts w:hint="eastAsia"/>
          <w:bCs/>
          <w:snapToGrid w:val="0"/>
          <w:color w:val="auto"/>
          <w:lang w:eastAsia="zh-CN"/>
        </w:rPr>
        <w:t>采气分公司（储气库分公司）</w:t>
      </w:r>
      <w:r>
        <w:rPr>
          <w:rFonts w:hint="eastAsia"/>
          <w:bCs/>
          <w:snapToGrid w:val="0"/>
          <w:color w:val="auto"/>
        </w:rPr>
        <w:t>委托我单位承担本项目的环境影响评价工作。在仔细研究项目油藏方案、地质设计方案、工程设计方案的基础上，进行了初步工程分析，并在202</w:t>
      </w:r>
      <w:r>
        <w:rPr>
          <w:rFonts w:hint="eastAsia"/>
          <w:bCs/>
          <w:snapToGrid w:val="0"/>
          <w:color w:val="auto"/>
          <w:lang w:val="en-US" w:eastAsia="zh-CN"/>
        </w:rPr>
        <w:t>2</w:t>
      </w:r>
      <w:r>
        <w:rPr>
          <w:rFonts w:hint="eastAsia"/>
          <w:bCs/>
          <w:snapToGrid w:val="0"/>
          <w:color w:val="auto"/>
        </w:rPr>
        <w:t>年</w:t>
      </w:r>
      <w:r>
        <w:rPr>
          <w:rFonts w:hint="eastAsia"/>
          <w:bCs/>
          <w:snapToGrid w:val="0"/>
          <w:color w:val="auto"/>
          <w:lang w:val="en-US" w:eastAsia="zh-CN"/>
        </w:rPr>
        <w:t>3</w:t>
      </w:r>
      <w:r>
        <w:rPr>
          <w:rFonts w:hint="eastAsia"/>
          <w:bCs/>
          <w:snapToGrid w:val="0"/>
          <w:color w:val="auto"/>
        </w:rPr>
        <w:t>月</w:t>
      </w:r>
      <w:r>
        <w:rPr>
          <w:rFonts w:hint="eastAsia"/>
          <w:bCs/>
          <w:snapToGrid w:val="0"/>
          <w:color w:val="auto"/>
          <w:lang w:val="en-US" w:eastAsia="zh-CN"/>
        </w:rPr>
        <w:t>20</w:t>
      </w:r>
      <w:r>
        <w:rPr>
          <w:rFonts w:hint="eastAsia"/>
          <w:bCs/>
          <w:snapToGrid w:val="0"/>
          <w:color w:val="auto"/>
        </w:rPr>
        <w:t>日对项目所在区域进行实地踏勘和调研，了解项目周围情况。在此基础上，完成环境影响因素识别、评价因子筛选、评价重点和主要环境保护目标确定等工作，并以此确定评价工作等级、评价范围和评价标准。</w:t>
      </w:r>
    </w:p>
    <w:p>
      <w:pPr>
        <w:pStyle w:val="33"/>
        <w:rPr>
          <w:rFonts w:hint="eastAsia"/>
          <w:bCs/>
          <w:snapToGrid w:val="0"/>
          <w:color w:val="auto"/>
        </w:rPr>
      </w:pPr>
      <w:r>
        <w:rPr>
          <w:rFonts w:hint="eastAsia"/>
          <w:bCs/>
          <w:snapToGrid w:val="0"/>
          <w:color w:val="auto"/>
        </w:rPr>
        <w:t>第二阶段：根据工作方案，针对各环境要素的评价工作等级，调查了评价范围内的环境状况，于202</w:t>
      </w:r>
      <w:r>
        <w:rPr>
          <w:rFonts w:hint="eastAsia"/>
          <w:bCs/>
          <w:snapToGrid w:val="0"/>
          <w:color w:val="auto"/>
          <w:lang w:val="en-US" w:eastAsia="zh-CN"/>
        </w:rPr>
        <w:t>2</w:t>
      </w:r>
      <w:r>
        <w:rPr>
          <w:rFonts w:hint="eastAsia"/>
          <w:bCs/>
          <w:snapToGrid w:val="0"/>
          <w:color w:val="auto"/>
        </w:rPr>
        <w:t>年</w:t>
      </w:r>
      <w:r>
        <w:rPr>
          <w:rFonts w:hint="eastAsia"/>
          <w:bCs/>
          <w:snapToGrid w:val="0"/>
          <w:color w:val="auto"/>
          <w:lang w:val="en-US" w:eastAsia="zh-CN"/>
        </w:rPr>
        <w:t>3</w:t>
      </w:r>
      <w:r>
        <w:rPr>
          <w:rFonts w:hint="eastAsia"/>
          <w:bCs/>
          <w:snapToGrid w:val="0"/>
          <w:color w:val="auto"/>
        </w:rPr>
        <w:t>月</w:t>
      </w:r>
      <w:r>
        <w:rPr>
          <w:rFonts w:hint="eastAsia"/>
          <w:bCs/>
          <w:snapToGrid w:val="0"/>
          <w:color w:val="auto"/>
          <w:lang w:val="en-US" w:eastAsia="zh-CN"/>
        </w:rPr>
        <w:t>28</w:t>
      </w:r>
      <w:r>
        <w:rPr>
          <w:rFonts w:hint="eastAsia"/>
          <w:bCs/>
          <w:snapToGrid w:val="0"/>
          <w:color w:val="auto"/>
        </w:rPr>
        <w:t>日制定了监测方案并委托大庆中环评价检测有限公司对项目所在区域环境质量现状进行监测，掌握区域环境质量现状。进行了详细的项目工程分析，在环境质量现状监测与评价的基础上，进行各环境要素的环境影响预测和评价，按照生态环境部关于环境影响评价深度和广度的要求，开展环评报告书的编制工作，编制完成各专题环境影响分析与评价章节。</w:t>
      </w:r>
    </w:p>
    <w:p>
      <w:pPr>
        <w:pStyle w:val="33"/>
        <w:rPr>
          <w:rFonts w:hint="eastAsia"/>
          <w:bCs/>
          <w:snapToGrid w:val="0"/>
          <w:color w:val="auto"/>
        </w:rPr>
      </w:pPr>
      <w:r>
        <w:rPr>
          <w:rFonts w:hint="eastAsia"/>
          <w:bCs/>
          <w:snapToGrid w:val="0"/>
          <w:color w:val="auto"/>
        </w:rPr>
        <w:t>第三阶段：通过工程分析、环境影响分析的结果，确定项目所采取的环保措施，并对其技术、经济可行性进行论证，进一步完善环保措施，给出污染物排放清单，完成报告的编制。</w:t>
      </w:r>
    </w:p>
    <w:p>
      <w:pPr>
        <w:pStyle w:val="33"/>
        <w:rPr>
          <w:rFonts w:hint="eastAsia"/>
          <w:bCs/>
          <w:snapToGrid w:val="0"/>
          <w:color w:val="auto"/>
        </w:rPr>
      </w:pPr>
      <w:r>
        <w:rPr>
          <w:rFonts w:hint="eastAsia"/>
          <w:bCs/>
          <w:snapToGrid w:val="0"/>
          <w:color w:val="auto"/>
        </w:rPr>
        <w:t>建设单位针对本项目开展了公众参与工作，202</w:t>
      </w:r>
      <w:r>
        <w:rPr>
          <w:rFonts w:hint="eastAsia"/>
          <w:bCs/>
          <w:snapToGrid w:val="0"/>
          <w:color w:val="auto"/>
          <w:lang w:val="en-US" w:eastAsia="zh-CN"/>
        </w:rPr>
        <w:t>2</w:t>
      </w:r>
      <w:r>
        <w:rPr>
          <w:rFonts w:hint="eastAsia"/>
          <w:bCs/>
          <w:snapToGrid w:val="0"/>
          <w:color w:val="auto"/>
        </w:rPr>
        <w:t>年</w:t>
      </w:r>
      <w:r>
        <w:rPr>
          <w:rFonts w:hint="eastAsia"/>
          <w:bCs/>
          <w:snapToGrid w:val="0"/>
          <w:color w:val="auto"/>
          <w:lang w:val="en-US" w:eastAsia="zh-CN"/>
        </w:rPr>
        <w:t>4</w:t>
      </w:r>
      <w:r>
        <w:rPr>
          <w:rFonts w:hint="eastAsia"/>
          <w:bCs/>
          <w:snapToGrid w:val="0"/>
          <w:color w:val="auto"/>
        </w:rPr>
        <w:t>月</w:t>
      </w:r>
      <w:r>
        <w:rPr>
          <w:rFonts w:hint="eastAsia"/>
          <w:bCs/>
          <w:snapToGrid w:val="0"/>
          <w:color w:val="auto"/>
          <w:lang w:val="en-US" w:eastAsia="zh-CN"/>
        </w:rPr>
        <w:t>2</w:t>
      </w:r>
      <w:r>
        <w:rPr>
          <w:rFonts w:hint="eastAsia"/>
          <w:bCs/>
          <w:snapToGrid w:val="0"/>
          <w:color w:val="auto"/>
        </w:rPr>
        <w:t xml:space="preserve">日，建设单位在大庆油田信息港网站对本次环境影响评价工作进行了第一次公示； </w:t>
      </w:r>
      <w:r>
        <w:rPr>
          <w:rFonts w:hint="eastAsia"/>
          <w:bCs/>
          <w:snapToGrid w:val="0"/>
          <w:color w:val="FF0000"/>
        </w:rPr>
        <w:t>202</w:t>
      </w:r>
      <w:r>
        <w:rPr>
          <w:rFonts w:hint="eastAsia"/>
          <w:bCs/>
          <w:snapToGrid w:val="0"/>
          <w:color w:val="FF0000"/>
          <w:lang w:val="en-US" w:eastAsia="zh-CN"/>
        </w:rPr>
        <w:t>2</w:t>
      </w:r>
      <w:r>
        <w:rPr>
          <w:rFonts w:hint="eastAsia"/>
          <w:bCs/>
          <w:snapToGrid w:val="0"/>
          <w:color w:val="FF0000"/>
        </w:rPr>
        <w:t>年</w:t>
      </w:r>
      <w:r>
        <w:rPr>
          <w:rFonts w:hint="eastAsia"/>
          <w:bCs/>
          <w:snapToGrid w:val="0"/>
          <w:color w:val="FF0000"/>
          <w:lang w:val="en-US" w:eastAsia="zh-CN"/>
        </w:rPr>
        <w:t>8</w:t>
      </w:r>
      <w:r>
        <w:rPr>
          <w:rFonts w:hint="eastAsia"/>
          <w:bCs/>
          <w:snapToGrid w:val="0"/>
          <w:color w:val="FF0000"/>
        </w:rPr>
        <w:t>月</w:t>
      </w:r>
      <w:r>
        <w:rPr>
          <w:rFonts w:hint="eastAsia"/>
          <w:bCs/>
          <w:snapToGrid w:val="0"/>
          <w:color w:val="FF0000"/>
          <w:lang w:val="en-US" w:eastAsia="zh-CN"/>
        </w:rPr>
        <w:t>22</w:t>
      </w:r>
      <w:r>
        <w:rPr>
          <w:rFonts w:hint="eastAsia"/>
          <w:bCs/>
          <w:snapToGrid w:val="0"/>
          <w:color w:val="FF0000"/>
        </w:rPr>
        <w:t>日</w:t>
      </w:r>
      <w:r>
        <w:rPr>
          <w:rFonts w:hint="eastAsia"/>
          <w:bCs/>
          <w:snapToGrid w:val="0"/>
          <w:color w:val="auto"/>
        </w:rPr>
        <w:t>，在本项目</w:t>
      </w:r>
      <w:r>
        <w:rPr>
          <w:rFonts w:hint="eastAsia"/>
          <w:bCs/>
          <w:snapToGrid w:val="0"/>
          <w:color w:val="auto"/>
        </w:rPr>
        <w:softHyphen/>
      </w:r>
      <w:r>
        <w:rPr>
          <w:rFonts w:hint="eastAsia"/>
          <w:bCs/>
          <w:snapToGrid w:val="0"/>
          <w:color w:val="auto"/>
        </w:rPr>
        <w:softHyphen/>
      </w:r>
      <w:r>
        <w:rPr>
          <w:rFonts w:hint="eastAsia"/>
          <w:bCs/>
          <w:snapToGrid w:val="0"/>
          <w:color w:val="auto"/>
        </w:rPr>
        <w:t>环评报告书（征求意见稿）编制完成后，建设单位在大庆油田信息港网站对本次环境影响评价工作进行了第二次公示；在二次公示期间，在大庆油田报进行了报纸公示，同时在附近村屯公告栏张贴了公告；</w:t>
      </w:r>
      <w:r>
        <w:rPr>
          <w:rFonts w:hint="eastAsia"/>
          <w:bCs/>
          <w:snapToGrid w:val="0"/>
          <w:color w:val="FF0000"/>
        </w:rPr>
        <w:t>202</w:t>
      </w:r>
      <w:r>
        <w:rPr>
          <w:rFonts w:hint="eastAsia"/>
          <w:bCs/>
          <w:snapToGrid w:val="0"/>
          <w:color w:val="FF0000"/>
          <w:lang w:val="en-US" w:eastAsia="zh-CN"/>
        </w:rPr>
        <w:t>2</w:t>
      </w:r>
      <w:r>
        <w:rPr>
          <w:rFonts w:hint="eastAsia"/>
          <w:bCs/>
          <w:snapToGrid w:val="0"/>
          <w:color w:val="FF0000"/>
        </w:rPr>
        <w:t>年</w:t>
      </w:r>
      <w:r>
        <w:rPr>
          <w:rFonts w:hint="eastAsia"/>
          <w:bCs/>
          <w:snapToGrid w:val="0"/>
          <w:color w:val="FF0000"/>
          <w:lang w:val="en-US" w:eastAsia="zh-CN"/>
        </w:rPr>
        <w:t>9</w:t>
      </w:r>
      <w:r>
        <w:rPr>
          <w:rFonts w:hint="eastAsia"/>
          <w:bCs/>
          <w:snapToGrid w:val="0"/>
          <w:color w:val="FF0000"/>
        </w:rPr>
        <w:t>月</w:t>
      </w:r>
      <w:r>
        <w:rPr>
          <w:rFonts w:hint="eastAsia"/>
          <w:bCs/>
          <w:snapToGrid w:val="0"/>
          <w:color w:val="FF0000"/>
          <w:lang w:val="en-US" w:eastAsia="zh-CN"/>
        </w:rPr>
        <w:t>4</w:t>
      </w:r>
      <w:r>
        <w:rPr>
          <w:rFonts w:hint="eastAsia"/>
          <w:bCs/>
          <w:snapToGrid w:val="0"/>
          <w:color w:val="FF0000"/>
        </w:rPr>
        <w:t>日</w:t>
      </w:r>
      <w:r>
        <w:rPr>
          <w:rFonts w:hint="eastAsia"/>
          <w:bCs/>
          <w:snapToGrid w:val="0"/>
          <w:color w:val="auto"/>
        </w:rPr>
        <w:t>，项目报批前对报告书全文和公众参与说明在大庆油田信息港网站进行了公开。</w:t>
      </w:r>
    </w:p>
    <w:p>
      <w:pPr>
        <w:pStyle w:val="33"/>
        <w:rPr>
          <w:snapToGrid w:val="0"/>
          <w:color w:val="auto"/>
        </w:rPr>
      </w:pPr>
      <w:r>
        <w:rPr>
          <w:rFonts w:hint="eastAsia"/>
          <w:bCs/>
          <w:snapToGrid w:val="0"/>
          <w:color w:val="auto"/>
        </w:rPr>
        <w:t>具体环境影响评价工作程序见下图</w:t>
      </w:r>
      <w:r>
        <w:rPr>
          <w:snapToGrid w:val="0"/>
          <w:color w:val="auto"/>
        </w:rPr>
        <w:t>：</w:t>
      </w:r>
    </w:p>
    <w:p>
      <w:pPr>
        <w:keepNext/>
        <w:adjustRightInd w:val="0"/>
        <w:snapToGrid w:val="0"/>
        <w:jc w:val="center"/>
        <w:rPr>
          <w:color w:val="auto"/>
        </w:rPr>
      </w:pPr>
      <w:r>
        <w:rPr>
          <w:color w:val="auto"/>
        </w:rPr>
        <w:drawing>
          <wp:inline distT="0" distB="0" distL="0" distR="0">
            <wp:extent cx="5709920" cy="647509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09920" cy="6475095"/>
                    </a:xfrm>
                    <a:prstGeom prst="rect">
                      <a:avLst/>
                    </a:prstGeom>
                    <a:noFill/>
                    <a:ln>
                      <a:noFill/>
                    </a:ln>
                  </pic:spPr>
                </pic:pic>
              </a:graphicData>
            </a:graphic>
          </wp:inline>
        </w:drawing>
      </w:r>
    </w:p>
    <w:p>
      <w:pPr>
        <w:pStyle w:val="8"/>
        <w:bidi w:val="0"/>
        <w:rPr>
          <w:color w:val="auto"/>
        </w:rPr>
      </w:pPr>
      <w:r>
        <w:rPr>
          <w:color w:val="auto"/>
        </w:rPr>
        <w:t>建设项目环境影响评价工作程序图</w:t>
      </w:r>
    </w:p>
    <w:p>
      <w:pPr>
        <w:pStyle w:val="4"/>
        <w:bidi w:val="0"/>
        <w:rPr>
          <w:color w:val="auto"/>
        </w:rPr>
      </w:pPr>
      <w:bookmarkStart w:id="40" w:name="_Toc31249"/>
      <w:bookmarkStart w:id="41" w:name="_Toc49174706"/>
      <w:bookmarkStart w:id="42" w:name="_Toc49174938"/>
      <w:bookmarkStart w:id="43" w:name="_Toc2838"/>
      <w:bookmarkStart w:id="44" w:name="_Toc31415"/>
      <w:bookmarkStart w:id="45" w:name="_Toc14022"/>
      <w:bookmarkStart w:id="46" w:name="_Toc12505"/>
      <w:bookmarkStart w:id="47" w:name="_Toc14008"/>
      <w:bookmarkStart w:id="48" w:name="_Toc49174763"/>
      <w:bookmarkStart w:id="49" w:name="_Toc20575"/>
      <w:bookmarkStart w:id="50" w:name="_Toc49174387"/>
      <w:bookmarkStart w:id="51" w:name="_Toc29394"/>
      <w:bookmarkStart w:id="52" w:name="_Toc31367"/>
      <w:bookmarkStart w:id="53" w:name="_Toc49174597"/>
      <w:r>
        <w:rPr>
          <w:color w:val="auto"/>
        </w:rPr>
        <w:t>分析判定相关情况</w:t>
      </w:r>
      <w:bookmarkEnd w:id="40"/>
      <w:bookmarkEnd w:id="41"/>
      <w:bookmarkEnd w:id="42"/>
      <w:bookmarkEnd w:id="43"/>
      <w:bookmarkEnd w:id="44"/>
      <w:bookmarkEnd w:id="45"/>
      <w:bookmarkEnd w:id="46"/>
      <w:bookmarkEnd w:id="47"/>
      <w:bookmarkEnd w:id="48"/>
      <w:bookmarkEnd w:id="49"/>
      <w:bookmarkEnd w:id="50"/>
      <w:bookmarkEnd w:id="51"/>
      <w:bookmarkEnd w:id="52"/>
      <w:bookmarkEnd w:id="53"/>
    </w:p>
    <w:p>
      <w:pPr>
        <w:pStyle w:val="5"/>
        <w:bidi w:val="0"/>
        <w:rPr>
          <w:color w:val="auto"/>
        </w:rPr>
      </w:pPr>
      <w:bookmarkStart w:id="54" w:name="_Toc49174764"/>
      <w:bookmarkStart w:id="55" w:name="_Toc49174939"/>
      <w:bookmarkStart w:id="56" w:name="_Toc28604"/>
      <w:bookmarkStart w:id="57" w:name="_Toc12787"/>
      <w:r>
        <w:rPr>
          <w:color w:val="auto"/>
        </w:rPr>
        <w:t>产业政策符合性判定</w:t>
      </w:r>
      <w:bookmarkEnd w:id="54"/>
      <w:bookmarkEnd w:id="55"/>
      <w:bookmarkEnd w:id="56"/>
      <w:bookmarkEnd w:id="57"/>
    </w:p>
    <w:p>
      <w:pPr>
        <w:pStyle w:val="33"/>
        <w:rPr>
          <w:color w:val="auto"/>
        </w:rPr>
      </w:pPr>
      <w:r>
        <w:rPr>
          <w:rFonts w:hint="eastAsia"/>
          <w:color w:val="auto"/>
        </w:rPr>
        <w:t>本项目为地下储气库建设项目，根据《国家发展改革委关于修改&lt;产业结构调整指导目录(2019年本)&gt;的决定》（2021年12月27日），本项目属于鼓励类</w:t>
      </w:r>
      <w:r>
        <w:rPr>
          <w:rFonts w:ascii="Times New Roman" w:hAnsi="Times New Roman" w:cs="Times New Roman"/>
          <w:color w:val="auto"/>
          <w:sz w:val="28"/>
          <w:szCs w:val="28"/>
        </w:rPr>
        <w:t>“七、石油、天然气”中“3、原油、天然气、液化天然气、成品油的储运和管道输送设施、网络和液化天然气加注设施建设”</w:t>
      </w:r>
      <w:r>
        <w:rPr>
          <w:rFonts w:hint="eastAsia"/>
          <w:color w:val="auto"/>
        </w:rPr>
        <w:t>，因此，该项目建设符合国家的产业政策。</w:t>
      </w:r>
    </w:p>
    <w:p>
      <w:pPr>
        <w:pStyle w:val="5"/>
        <w:bidi w:val="0"/>
        <w:rPr>
          <w:color w:val="auto"/>
        </w:rPr>
      </w:pPr>
      <w:bookmarkStart w:id="58" w:name="_Toc49174940"/>
      <w:bookmarkStart w:id="59" w:name="_Toc49174765"/>
      <w:r>
        <w:rPr>
          <w:color w:val="auto"/>
        </w:rPr>
        <w:t>相关规划符合性分析</w:t>
      </w:r>
      <w:bookmarkEnd w:id="58"/>
      <w:bookmarkEnd w:id="59"/>
    </w:p>
    <w:p>
      <w:pPr>
        <w:pStyle w:val="6"/>
        <w:spacing w:before="156" w:after="156"/>
        <w:rPr>
          <w:color w:val="auto"/>
        </w:rPr>
      </w:pPr>
      <w:r>
        <w:rPr>
          <w:rFonts w:hint="eastAsia"/>
          <w:color w:val="auto"/>
        </w:rPr>
        <w:t>与黑龙江主体功能区划（黑政发[2012]29号）</w:t>
      </w:r>
      <w:r>
        <w:rPr>
          <w:color w:val="auto"/>
        </w:rPr>
        <w:t>符合性分析</w:t>
      </w:r>
    </w:p>
    <w:p>
      <w:pPr>
        <w:pStyle w:val="33"/>
        <w:rPr>
          <w:rFonts w:hint="eastAsia"/>
          <w:color w:val="auto"/>
        </w:rPr>
      </w:pPr>
      <w:r>
        <w:rPr>
          <w:rFonts w:hint="eastAsia"/>
          <w:color w:val="auto"/>
        </w:rPr>
        <w:t>根据《黑龙江主体功能区划》（黑政发[2012]29号，2012年4月25日）第四篇—能源与资源：重点在能源资源富集的哈大齐工业走廊和东部煤电化基地地区建设能源基地，在重点生态功能区建设清洁能源示范基地。在大庆及周边地区，加大石油勘探开发力度，实施老油田二次开发工程和三次采油工程，稳定石油产量；在东部煤电化基地，坚持有序发展、合理布局，有效保护煤炭资源，加快煤层气开发利用，积极推进煤炭勘查，加快高产高效矿井建设，加快以超临界或超超临界为重点，大型坑口电站和中心城市大型热电联产等电源和调峰电站项目建设。</w:t>
      </w:r>
    </w:p>
    <w:p>
      <w:pPr>
        <w:pStyle w:val="33"/>
        <w:rPr>
          <w:rFonts w:hint="eastAsia"/>
          <w:color w:val="auto"/>
        </w:rPr>
      </w:pPr>
      <w:r>
        <w:rPr>
          <w:rFonts w:hint="eastAsia"/>
          <w:color w:val="auto"/>
        </w:rPr>
        <w:t>本项目为</w:t>
      </w:r>
      <w:r>
        <w:rPr>
          <w:rFonts w:hint="eastAsia"/>
          <w:color w:val="auto"/>
          <w:lang w:eastAsia="zh-CN"/>
        </w:rPr>
        <w:t>升平</w:t>
      </w:r>
      <w:r>
        <w:rPr>
          <w:rFonts w:hint="eastAsia"/>
          <w:color w:val="auto"/>
        </w:rPr>
        <w:t>储气库</w:t>
      </w:r>
      <w:r>
        <w:rPr>
          <w:rFonts w:hint="eastAsia"/>
          <w:color w:val="auto"/>
          <w:lang w:eastAsia="zh-CN"/>
        </w:rPr>
        <w:t>的钻井工程</w:t>
      </w:r>
      <w:r>
        <w:rPr>
          <w:rFonts w:hint="eastAsia"/>
          <w:color w:val="auto"/>
        </w:rPr>
        <w:t>建设项目，属于能源基地的建设，且位于黑龙江省</w:t>
      </w:r>
      <w:r>
        <w:rPr>
          <w:rFonts w:hint="eastAsia"/>
          <w:color w:val="auto"/>
          <w:lang w:eastAsia="zh-CN"/>
        </w:rPr>
        <w:t>安达市升平镇</w:t>
      </w:r>
      <w:r>
        <w:rPr>
          <w:rFonts w:hint="eastAsia"/>
          <w:color w:val="auto"/>
        </w:rPr>
        <w:t>，属于哈大齐工业走廊的大庆及周边地区，不属于禁止开发区域，所以本项目建设符合《黑龙江主体功能区划》要求</w:t>
      </w:r>
      <w:r>
        <w:rPr>
          <w:rFonts w:hint="eastAsia"/>
          <w:color w:val="auto"/>
          <w:shd w:val="clear" w:color="auto" w:fill="auto"/>
        </w:rPr>
        <w:t>。</w:t>
      </w:r>
    </w:p>
    <w:p>
      <w:pPr>
        <w:pStyle w:val="6"/>
        <w:bidi w:val="0"/>
        <w:rPr>
          <w:b w:val="0"/>
          <w:snapToGrid w:val="0"/>
          <w:color w:val="auto"/>
          <w:kern w:val="0"/>
          <w:sz w:val="28"/>
          <w:szCs w:val="28"/>
        </w:rPr>
      </w:pPr>
      <w:r>
        <w:rPr>
          <w:rFonts w:hint="eastAsia" w:hAnsi="宋体"/>
          <w:b w:val="0"/>
          <w:snapToGrid w:val="0"/>
          <w:color w:val="auto"/>
          <w:kern w:val="0"/>
          <w:sz w:val="28"/>
          <w:szCs w:val="28"/>
          <w:lang w:eastAsia="zh-CN"/>
        </w:rPr>
        <w:t>与</w:t>
      </w:r>
      <w:r>
        <w:rPr>
          <w:rFonts w:hAnsi="宋体"/>
          <w:b w:val="0"/>
          <w:snapToGrid w:val="0"/>
          <w:color w:val="auto"/>
          <w:kern w:val="0"/>
          <w:sz w:val="28"/>
          <w:szCs w:val="28"/>
        </w:rPr>
        <w:t>《黑龙江省生态功能区划》符合性分析</w:t>
      </w:r>
    </w:p>
    <w:p>
      <w:pPr>
        <w:pStyle w:val="33"/>
        <w:rPr>
          <w:rFonts w:hint="eastAsia"/>
          <w:color w:val="auto"/>
        </w:rPr>
      </w:pPr>
      <w:r>
        <w:rPr>
          <w:rFonts w:hAnsi="宋体"/>
          <w:color w:val="auto"/>
          <w:sz w:val="28"/>
          <w:szCs w:val="28"/>
        </w:rPr>
        <w:t>根据《黑龙江省生态功能区划》，本项目所在区域属于Ⅰ</w:t>
      </w:r>
      <w:r>
        <w:rPr>
          <w:color w:val="auto"/>
          <w:sz w:val="28"/>
          <w:szCs w:val="28"/>
        </w:rPr>
        <w:t>—6—1—3</w:t>
      </w:r>
      <w:r>
        <w:rPr>
          <w:rFonts w:hAnsi="宋体"/>
          <w:color w:val="auto"/>
          <w:sz w:val="28"/>
          <w:szCs w:val="28"/>
        </w:rPr>
        <w:t>安达</w:t>
      </w:r>
      <w:r>
        <w:rPr>
          <w:color w:val="auto"/>
          <w:sz w:val="28"/>
          <w:szCs w:val="28"/>
        </w:rPr>
        <w:t>—</w:t>
      </w:r>
      <w:r>
        <w:rPr>
          <w:rFonts w:hint="eastAsia" w:hAnsi="宋体"/>
          <w:color w:val="auto"/>
          <w:sz w:val="28"/>
          <w:szCs w:val="28"/>
        </w:rPr>
        <w:t>肇东</w:t>
      </w:r>
      <w:r>
        <w:rPr>
          <w:color w:val="auto"/>
          <w:sz w:val="28"/>
          <w:szCs w:val="28"/>
        </w:rPr>
        <w:t>—</w:t>
      </w:r>
      <w:r>
        <w:rPr>
          <w:rFonts w:hAnsi="宋体"/>
          <w:color w:val="auto"/>
          <w:sz w:val="28"/>
          <w:szCs w:val="28"/>
        </w:rPr>
        <w:t>肇源农、牧业与盐渍化控制生态功能区，主要存在的生态问题是盲目开发荒草地，使草地面积减少，盐碱斑地不断扩大，严重控制当地经济发展。该功能区划提出的保护措施与发展方向主要为对草地进行恢复，禁止盲目开荒，对家畜实行圈养或轮牧，加大生态农业建设。本项目位于黑龙江省绥化市</w:t>
      </w:r>
      <w:r>
        <w:rPr>
          <w:rFonts w:hint="eastAsia" w:hAnsi="宋体"/>
          <w:color w:val="auto"/>
          <w:sz w:val="28"/>
          <w:szCs w:val="28"/>
        </w:rPr>
        <w:t>安达</w:t>
      </w:r>
      <w:r>
        <w:rPr>
          <w:rFonts w:hAnsi="宋体"/>
          <w:color w:val="auto"/>
          <w:sz w:val="28"/>
          <w:szCs w:val="28"/>
        </w:rPr>
        <w:t>市境内，建成后永久占地面积为</w:t>
      </w:r>
      <w:r>
        <w:rPr>
          <w:rFonts w:hint="eastAsia"/>
          <w:color w:val="auto"/>
          <w:sz w:val="28"/>
          <w:szCs w:val="28"/>
          <w:lang w:eastAsia="zh-CN"/>
        </w:rPr>
        <w:t>16000</w:t>
      </w:r>
      <w:r>
        <w:rPr>
          <w:color w:val="auto"/>
          <w:sz w:val="28"/>
          <w:szCs w:val="28"/>
        </w:rPr>
        <w:t>m</w:t>
      </w:r>
      <w:r>
        <w:rPr>
          <w:color w:val="auto"/>
          <w:sz w:val="28"/>
          <w:szCs w:val="28"/>
          <w:vertAlign w:val="superscript"/>
        </w:rPr>
        <w:t>2</w:t>
      </w:r>
      <w:r>
        <w:rPr>
          <w:rFonts w:hAnsi="宋体"/>
          <w:color w:val="auto"/>
          <w:sz w:val="28"/>
          <w:szCs w:val="28"/>
        </w:rPr>
        <w:t>，占地为</w:t>
      </w:r>
      <w:r>
        <w:rPr>
          <w:rFonts w:hint="eastAsia" w:hAnsi="宋体"/>
          <w:color w:val="auto"/>
          <w:sz w:val="28"/>
          <w:szCs w:val="28"/>
          <w:lang w:eastAsia="zh-CN"/>
        </w:rPr>
        <w:t>基本农田</w:t>
      </w:r>
      <w:r>
        <w:rPr>
          <w:rFonts w:hAnsi="宋体"/>
          <w:color w:val="auto"/>
          <w:sz w:val="28"/>
          <w:szCs w:val="28"/>
        </w:rPr>
        <w:t>。本项目占地面积相对较小，且施工活动均在井场占地内进行，不会造成大面积的土地退化，项目建设不会对区域生态功能产生明显影响，因此本项目符合《黑龙江省生态功能区划》的要求。</w:t>
      </w:r>
    </w:p>
    <w:p>
      <w:pPr>
        <w:pStyle w:val="6"/>
        <w:spacing w:before="156" w:after="156"/>
        <w:rPr>
          <w:color w:val="auto"/>
        </w:rPr>
      </w:pPr>
      <w:r>
        <w:rPr>
          <w:color w:val="auto"/>
        </w:rPr>
        <w:t>与</w:t>
      </w:r>
      <w:r>
        <w:rPr>
          <w:rFonts w:hint="eastAsia"/>
          <w:color w:val="auto"/>
        </w:rPr>
        <w:t>绥化市规划</w:t>
      </w:r>
      <w:r>
        <w:rPr>
          <w:color w:val="auto"/>
        </w:rPr>
        <w:t>符合性分析</w:t>
      </w:r>
    </w:p>
    <w:p>
      <w:pPr>
        <w:pStyle w:val="33"/>
        <w:rPr>
          <w:color w:val="auto"/>
          <w:lang w:bidi="ar"/>
        </w:rPr>
      </w:pPr>
      <w:r>
        <w:rPr>
          <w:rFonts w:hint="eastAsia"/>
          <w:color w:val="auto"/>
        </w:rPr>
        <w:t>根据绥化市工业经济“十</w:t>
      </w:r>
      <w:r>
        <w:rPr>
          <w:rFonts w:hint="eastAsia"/>
          <w:color w:val="auto"/>
          <w:lang w:eastAsia="zh-CN"/>
        </w:rPr>
        <w:t>四</w:t>
      </w:r>
      <w:r>
        <w:rPr>
          <w:rFonts w:hint="eastAsia"/>
          <w:color w:val="auto"/>
        </w:rPr>
        <w:t>五”发展规划（20</w:t>
      </w:r>
      <w:r>
        <w:rPr>
          <w:rFonts w:hint="eastAsia"/>
          <w:color w:val="auto"/>
          <w:lang w:val="en-US" w:eastAsia="zh-CN"/>
        </w:rPr>
        <w:t>21</w:t>
      </w:r>
      <w:r>
        <w:rPr>
          <w:rFonts w:hint="eastAsia"/>
          <w:color w:val="auto"/>
        </w:rPr>
        <w:t>.</w:t>
      </w:r>
      <w:r>
        <w:rPr>
          <w:rFonts w:hint="eastAsia"/>
          <w:color w:val="auto"/>
          <w:lang w:val="en-US" w:eastAsia="zh-CN"/>
        </w:rPr>
        <w:t>1</w:t>
      </w:r>
      <w:r>
        <w:rPr>
          <w:rFonts w:hint="eastAsia"/>
          <w:color w:val="auto"/>
        </w:rPr>
        <w:t>.</w:t>
      </w:r>
      <w:r>
        <w:rPr>
          <w:rFonts w:hint="eastAsia"/>
          <w:color w:val="auto"/>
          <w:lang w:val="en-US" w:eastAsia="zh-CN"/>
        </w:rPr>
        <w:t>6</w:t>
      </w:r>
      <w:r>
        <w:rPr>
          <w:rFonts w:hint="eastAsia"/>
          <w:color w:val="auto"/>
        </w:rPr>
        <w:t>）：油气资源开发利用要依托大庆油田、庆新油田、榆树林油田等企业，深度开发油气资源，努力把资源优势变产业优势。本项目属于</w:t>
      </w:r>
      <w:r>
        <w:rPr>
          <w:rFonts w:hint="eastAsia"/>
          <w:color w:val="auto"/>
          <w:lang w:eastAsia="zh-CN"/>
        </w:rPr>
        <w:t>在绥化市安达市地区</w:t>
      </w:r>
      <w:r>
        <w:rPr>
          <w:rFonts w:hint="eastAsia"/>
          <w:color w:val="auto"/>
        </w:rPr>
        <w:t>建立东北储气库的</w:t>
      </w:r>
      <w:r>
        <w:rPr>
          <w:rFonts w:hint="eastAsia"/>
          <w:color w:val="auto"/>
          <w:lang w:eastAsia="zh-CN"/>
        </w:rPr>
        <w:t>钻井</w:t>
      </w:r>
      <w:r>
        <w:rPr>
          <w:rFonts w:hint="eastAsia"/>
          <w:color w:val="auto"/>
        </w:rPr>
        <w:t>工程，符合绥化市经济发展规划要求</w:t>
      </w:r>
      <w:r>
        <w:rPr>
          <w:color w:val="auto"/>
        </w:rPr>
        <w:t>。</w:t>
      </w:r>
    </w:p>
    <w:p>
      <w:pPr>
        <w:pStyle w:val="6"/>
        <w:spacing w:before="156" w:after="156"/>
        <w:rPr>
          <w:color w:val="auto"/>
        </w:rPr>
      </w:pPr>
      <w:r>
        <w:rPr>
          <w:color w:val="auto"/>
        </w:rPr>
        <w:t>与</w:t>
      </w:r>
      <w:r>
        <w:rPr>
          <w:rFonts w:hint="eastAsia"/>
          <w:color w:val="auto"/>
        </w:rPr>
        <w:t>中石油“十四五”储气库发展规划符合性分析</w:t>
      </w:r>
    </w:p>
    <w:p>
      <w:pPr>
        <w:pStyle w:val="33"/>
        <w:rPr>
          <w:rFonts w:hint="eastAsia"/>
          <w:color w:val="auto"/>
          <w:lang w:bidi="ar"/>
        </w:rPr>
      </w:pPr>
      <w:r>
        <w:rPr>
          <w:rFonts w:hint="eastAsia"/>
          <w:color w:val="auto"/>
          <w:lang w:bidi="ar"/>
        </w:rPr>
        <w:t>中石油集团公司规划坚持油气田开发与储气库建设相结合、公司自</w:t>
      </w:r>
      <w:r>
        <w:rPr>
          <w:rFonts w:hint="eastAsia"/>
          <w:color w:val="auto"/>
          <w:vertAlign w:val="superscript"/>
          <w:lang w:bidi="ar"/>
        </w:rPr>
        <w:t xml:space="preserve"> </w:t>
      </w:r>
      <w:r>
        <w:rPr>
          <w:rFonts w:hint="eastAsia"/>
          <w:color w:val="auto"/>
          <w:lang w:bidi="ar"/>
        </w:rPr>
        <w:t>用与地方需求相结合、区内调峰与跨区调峰相结合指导方针，按照“先气藏后盐穴”、“先调峰后战略”、“保重点兼区域”的布局原则以及“达容一批、新建一批、评价一批”工作部署，充分挖掘储气库建设潜力，多举措加快推进储气库建设，力争“早开工、早投产、</w:t>
      </w:r>
      <w:r>
        <w:rPr>
          <w:rFonts w:hint="eastAsia"/>
          <w:color w:val="auto"/>
          <w:vertAlign w:val="superscript"/>
          <w:lang w:bidi="ar"/>
        </w:rPr>
        <w:t xml:space="preserve"> </w:t>
      </w:r>
      <w:r>
        <w:rPr>
          <w:rFonts w:hint="eastAsia"/>
          <w:color w:val="auto"/>
          <w:lang w:bidi="ar"/>
        </w:rPr>
        <w:t>早供气”，实现国家和集团公司要求储气能力建设目标。总体目标：建成六大储气库中心，即形成东北、华北、西南、西北、中西部和长三角等六大天然气储气中心。</w:t>
      </w:r>
    </w:p>
    <w:p>
      <w:pPr>
        <w:pStyle w:val="33"/>
        <w:rPr>
          <w:color w:val="auto"/>
        </w:rPr>
      </w:pPr>
      <w:r>
        <w:rPr>
          <w:rFonts w:hint="eastAsia"/>
          <w:color w:val="auto"/>
          <w:lang w:bidi="ar"/>
        </w:rPr>
        <w:t>本项目属于建立东北储气库项目，符合国家规划要求。</w:t>
      </w:r>
    </w:p>
    <w:p>
      <w:pPr>
        <w:pStyle w:val="6"/>
        <w:bidi w:val="0"/>
        <w:rPr>
          <w:color w:val="auto"/>
        </w:rPr>
      </w:pPr>
      <w:r>
        <w:rPr>
          <w:rFonts w:hint="eastAsia"/>
          <w:color w:val="auto"/>
          <w:lang w:eastAsia="zh-CN"/>
        </w:rPr>
        <w:t>与《</w:t>
      </w:r>
      <w:r>
        <w:rPr>
          <w:rFonts w:hint="eastAsia"/>
          <w:color w:val="auto"/>
        </w:rPr>
        <w:t>绥化市水土保持规划》（2019～2030年）符合性分析</w:t>
      </w:r>
    </w:p>
    <w:p>
      <w:pPr>
        <w:pStyle w:val="33"/>
        <w:bidi w:val="0"/>
        <w:rPr>
          <w:rFonts w:hint="eastAsia"/>
          <w:color w:val="auto"/>
        </w:rPr>
      </w:pPr>
      <w:r>
        <w:rPr>
          <w:rFonts w:hint="eastAsia"/>
          <w:color w:val="auto"/>
        </w:rPr>
        <w:t>根据《绥化市水土保持规划》（2019～2030年），绥化市划定了市级水土流失重点预防区和重点治理区，本项目拟钻井位于绥化市安达市</w:t>
      </w:r>
      <w:r>
        <w:rPr>
          <w:rFonts w:hint="eastAsia"/>
          <w:color w:val="auto"/>
          <w:lang w:eastAsia="zh-CN"/>
        </w:rPr>
        <w:t>升平</w:t>
      </w:r>
      <w:r>
        <w:rPr>
          <w:rFonts w:hint="eastAsia"/>
          <w:color w:val="auto"/>
        </w:rPr>
        <w:t>镇，不属于市级水土流失重点治理区和重点预防区。</w:t>
      </w:r>
    </w:p>
    <w:p>
      <w:pPr>
        <w:pStyle w:val="33"/>
        <w:bidi w:val="0"/>
        <w:rPr>
          <w:rFonts w:hint="eastAsia"/>
          <w:color w:val="auto"/>
        </w:rPr>
      </w:pPr>
      <w:r>
        <w:rPr>
          <w:rFonts w:hint="eastAsia"/>
          <w:color w:val="auto"/>
        </w:rPr>
        <w:t>本项目所在的区域划分为西南部河谷平原轻度水蚀土壤保持区Ⅲ区。该区位于绥化市西南部，属于河谷平原区，总面积为1040584.45hm</w:t>
      </w:r>
      <w:r>
        <w:rPr>
          <w:rFonts w:hint="eastAsia"/>
          <w:color w:val="auto"/>
          <w:vertAlign w:val="superscript"/>
        </w:rPr>
        <w:t>2</w:t>
      </w:r>
      <w:r>
        <w:rPr>
          <w:rFonts w:hint="eastAsia"/>
          <w:color w:val="auto"/>
        </w:rPr>
        <w:t>。该区水土保持功能以保护天然草地和基本农田为主，同时土壤保持、蓄水保水、生态维护、水质维护等功能。本区治理方向为：营造农田防护林、改良草地。对耕地以营造农田防护林，推广旱作农业技术、节水灌溉技术；对牧草地以营造草原防护林、草地改良和种草为主；对荒地和难利用地，选择抗盐碱和耐盐碱的树、草种，提高林草覆盖率。达到防治水土流失、改善生态环境的目的。加强油气开采区及井田沉降带的监督管理和水土流失治理，保护区域的生态环境。</w:t>
      </w:r>
    </w:p>
    <w:p>
      <w:pPr>
        <w:pStyle w:val="33"/>
        <w:bidi w:val="0"/>
        <w:rPr>
          <w:rFonts w:hint="eastAsia"/>
          <w:color w:val="auto"/>
        </w:rPr>
      </w:pPr>
      <w:r>
        <w:rPr>
          <w:rFonts w:hint="eastAsia"/>
          <w:color w:val="auto"/>
        </w:rPr>
        <w:t>本项目在施工过程中尽量保护土地资源，不打乱土层，以便植被恢复，临时占地进行平整、翻松，等质等量复耕。通过上述措施，项目的建设不会造成大范围的水土流失。本工程符合《绥化市水土保持规划》（2019～2030年）要求。</w:t>
      </w:r>
    </w:p>
    <w:p>
      <w:pPr>
        <w:pStyle w:val="6"/>
        <w:bidi w:val="0"/>
        <w:rPr>
          <w:rFonts w:hint="eastAsia"/>
          <w:color w:val="auto"/>
        </w:rPr>
      </w:pPr>
      <w:r>
        <w:rPr>
          <w:rFonts w:hint="eastAsia"/>
          <w:color w:val="auto"/>
          <w:lang w:eastAsia="zh-CN"/>
        </w:rPr>
        <w:t>与</w:t>
      </w:r>
      <w:r>
        <w:rPr>
          <w:color w:val="auto"/>
        </w:rPr>
        <w:t>《黑龙江省十四五黑土地保护规划》（</w:t>
      </w:r>
      <w:r>
        <w:rPr>
          <w:rFonts w:hint="eastAsia"/>
          <w:color w:val="auto"/>
        </w:rPr>
        <w:t>2021.12.31</w:t>
      </w:r>
      <w:r>
        <w:rPr>
          <w:color w:val="auto"/>
        </w:rPr>
        <w:t>）符合性分析</w:t>
      </w:r>
    </w:p>
    <w:p>
      <w:pPr>
        <w:spacing w:line="480" w:lineRule="exact"/>
        <w:ind w:firstLine="560" w:firstLineChars="200"/>
        <w:rPr>
          <w:rFonts w:hAnsi="宋体"/>
          <w:color w:val="auto"/>
          <w:sz w:val="28"/>
          <w:szCs w:val="28"/>
        </w:rPr>
      </w:pPr>
      <w:r>
        <w:rPr>
          <w:rFonts w:hAnsi="宋体"/>
          <w:color w:val="auto"/>
          <w:sz w:val="28"/>
          <w:szCs w:val="28"/>
        </w:rPr>
        <w:t>本项目与《黑龙江省十四五黑土地保护规划》（</w:t>
      </w:r>
      <w:r>
        <w:rPr>
          <w:rFonts w:hint="eastAsia" w:hAnsi="宋体"/>
          <w:color w:val="auto"/>
          <w:sz w:val="28"/>
          <w:szCs w:val="28"/>
        </w:rPr>
        <w:t>2021.12.31</w:t>
      </w:r>
      <w:r>
        <w:rPr>
          <w:rFonts w:hAnsi="宋体"/>
          <w:color w:val="auto"/>
          <w:sz w:val="28"/>
          <w:szCs w:val="28"/>
        </w:rPr>
        <w:t>）相关要求符合性</w:t>
      </w:r>
      <w:r>
        <w:rPr>
          <w:rFonts w:hint="eastAsia" w:hAnsi="宋体"/>
          <w:color w:val="auto"/>
          <w:sz w:val="28"/>
          <w:szCs w:val="28"/>
        </w:rPr>
        <w:t>分析</w:t>
      </w:r>
      <w:r>
        <w:rPr>
          <w:rFonts w:hAnsi="宋体"/>
          <w:color w:val="auto"/>
          <w:sz w:val="28"/>
          <w:szCs w:val="28"/>
        </w:rPr>
        <w:t>详见表1.4-</w:t>
      </w:r>
      <w:r>
        <w:rPr>
          <w:rFonts w:hint="eastAsia" w:hAnsi="宋体"/>
          <w:color w:val="auto"/>
          <w:sz w:val="28"/>
          <w:szCs w:val="28"/>
          <w:lang w:val="en-US" w:eastAsia="zh-CN"/>
        </w:rPr>
        <w:t>1</w:t>
      </w:r>
      <w:r>
        <w:rPr>
          <w:rFonts w:hAnsi="宋体"/>
          <w:color w:val="auto"/>
          <w:sz w:val="28"/>
          <w:szCs w:val="28"/>
        </w:rPr>
        <w:t>。</w:t>
      </w:r>
    </w:p>
    <w:p>
      <w:pPr>
        <w:pStyle w:val="7"/>
        <w:bidi w:val="0"/>
        <w:rPr>
          <w:color w:val="auto"/>
        </w:rPr>
      </w:pPr>
      <w:r>
        <w:rPr>
          <w:color w:val="auto"/>
        </w:rPr>
        <w:t>符合性</w:t>
      </w:r>
      <w:r>
        <w:rPr>
          <w:rFonts w:hint="eastAsia"/>
          <w:color w:val="auto"/>
        </w:rPr>
        <w:t>分析</w:t>
      </w:r>
      <w:r>
        <w:rPr>
          <w:color w:val="auto"/>
        </w:rPr>
        <w:t>一览表</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570"/>
        <w:gridCol w:w="3990"/>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keepNext w:val="0"/>
              <w:keepLines w:val="0"/>
              <w:suppressLineNumbers w:val="0"/>
              <w:spacing w:before="0" w:beforeAutospacing="0" w:after="0" w:afterAutospacing="0"/>
              <w:ind w:left="0" w:right="0"/>
              <w:jc w:val="center"/>
              <w:rPr>
                <w:rFonts w:hint="eastAsia"/>
                <w:color w:val="auto"/>
              </w:rPr>
            </w:pPr>
            <w:r>
              <w:rPr>
                <w:rFonts w:hint="eastAsia" w:ascii="宋体" w:hAnsi="宋体"/>
                <w:bCs/>
                <w:color w:val="auto"/>
              </w:rPr>
              <w:t>序号</w:t>
            </w:r>
          </w:p>
        </w:tc>
        <w:tc>
          <w:tcPr>
            <w:tcW w:w="3570" w:type="dxa"/>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rPr>
              <w:t>相关</w:t>
            </w:r>
            <w:r>
              <w:rPr>
                <w:rFonts w:hint="default" w:ascii="宋体" w:hAnsi="宋体"/>
                <w:bCs/>
                <w:color w:val="auto"/>
              </w:rPr>
              <w:t>要求</w:t>
            </w:r>
          </w:p>
        </w:tc>
        <w:tc>
          <w:tcPr>
            <w:tcW w:w="3990" w:type="dxa"/>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rPr>
              <w:t>符合性分析</w:t>
            </w:r>
          </w:p>
        </w:tc>
        <w:tc>
          <w:tcPr>
            <w:tcW w:w="989" w:type="dxa"/>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1</w:t>
            </w:r>
          </w:p>
        </w:tc>
        <w:tc>
          <w:tcPr>
            <w:tcW w:w="3570" w:type="dxa"/>
            <w:vAlign w:val="center"/>
          </w:tcPr>
          <w:p>
            <w:pPr>
              <w:keepNext w:val="0"/>
              <w:keepLines w:val="0"/>
              <w:suppressLineNumbers w:val="0"/>
              <w:spacing w:before="0" w:beforeAutospacing="0" w:after="0" w:afterAutospacing="0"/>
              <w:ind w:left="0" w:right="0"/>
              <w:rPr>
                <w:rFonts w:hint="eastAsia"/>
                <w:color w:val="auto"/>
              </w:rPr>
            </w:pPr>
            <w:r>
              <w:rPr>
                <w:rFonts w:hint="eastAsia"/>
                <w:color w:val="auto"/>
              </w:rPr>
              <w:t>严控耕地保护红线。实行最严格的耕地保护制度，划定耕地保护红线和永久基本农田控制线，严格落实耕地占补平衡、易地补充耕地、土地复垦等政策，确保完成规划期内黑土耕地保有量和永久基本农田保护任务。</w:t>
            </w:r>
          </w:p>
        </w:tc>
        <w:tc>
          <w:tcPr>
            <w:tcW w:w="3990" w:type="dxa"/>
            <w:vMerge w:val="restart"/>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rPr>
              <w:t>本工程属国家能源设施重点建设项目，根据地下储层特性，无法避让</w:t>
            </w:r>
            <w:r>
              <w:rPr>
                <w:rFonts w:hint="eastAsia"/>
                <w:color w:val="auto"/>
                <w:lang w:eastAsia="zh-CN"/>
              </w:rPr>
              <w:t>基本农田</w:t>
            </w:r>
            <w:r>
              <w:rPr>
                <w:rFonts w:hint="default"/>
                <w:color w:val="auto"/>
              </w:rPr>
              <w:t>，已按有关土地管理办法的要求，逐级上报土地管理部门批准。</w:t>
            </w:r>
            <w:r>
              <w:rPr>
                <w:rFonts w:hint="default" w:hAnsi="宋体"/>
                <w:color w:val="auto"/>
                <w:szCs w:val="21"/>
              </w:rPr>
              <w:t>本项目</w:t>
            </w:r>
            <w:r>
              <w:rPr>
                <w:rFonts w:hint="eastAsia" w:hAnsi="宋体"/>
                <w:color w:val="auto"/>
                <w:szCs w:val="21"/>
              </w:rPr>
              <w:t>新建</w:t>
            </w:r>
            <w:r>
              <w:rPr>
                <w:rFonts w:hint="eastAsia" w:hAnsi="宋体"/>
                <w:color w:val="auto"/>
                <w:szCs w:val="21"/>
                <w:lang w:eastAsia="zh-CN"/>
              </w:rPr>
              <w:t>储气库注采</w:t>
            </w:r>
            <w:r>
              <w:rPr>
                <w:rFonts w:hint="eastAsia" w:hAnsi="宋体"/>
                <w:color w:val="auto"/>
                <w:szCs w:val="21"/>
              </w:rPr>
              <w:t>井场</w:t>
            </w:r>
            <w:r>
              <w:rPr>
                <w:rFonts w:hint="eastAsia" w:hAnsi="宋体"/>
                <w:color w:val="auto"/>
                <w:szCs w:val="21"/>
                <w:lang w:eastAsia="zh-CN"/>
              </w:rPr>
              <w:t>永久占地</w:t>
            </w:r>
            <w:r>
              <w:rPr>
                <w:rFonts w:hint="eastAsia" w:hAnsi="宋体"/>
                <w:color w:val="auto"/>
                <w:szCs w:val="21"/>
              </w:rPr>
              <w:t>严格</w:t>
            </w:r>
            <w:r>
              <w:rPr>
                <w:rFonts w:hint="eastAsia" w:hAnsi="宋体"/>
                <w:color w:val="auto"/>
              </w:rPr>
              <w:t>遵守《石油天然气</w:t>
            </w:r>
            <w:r>
              <w:rPr>
                <w:rFonts w:hint="default" w:hAnsi="宋体"/>
                <w:color w:val="auto"/>
              </w:rPr>
              <w:t>工程项目用地</w:t>
            </w:r>
            <w:r>
              <w:rPr>
                <w:rFonts w:hint="eastAsia" w:hAnsi="宋体"/>
                <w:color w:val="auto"/>
              </w:rPr>
              <w:t>控制</w:t>
            </w:r>
            <w:r>
              <w:rPr>
                <w:rFonts w:hint="default" w:hAnsi="宋体"/>
                <w:color w:val="auto"/>
              </w:rPr>
              <w:t>指标</w:t>
            </w:r>
            <w:r>
              <w:rPr>
                <w:rFonts w:hint="eastAsia" w:hAnsi="宋体"/>
                <w:color w:val="auto"/>
              </w:rPr>
              <w:t>》（2017.1.1）要求</w:t>
            </w:r>
            <w:r>
              <w:rPr>
                <w:rFonts w:hint="default"/>
                <w:color w:val="auto"/>
              </w:rPr>
              <w:t>，尽可能减少占地。对占用的耕地，按照“占多少，垦多少”的原则，由建设单位负责开垦与所占用耕地的数量和质量相当的耕地；如果没有条件开垦时，按照省的规定缴纳耕地开垦费，专款用于开垦新的耕地。</w:t>
            </w:r>
          </w:p>
        </w:tc>
        <w:tc>
          <w:tcPr>
            <w:tcW w:w="989" w:type="dxa"/>
            <w:vMerge w:val="restart"/>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default"/>
                <w:bCs/>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2</w:t>
            </w:r>
          </w:p>
        </w:tc>
        <w:tc>
          <w:tcPr>
            <w:tcW w:w="3570" w:type="dxa"/>
            <w:vAlign w:val="center"/>
          </w:tcPr>
          <w:p>
            <w:pPr>
              <w:keepNext w:val="0"/>
              <w:keepLines w:val="0"/>
              <w:suppressLineNumbers w:val="0"/>
              <w:spacing w:before="0" w:beforeAutospacing="0" w:after="0" w:afterAutospacing="0"/>
              <w:ind w:left="0" w:right="0"/>
              <w:rPr>
                <w:rFonts w:hint="eastAsia"/>
                <w:color w:val="auto"/>
              </w:rPr>
            </w:pPr>
            <w:r>
              <w:rPr>
                <w:rFonts w:hint="eastAsia"/>
                <w:color w:val="auto"/>
              </w:rPr>
              <w:t>严格国土空间用途管制。制定用途管制规则，实行严格的用途管制，严控非农建设用地规模，尽量少占优质黑土地。强化对占用黑土地的管控约束，使得城镇发展等非农建设尽量避让优质黑土地。</w:t>
            </w:r>
          </w:p>
        </w:tc>
        <w:tc>
          <w:tcPr>
            <w:tcW w:w="3990" w:type="dxa"/>
            <w:vMerge w:val="continue"/>
            <w:vAlign w:val="center"/>
          </w:tcPr>
          <w:p>
            <w:pPr>
              <w:keepNext w:val="0"/>
              <w:keepLines w:val="0"/>
              <w:suppressLineNumbers w:val="0"/>
              <w:spacing w:before="0" w:beforeAutospacing="0" w:after="0" w:afterAutospacing="0"/>
              <w:ind w:left="0" w:right="0"/>
              <w:rPr>
                <w:rFonts w:hint="default"/>
                <w:color w:val="auto"/>
                <w:szCs w:val="21"/>
              </w:rPr>
            </w:pPr>
          </w:p>
        </w:tc>
        <w:tc>
          <w:tcPr>
            <w:tcW w:w="989" w:type="dxa"/>
            <w:vMerge w:val="continue"/>
            <w:vAlign w:val="center"/>
          </w:tcPr>
          <w:p>
            <w:pPr>
              <w:keepNext w:val="0"/>
              <w:keepLines w:val="0"/>
              <w:suppressLineNumbers w:val="0"/>
              <w:spacing w:before="0" w:beforeAutospacing="0" w:after="0" w:afterAutospacing="0"/>
              <w:ind w:left="0" w:right="0"/>
              <w:jc w:val="center"/>
              <w:rPr>
                <w:rFonts w:hint="default"/>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38" w:type="dxa"/>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3</w:t>
            </w:r>
          </w:p>
        </w:tc>
        <w:tc>
          <w:tcPr>
            <w:tcW w:w="3570" w:type="dxa"/>
            <w:vAlign w:val="center"/>
          </w:tcPr>
          <w:p>
            <w:pPr>
              <w:keepNext w:val="0"/>
              <w:keepLines w:val="0"/>
              <w:suppressLineNumbers w:val="0"/>
              <w:spacing w:before="0" w:beforeAutospacing="0" w:after="0" w:afterAutospacing="0"/>
              <w:ind w:left="0" w:right="0"/>
              <w:rPr>
                <w:rFonts w:hint="eastAsia"/>
                <w:color w:val="auto"/>
              </w:rPr>
            </w:pPr>
            <w:r>
              <w:rPr>
                <w:rFonts w:hint="eastAsia"/>
                <w:color w:val="auto"/>
              </w:rPr>
              <w:t>严格土地执法。建设项目占用耕地的，应当按规定进行表土剥离和利用。全面加大黑土耕地保护违法违规问题执法力度，及时发现、严肃查处土地违法特别是乱占耕地、破坏耕地、盗挖黑土等行为。</w:t>
            </w:r>
          </w:p>
        </w:tc>
        <w:tc>
          <w:tcPr>
            <w:tcW w:w="3990" w:type="dxa"/>
            <w:vAlign w:val="center"/>
          </w:tcPr>
          <w:p>
            <w:pPr>
              <w:keepNext w:val="0"/>
              <w:keepLines w:val="0"/>
              <w:suppressLineNumbers w:val="0"/>
              <w:spacing w:before="0" w:beforeAutospacing="0" w:after="0" w:afterAutospacing="0"/>
              <w:ind w:left="0" w:right="0"/>
              <w:rPr>
                <w:rFonts w:hint="eastAsia"/>
                <w:color w:val="auto"/>
              </w:rPr>
            </w:pPr>
            <w:r>
              <w:rPr>
                <w:rFonts w:hint="default"/>
                <w:color w:val="auto"/>
              </w:rPr>
              <w:t>本工程</w:t>
            </w:r>
            <w:r>
              <w:rPr>
                <w:rFonts w:hint="eastAsia"/>
                <w:color w:val="auto"/>
              </w:rPr>
              <w:t>实施前编制建设项目占用耕地耕作层土壤剥离利用方案，统筹安排剥离、储存和再利用。表土剥离和利用严格执行《建设占用耕地耕作层土壤剥离利用技术规范》（DB23/T2913-2021）。本工程井场</w:t>
            </w:r>
            <w:r>
              <w:rPr>
                <w:rFonts w:hint="default"/>
                <w:color w:val="auto"/>
              </w:rPr>
              <w:t>生活污水池</w:t>
            </w:r>
            <w:r>
              <w:rPr>
                <w:rFonts w:hint="eastAsia"/>
                <w:color w:val="auto"/>
              </w:rPr>
              <w:t>等</w:t>
            </w:r>
            <w:r>
              <w:rPr>
                <w:rFonts w:hint="default"/>
                <w:color w:val="auto"/>
              </w:rPr>
              <w:t>挖方施工</w:t>
            </w:r>
            <w:r>
              <w:rPr>
                <w:rFonts w:hint="eastAsia"/>
                <w:color w:val="auto"/>
              </w:rPr>
              <w:t>剥离表土厚度为0.3m，</w:t>
            </w:r>
            <w:r>
              <w:rPr>
                <w:rFonts w:hint="eastAsia"/>
                <w:color w:val="auto"/>
                <w:szCs w:val="21"/>
              </w:rPr>
              <w:t>采用分层开挖，分层堆放，</w:t>
            </w:r>
            <w:r>
              <w:rPr>
                <w:rFonts w:hint="eastAsia"/>
                <w:color w:val="auto"/>
              </w:rPr>
              <w:t>剥离的表土推放在井场临时占地范围内的存储区，堆土表面设纱网或草栅覆盖，防止出现水土流失，</w:t>
            </w:r>
            <w:r>
              <w:rPr>
                <w:rFonts w:hint="eastAsia"/>
                <w:color w:val="auto"/>
                <w:szCs w:val="21"/>
              </w:rPr>
              <w:t>并定期采取洒水抑尘措施，</w:t>
            </w:r>
            <w:r>
              <w:rPr>
                <w:rFonts w:hint="default"/>
                <w:color w:val="auto"/>
              </w:rPr>
              <w:t>待本工程施工结束后</w:t>
            </w:r>
            <w:r>
              <w:rPr>
                <w:rFonts w:hint="eastAsia"/>
                <w:color w:val="auto"/>
              </w:rPr>
              <w:t>运回原位</w:t>
            </w:r>
            <w:r>
              <w:rPr>
                <w:rFonts w:hint="default"/>
                <w:color w:val="auto"/>
              </w:rPr>
              <w:t>分层回填</w:t>
            </w:r>
            <w:r>
              <w:rPr>
                <w:rFonts w:hint="eastAsia"/>
                <w:color w:val="auto"/>
                <w:szCs w:val="21"/>
              </w:rPr>
              <w:t>，并及时恢复地表植被。</w:t>
            </w:r>
          </w:p>
        </w:tc>
        <w:tc>
          <w:tcPr>
            <w:tcW w:w="989" w:type="dxa"/>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bCs/>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738" w:type="dxa"/>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4</w:t>
            </w:r>
          </w:p>
        </w:tc>
        <w:tc>
          <w:tcPr>
            <w:tcW w:w="3570" w:type="dxa"/>
            <w:vAlign w:val="center"/>
          </w:tcPr>
          <w:p>
            <w:pPr>
              <w:keepNext w:val="0"/>
              <w:keepLines w:val="0"/>
              <w:suppressLineNumbers w:val="0"/>
              <w:spacing w:before="0" w:beforeAutospacing="0" w:after="0" w:afterAutospacing="0"/>
              <w:ind w:left="0" w:right="0"/>
              <w:rPr>
                <w:rFonts w:hint="eastAsia"/>
                <w:color w:val="auto"/>
              </w:rPr>
            </w:pPr>
            <w:r>
              <w:rPr>
                <w:rFonts w:hint="eastAsia"/>
                <w:color w:val="auto"/>
              </w:rPr>
              <w:t>实施耕地深松轮作。推行深松（翻）整地，打破犁底层，增加土壤通透性和耕层厚度，建立“土壤水库”，提高土壤抗旱防涝、蓄水保墒能力，实现春旱秋防。</w:t>
            </w:r>
          </w:p>
        </w:tc>
        <w:tc>
          <w:tcPr>
            <w:tcW w:w="3990" w:type="dxa"/>
            <w:vAlign w:val="center"/>
          </w:tcPr>
          <w:p>
            <w:pPr>
              <w:keepNext w:val="0"/>
              <w:keepLines w:val="0"/>
              <w:suppressLineNumbers w:val="0"/>
              <w:spacing w:before="0" w:beforeAutospacing="0" w:after="0" w:afterAutospacing="0"/>
              <w:ind w:left="0" w:right="0"/>
              <w:rPr>
                <w:rFonts w:hint="eastAsia"/>
                <w:color w:val="auto"/>
                <w:szCs w:val="21"/>
              </w:rPr>
            </w:pPr>
            <w:r>
              <w:rPr>
                <w:rFonts w:hint="default"/>
                <w:color w:val="auto"/>
              </w:rPr>
              <w:t>本工程</w:t>
            </w:r>
            <w:r>
              <w:rPr>
                <w:rFonts w:hint="eastAsia"/>
                <w:color w:val="auto"/>
              </w:rPr>
              <w:t>对临时占用的耕地采用深松深耕进行复垦。</w:t>
            </w:r>
          </w:p>
        </w:tc>
        <w:tc>
          <w:tcPr>
            <w:tcW w:w="989"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符合</w:t>
            </w:r>
          </w:p>
        </w:tc>
      </w:tr>
    </w:tbl>
    <w:p>
      <w:pPr>
        <w:pStyle w:val="6"/>
        <w:bidi w:val="0"/>
        <w:rPr>
          <w:color w:val="auto"/>
        </w:rPr>
      </w:pPr>
      <w:r>
        <w:rPr>
          <w:rFonts w:hint="eastAsia"/>
          <w:color w:val="auto"/>
          <w:lang w:eastAsia="zh-CN"/>
        </w:rPr>
        <w:t>与</w:t>
      </w:r>
      <w:r>
        <w:rPr>
          <w:rFonts w:hint="eastAsia"/>
          <w:color w:val="auto"/>
        </w:rPr>
        <w:t>《黑龙江省“十四五”生态环境保护规划》（2021.12.31）符合性分析</w:t>
      </w:r>
    </w:p>
    <w:p>
      <w:pPr>
        <w:pStyle w:val="29"/>
        <w:spacing w:line="480" w:lineRule="exact"/>
        <w:ind w:firstLine="482"/>
        <w:rPr>
          <w:color w:val="auto"/>
          <w:sz w:val="28"/>
          <w:szCs w:val="28"/>
          <w:lang w:bidi="ar"/>
        </w:rPr>
      </w:pPr>
      <w:r>
        <w:rPr>
          <w:rFonts w:hint="eastAsia"/>
          <w:color w:val="auto"/>
          <w:sz w:val="28"/>
          <w:szCs w:val="28"/>
          <w:lang w:bidi="ar"/>
        </w:rPr>
        <w:t>本项目与《黑龙江省“十四五”</w:t>
      </w:r>
      <w:r>
        <w:rPr>
          <w:color w:val="auto"/>
          <w:sz w:val="28"/>
          <w:szCs w:val="28"/>
          <w:lang w:bidi="ar"/>
        </w:rPr>
        <w:fldChar w:fldCharType="begin"/>
      </w:r>
      <w:r>
        <w:rPr>
          <w:color w:val="auto"/>
          <w:sz w:val="28"/>
          <w:szCs w:val="28"/>
          <w:lang w:bidi="ar"/>
        </w:rPr>
        <w:instrText xml:space="preserve">HYPERLINK "https://daqi.bjx.com.cn/zt.asp?topic=%c9%fa%cc%ac%bb%b7%be%b3%b1%a3%bb%a4" \t "https://huanbao.bjx.com.cn/news/20220101/_blank" \o "生态环境保护新闻专题"</w:instrText>
      </w:r>
      <w:r>
        <w:rPr>
          <w:color w:val="auto"/>
          <w:sz w:val="28"/>
          <w:szCs w:val="28"/>
          <w:lang w:bidi="ar"/>
        </w:rPr>
        <w:fldChar w:fldCharType="separate"/>
      </w:r>
      <w:r>
        <w:rPr>
          <w:rFonts w:hint="eastAsia"/>
          <w:color w:val="auto"/>
          <w:sz w:val="28"/>
          <w:szCs w:val="28"/>
          <w:lang w:bidi="ar"/>
        </w:rPr>
        <w:t>生态环境保护</w:t>
      </w:r>
      <w:r>
        <w:rPr>
          <w:color w:val="auto"/>
          <w:sz w:val="28"/>
          <w:szCs w:val="28"/>
          <w:lang w:bidi="ar"/>
        </w:rPr>
        <w:fldChar w:fldCharType="end"/>
      </w:r>
      <w:r>
        <w:rPr>
          <w:rFonts w:hint="eastAsia"/>
          <w:color w:val="auto"/>
          <w:sz w:val="28"/>
          <w:szCs w:val="28"/>
          <w:lang w:bidi="ar"/>
        </w:rPr>
        <w:t>规划》（2021.12.31）符合性分析见表1.4-</w:t>
      </w:r>
      <w:r>
        <w:rPr>
          <w:rFonts w:hint="eastAsia"/>
          <w:color w:val="auto"/>
          <w:sz w:val="28"/>
          <w:szCs w:val="28"/>
          <w:lang w:val="en-US" w:eastAsia="zh-CN" w:bidi="ar"/>
        </w:rPr>
        <w:t>2</w:t>
      </w:r>
      <w:r>
        <w:rPr>
          <w:rFonts w:hint="eastAsia"/>
          <w:color w:val="auto"/>
          <w:sz w:val="28"/>
          <w:szCs w:val="28"/>
          <w:lang w:bidi="ar"/>
        </w:rPr>
        <w:t>。</w:t>
      </w:r>
    </w:p>
    <w:p>
      <w:pPr>
        <w:pStyle w:val="7"/>
        <w:bidi w:val="0"/>
        <w:rPr>
          <w:color w:val="auto"/>
        </w:rPr>
      </w:pPr>
      <w:r>
        <w:rPr>
          <w:color w:val="auto"/>
        </w:rPr>
        <w:t>与黑龙江省“十四五”</w:t>
      </w:r>
      <w:r>
        <w:rPr>
          <w:color w:val="auto"/>
        </w:rPr>
        <w:fldChar w:fldCharType="begin"/>
      </w:r>
      <w:r>
        <w:rPr>
          <w:color w:val="auto"/>
        </w:rPr>
        <w:instrText xml:space="preserve">HYPERLINK "https://daqi.bjx.com.cn/zt.asp?topic=%c9%fa%cc%ac%bb%b7%be%b3%b1%a3%bb%a4" \t "https://huanbao.bjx.com.cn/news/20220101/_blank" \o "生态环境保护新闻专题"</w:instrText>
      </w:r>
      <w:r>
        <w:rPr>
          <w:color w:val="auto"/>
        </w:rPr>
        <w:fldChar w:fldCharType="separate"/>
      </w:r>
      <w:r>
        <w:rPr>
          <w:color w:val="auto"/>
        </w:rPr>
        <w:t>生态环境保护</w:t>
      </w:r>
      <w:r>
        <w:rPr>
          <w:color w:val="auto"/>
        </w:rPr>
        <w:fldChar w:fldCharType="end"/>
      </w:r>
      <w:r>
        <w:rPr>
          <w:color w:val="auto"/>
        </w:rPr>
        <w:t>规划</w:t>
      </w:r>
      <w:r>
        <w:rPr>
          <w:rFonts w:hint="eastAsia"/>
          <w:color w:val="auto"/>
        </w:rPr>
        <w:t>符合性分析</w:t>
      </w:r>
      <w:r>
        <w:rPr>
          <w:color w:val="auto"/>
        </w:rPr>
        <w:t>一览表</w:t>
      </w:r>
    </w:p>
    <w:tbl>
      <w:tblPr>
        <w:tblStyle w:val="34"/>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689"/>
        <w:gridCol w:w="409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6"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default"/>
                <w:color w:val="auto"/>
                <w:szCs w:val="21"/>
              </w:rPr>
              <w:t>序号</w:t>
            </w:r>
          </w:p>
        </w:tc>
        <w:tc>
          <w:tcPr>
            <w:tcW w:w="3689"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default"/>
                <w:color w:val="auto"/>
                <w:szCs w:val="21"/>
              </w:rPr>
              <w:t>文件要求</w:t>
            </w:r>
          </w:p>
        </w:tc>
        <w:tc>
          <w:tcPr>
            <w:tcW w:w="4095"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eastAsia"/>
                <w:color w:val="auto"/>
                <w:szCs w:val="21"/>
              </w:rPr>
              <w:t>符合性分析</w:t>
            </w:r>
          </w:p>
        </w:tc>
        <w:tc>
          <w:tcPr>
            <w:tcW w:w="870" w:type="dxa"/>
            <w:vAlign w:val="center"/>
          </w:tcPr>
          <w:p>
            <w:pPr>
              <w:keepNext w:val="0"/>
              <w:keepLines w:val="0"/>
              <w:suppressLineNumbers w:val="0"/>
              <w:overflowPunct w:val="0"/>
              <w:spacing w:before="0" w:beforeAutospacing="0" w:after="0" w:afterAutospacing="0"/>
              <w:ind w:left="0" w:right="0"/>
              <w:jc w:val="center"/>
              <w:rPr>
                <w:rFonts w:hint="eastAsia"/>
                <w:color w:val="auto"/>
                <w:szCs w:val="21"/>
              </w:rPr>
            </w:pPr>
            <w:r>
              <w:rPr>
                <w:rFonts w:hint="eastAsia"/>
                <w:color w:val="auto"/>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default"/>
                <w:color w:val="auto"/>
                <w:szCs w:val="21"/>
              </w:rPr>
              <w:t>1</w:t>
            </w:r>
          </w:p>
        </w:tc>
        <w:tc>
          <w:tcPr>
            <w:tcW w:w="3689" w:type="dxa"/>
            <w:vAlign w:val="center"/>
          </w:tcPr>
          <w:p>
            <w:pPr>
              <w:keepNext w:val="0"/>
              <w:keepLines w:val="0"/>
              <w:suppressLineNumbers w:val="0"/>
              <w:overflowPunct w:val="0"/>
              <w:spacing w:before="0" w:beforeAutospacing="0" w:after="0" w:afterAutospacing="0"/>
              <w:ind w:left="0" w:right="0"/>
              <w:rPr>
                <w:rFonts w:hint="default"/>
                <w:color w:val="auto"/>
                <w:szCs w:val="21"/>
              </w:rPr>
            </w:pPr>
            <w:r>
              <w:rPr>
                <w:rFonts w:hint="default"/>
                <w:color w:val="auto"/>
                <w:szCs w:val="21"/>
              </w:rPr>
              <w:t>推进扬尘精细化管控。全面推行绿色施工，严格落实施工工地扬尘管控责任，加强施工扬尘监管执法。推进低尘机械化湿式清扫作业，加大城市出入口、城乡结合部等重要路段冲洗保洁力度，渣土车实施全密闭运输，强化绿化用地扬尘治理。</w:t>
            </w:r>
          </w:p>
        </w:tc>
        <w:tc>
          <w:tcPr>
            <w:tcW w:w="4095" w:type="dxa"/>
            <w:vAlign w:val="center"/>
          </w:tcPr>
          <w:p>
            <w:pPr>
              <w:keepNext w:val="0"/>
              <w:keepLines w:val="0"/>
              <w:suppressLineNumbers w:val="0"/>
              <w:overflowPunct w:val="0"/>
              <w:spacing w:before="0" w:beforeAutospacing="0" w:after="0" w:afterAutospacing="0"/>
              <w:ind w:left="0" w:right="0"/>
              <w:rPr>
                <w:rFonts w:hint="default"/>
                <w:color w:val="auto"/>
                <w:szCs w:val="21"/>
              </w:rPr>
            </w:pPr>
            <w:r>
              <w:rPr>
                <w:rFonts w:hint="eastAsia" w:ascii="宋体" w:hAnsi="宋体" w:cs="宋体"/>
                <w:color w:val="auto"/>
                <w:szCs w:val="21"/>
              </w:rPr>
              <w:t>（1）</w:t>
            </w:r>
            <w:r>
              <w:rPr>
                <w:rFonts w:hint="default"/>
                <w:color w:val="auto"/>
                <w:szCs w:val="21"/>
              </w:rPr>
              <w:t>运输道路、施工场地定时洒水抑尘，定期清扫散落在施工场地的泥土。</w:t>
            </w:r>
          </w:p>
          <w:p>
            <w:pPr>
              <w:keepNext w:val="0"/>
              <w:keepLines w:val="0"/>
              <w:suppressLineNumbers w:val="0"/>
              <w:overflowPunct w:val="0"/>
              <w:spacing w:before="0" w:beforeAutospacing="0" w:after="0" w:afterAutospacing="0"/>
              <w:ind w:left="0" w:right="0"/>
              <w:rPr>
                <w:rFonts w:hint="default"/>
                <w:color w:val="auto"/>
                <w:szCs w:val="21"/>
              </w:rPr>
            </w:pPr>
            <w:r>
              <w:rPr>
                <w:rFonts w:hint="eastAsia"/>
                <w:color w:val="auto"/>
                <w:szCs w:val="21"/>
              </w:rPr>
              <w:t>（2）</w:t>
            </w:r>
            <w:r>
              <w:rPr>
                <w:rFonts w:hint="default"/>
                <w:color w:val="auto"/>
                <w:szCs w:val="21"/>
              </w:rPr>
              <w:t>运料车辆在运输时采取全密闭措施，需要在运料顶部加盖篷布，严禁敞开式、半敞开式运输，不得装载过满，以防洒落在地，形成二次扬尘。</w:t>
            </w:r>
          </w:p>
          <w:p>
            <w:pPr>
              <w:keepNext w:val="0"/>
              <w:keepLines w:val="0"/>
              <w:suppressLineNumbers w:val="0"/>
              <w:overflowPunct w:val="0"/>
              <w:spacing w:before="0" w:beforeAutospacing="0" w:after="0" w:afterAutospacing="0"/>
              <w:ind w:left="0" w:right="0"/>
              <w:rPr>
                <w:rFonts w:hint="default"/>
                <w:color w:val="auto"/>
                <w:szCs w:val="21"/>
              </w:rPr>
            </w:pPr>
            <w:r>
              <w:rPr>
                <w:rFonts w:hint="eastAsia"/>
                <w:color w:val="auto"/>
                <w:szCs w:val="21"/>
              </w:rPr>
              <w:t>（3）</w:t>
            </w:r>
            <w:r>
              <w:rPr>
                <w:rFonts w:hint="default"/>
                <w:color w:val="auto"/>
                <w:szCs w:val="21"/>
              </w:rPr>
              <w:t>土方开挖采取围挡、洒水等防尘措施。临时堆放土堆采取覆盖措施。</w:t>
            </w:r>
          </w:p>
          <w:p>
            <w:pPr>
              <w:keepNext w:val="0"/>
              <w:keepLines w:val="0"/>
              <w:suppressLineNumbers w:val="0"/>
              <w:overflowPunct w:val="0"/>
              <w:spacing w:before="0" w:beforeAutospacing="0" w:after="0" w:afterAutospacing="0"/>
              <w:ind w:left="0" w:right="0"/>
              <w:rPr>
                <w:rFonts w:hint="eastAsia"/>
                <w:color w:val="auto"/>
                <w:szCs w:val="21"/>
              </w:rPr>
            </w:pPr>
            <w:r>
              <w:rPr>
                <w:rFonts w:hint="eastAsia"/>
                <w:color w:val="auto"/>
                <w:szCs w:val="21"/>
              </w:rPr>
              <w:t>（4）</w:t>
            </w:r>
            <w:r>
              <w:rPr>
                <w:rFonts w:hint="default"/>
                <w:color w:val="auto"/>
                <w:szCs w:val="21"/>
              </w:rPr>
              <w:t>合理规划施工进度，表土剥离及时开挖，及时回填，防止弃土风化失水而起沙起尘；遇大风天气应停止土方工程施工作业。</w:t>
            </w:r>
          </w:p>
        </w:tc>
        <w:tc>
          <w:tcPr>
            <w:tcW w:w="870"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default"/>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keepNext w:val="0"/>
              <w:keepLines w:val="0"/>
              <w:suppressLineNumbers w:val="0"/>
              <w:overflowPunct w:val="0"/>
              <w:spacing w:before="0" w:beforeAutospacing="0" w:after="0" w:afterAutospacing="0"/>
              <w:ind w:left="0" w:right="0"/>
              <w:jc w:val="center"/>
              <w:rPr>
                <w:rFonts w:hint="eastAsia"/>
                <w:color w:val="auto"/>
                <w:szCs w:val="21"/>
              </w:rPr>
            </w:pPr>
            <w:r>
              <w:rPr>
                <w:rFonts w:hint="eastAsia"/>
                <w:color w:val="auto"/>
                <w:szCs w:val="21"/>
              </w:rPr>
              <w:t>2</w:t>
            </w:r>
          </w:p>
        </w:tc>
        <w:tc>
          <w:tcPr>
            <w:tcW w:w="3689" w:type="dxa"/>
            <w:vAlign w:val="center"/>
          </w:tcPr>
          <w:p>
            <w:pPr>
              <w:keepNext w:val="0"/>
              <w:keepLines w:val="0"/>
              <w:suppressLineNumbers w:val="0"/>
              <w:overflowPunct w:val="0"/>
              <w:spacing w:before="0" w:beforeAutospacing="0" w:after="0" w:afterAutospacing="0"/>
              <w:ind w:left="0" w:right="0"/>
              <w:rPr>
                <w:rFonts w:hint="default"/>
                <w:color w:val="auto"/>
                <w:szCs w:val="21"/>
              </w:rPr>
            </w:pPr>
            <w:r>
              <w:rPr>
                <w:rFonts w:hint="default"/>
                <w:color w:val="auto"/>
                <w:szCs w:val="21"/>
              </w:rPr>
              <w:t>制定实施噪声污染防治行动计划。因特殊需要必须连续作业的，必须有县级以上政府或者其有关主管部门的证明，并公告附近居民。鼓励采用低噪声施工设备和工艺。依法将工业企业噪声纳入排污许可管理，严厉查处工业企业噪声排放超标扰民行为。</w:t>
            </w:r>
          </w:p>
        </w:tc>
        <w:tc>
          <w:tcPr>
            <w:tcW w:w="4095" w:type="dxa"/>
            <w:vAlign w:val="center"/>
          </w:tcPr>
          <w:p>
            <w:pPr>
              <w:keepNext w:val="0"/>
              <w:keepLines w:val="0"/>
              <w:suppressLineNumbers w:val="0"/>
              <w:spacing w:before="0" w:beforeAutospacing="0" w:after="0" w:afterAutospacing="0" w:line="240" w:lineRule="atLeast"/>
              <w:ind w:left="0" w:right="0"/>
              <w:jc w:val="left"/>
              <w:rPr>
                <w:rFonts w:hint="default"/>
                <w:color w:val="auto"/>
                <w:szCs w:val="21"/>
              </w:rPr>
            </w:pPr>
            <w:r>
              <w:rPr>
                <w:rFonts w:hint="default"/>
                <w:color w:val="auto"/>
                <w:szCs w:val="21"/>
              </w:rPr>
              <w:t>（1）对钻井井场进行合理布局，井场高噪音设备分散放置，并远离有人居的方向，避免噪声叠加造成对周围声环境的影响</w:t>
            </w:r>
            <w:r>
              <w:rPr>
                <w:rFonts w:hint="eastAsia"/>
                <w:color w:val="auto"/>
                <w:szCs w:val="21"/>
              </w:rPr>
              <w:t>。</w:t>
            </w:r>
          </w:p>
          <w:p>
            <w:pPr>
              <w:keepNext w:val="0"/>
              <w:keepLines w:val="0"/>
              <w:suppressLineNumbers w:val="0"/>
              <w:spacing w:before="0" w:beforeAutospacing="0" w:after="0" w:afterAutospacing="0" w:line="240" w:lineRule="atLeast"/>
              <w:ind w:left="0" w:right="0"/>
              <w:jc w:val="left"/>
              <w:rPr>
                <w:rFonts w:hint="default"/>
                <w:color w:val="auto"/>
                <w:szCs w:val="21"/>
              </w:rPr>
            </w:pPr>
            <w:r>
              <w:rPr>
                <w:rFonts w:hint="default"/>
                <w:color w:val="auto"/>
                <w:szCs w:val="21"/>
              </w:rPr>
              <w:t>（2）</w:t>
            </w:r>
            <w:r>
              <w:rPr>
                <w:rFonts w:hint="eastAsia" w:ascii="宋体" w:hAnsi="宋体" w:cs="宋体"/>
                <w:color w:val="auto"/>
                <w:szCs w:val="21"/>
              </w:rPr>
              <w:t>施工中加强管理，避免不合理噪声，文明施工，</w:t>
            </w:r>
            <w:r>
              <w:rPr>
                <w:rFonts w:hint="eastAsia"/>
                <w:color w:val="auto"/>
                <w:szCs w:val="21"/>
              </w:rPr>
              <w:t>合理安排施工进度，调整同时作业的施工机械数量，降低对周围环境的影响。</w:t>
            </w:r>
          </w:p>
          <w:p>
            <w:pPr>
              <w:keepNext w:val="0"/>
              <w:keepLines w:val="0"/>
              <w:suppressLineNumbers w:val="0"/>
              <w:spacing w:before="0" w:beforeAutospacing="0" w:after="0" w:afterAutospacing="0" w:line="240" w:lineRule="atLeast"/>
              <w:ind w:left="0" w:right="0"/>
              <w:jc w:val="left"/>
              <w:rPr>
                <w:rFonts w:hint="eastAsia"/>
                <w:color w:val="auto"/>
                <w:szCs w:val="21"/>
              </w:rPr>
            </w:pPr>
            <w:r>
              <w:rPr>
                <w:rFonts w:hint="default"/>
                <w:color w:val="auto"/>
                <w:szCs w:val="21"/>
              </w:rPr>
              <w:t>（3）</w:t>
            </w:r>
            <w:r>
              <w:rPr>
                <w:rFonts w:hint="eastAsia"/>
                <w:color w:val="auto"/>
                <w:szCs w:val="21"/>
              </w:rPr>
              <w:t>不可避免需要夜间施工时，应向周边工厂企业和居住点进行公告，取得民众谅解，并合理安排施工机械数量，严格限定施工范围，选用噪音低的设备。</w:t>
            </w:r>
          </w:p>
          <w:p>
            <w:pPr>
              <w:keepNext w:val="0"/>
              <w:keepLines w:val="0"/>
              <w:suppressLineNumbers w:val="0"/>
              <w:spacing w:before="0" w:beforeAutospacing="0" w:after="0" w:afterAutospacing="0" w:line="240" w:lineRule="atLeast"/>
              <w:ind w:left="0" w:right="0"/>
              <w:jc w:val="left"/>
              <w:rPr>
                <w:rFonts w:hint="eastAsia"/>
                <w:color w:val="auto"/>
                <w:szCs w:val="21"/>
              </w:rPr>
            </w:pPr>
            <w:r>
              <w:rPr>
                <w:rFonts w:hint="eastAsia"/>
                <w:color w:val="auto"/>
              </w:rPr>
              <w:t>（4）</w:t>
            </w:r>
            <w:r>
              <w:rPr>
                <w:rFonts w:hint="default"/>
                <w:color w:val="auto"/>
              </w:rPr>
              <w:t>降低设备噪声。注意对设备的维护和保养，合理操作，保证施工机械保持在最佳状态，降低噪声源强度</w:t>
            </w:r>
            <w:r>
              <w:rPr>
                <w:rFonts w:hint="eastAsia"/>
                <w:color w:val="auto"/>
              </w:rPr>
              <w:t>。</w:t>
            </w:r>
          </w:p>
        </w:tc>
        <w:tc>
          <w:tcPr>
            <w:tcW w:w="870"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default"/>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eastAsia"/>
                <w:color w:val="auto"/>
                <w:szCs w:val="21"/>
              </w:rPr>
              <w:t>3</w:t>
            </w:r>
          </w:p>
        </w:tc>
        <w:tc>
          <w:tcPr>
            <w:tcW w:w="3689" w:type="dxa"/>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szCs w:val="21"/>
              </w:rPr>
              <w:t>加强</w:t>
            </w:r>
            <w:r>
              <w:rPr>
                <w:rFonts w:hint="eastAsia"/>
                <w:color w:val="auto"/>
                <w:szCs w:val="21"/>
              </w:rPr>
              <w:t>地下水生态环境保护和污染防治</w:t>
            </w:r>
            <w:r>
              <w:rPr>
                <w:rFonts w:hint="default"/>
                <w:color w:val="auto"/>
                <w:szCs w:val="21"/>
              </w:rPr>
              <w:t>。加强防渗、地下水环境监测、执法检查。加强污染源头预防与风险管控。</w:t>
            </w:r>
          </w:p>
        </w:tc>
        <w:tc>
          <w:tcPr>
            <w:tcW w:w="4095" w:type="dxa"/>
            <w:vAlign w:val="center"/>
          </w:tcPr>
          <w:p>
            <w:pPr>
              <w:keepNext w:val="0"/>
              <w:keepLines w:val="0"/>
              <w:suppressLineNumbers w:val="0"/>
              <w:overflowPunct w:val="0"/>
              <w:spacing w:before="0" w:beforeAutospacing="0" w:after="0" w:afterAutospacing="0"/>
              <w:ind w:left="0" w:right="0"/>
              <w:rPr>
                <w:rFonts w:hint="default"/>
                <w:color w:val="auto"/>
                <w:szCs w:val="21"/>
                <w:lang w:bidi="ar"/>
              </w:rPr>
            </w:pPr>
            <w:r>
              <w:rPr>
                <w:rFonts w:hint="default"/>
                <w:color w:val="auto"/>
                <w:szCs w:val="21"/>
                <w:lang w:bidi="ar"/>
              </w:rPr>
              <w:t>本工程加强对废钻井液、钻井岩屑、钻井废水的回收处理工作，消除对地下水的污染隐患。工程采取地下水分区防渗措施，所有井场柴油罐区及使用油基钻井液井场的钢制泥浆槽、泥浆循环罐区进行重点防渗，铺设铺设人工材料防渗层（2mm厚聚乙烯膜防渗层，防渗系数K≤1×10</w:t>
            </w:r>
            <w:r>
              <w:rPr>
                <w:rFonts w:hint="default"/>
                <w:color w:val="auto"/>
                <w:szCs w:val="21"/>
                <w:vertAlign w:val="superscript"/>
                <w:lang w:bidi="ar"/>
              </w:rPr>
              <w:t>-13</w:t>
            </w:r>
            <w:r>
              <w:rPr>
                <w:rFonts w:hint="default"/>
                <w:color w:val="auto"/>
                <w:szCs w:val="21"/>
                <w:lang w:bidi="ar"/>
              </w:rPr>
              <w:t xml:space="preserve"> cm/s），防渗性能满足《环境影响评价技术导则 地下水环境》（HJ 610-2016）等效黏土防渗层Mb≥6.0m、K≤1.0×10</w:t>
            </w:r>
            <w:r>
              <w:rPr>
                <w:rFonts w:hint="default"/>
                <w:color w:val="auto"/>
                <w:szCs w:val="21"/>
                <w:vertAlign w:val="superscript"/>
                <w:lang w:bidi="ar"/>
              </w:rPr>
              <w:t>-7</w:t>
            </w:r>
            <w:r>
              <w:rPr>
                <w:rFonts w:hint="default"/>
                <w:color w:val="auto"/>
                <w:szCs w:val="21"/>
                <w:lang w:bidi="ar"/>
              </w:rPr>
              <w:t>cm/s重点防渗要求；所有井场的防渗生活污水池、材料房及使用水基钻井液井场的钢制泥浆槽、泥浆循环罐区进行一般防渗，铺设人工材料防渗层（2mm的聚乙烯膜，防渗系数K≤1×10</w:t>
            </w:r>
            <w:r>
              <w:rPr>
                <w:rFonts w:hint="default"/>
                <w:color w:val="auto"/>
                <w:szCs w:val="21"/>
                <w:vertAlign w:val="superscript"/>
                <w:lang w:bidi="ar"/>
              </w:rPr>
              <w:t>-10</w:t>
            </w:r>
            <w:r>
              <w:rPr>
                <w:rFonts w:hint="default"/>
                <w:color w:val="auto"/>
                <w:szCs w:val="21"/>
                <w:lang w:bidi="ar"/>
              </w:rPr>
              <w:t xml:space="preserve"> cm/s），防渗性能满足《环境</w:t>
            </w:r>
          </w:p>
          <w:p>
            <w:pPr>
              <w:keepNext w:val="0"/>
              <w:keepLines w:val="0"/>
              <w:suppressLineNumbers w:val="0"/>
              <w:overflowPunct w:val="0"/>
              <w:spacing w:before="0" w:beforeAutospacing="0" w:after="0" w:afterAutospacing="0"/>
              <w:ind w:left="0" w:right="0"/>
              <w:rPr>
                <w:rFonts w:hint="default"/>
                <w:color w:val="auto"/>
                <w:szCs w:val="21"/>
              </w:rPr>
            </w:pPr>
            <w:r>
              <w:rPr>
                <w:rFonts w:hint="default"/>
                <w:color w:val="auto"/>
                <w:szCs w:val="21"/>
                <w:lang w:bidi="ar"/>
              </w:rPr>
              <w:t>影响评价技术导则 地下水环境》（HJ 610-2016）等效黏土防渗层Mb≥1.5m、K≤1.0×10</w:t>
            </w:r>
            <w:r>
              <w:rPr>
                <w:rFonts w:hint="default"/>
                <w:color w:val="auto"/>
                <w:szCs w:val="21"/>
                <w:vertAlign w:val="superscript"/>
                <w:lang w:bidi="ar"/>
              </w:rPr>
              <w:t>-7</w:t>
            </w:r>
            <w:r>
              <w:rPr>
                <w:rFonts w:hint="default"/>
                <w:color w:val="auto"/>
                <w:szCs w:val="21"/>
                <w:lang w:bidi="ar"/>
              </w:rPr>
              <w:t>cm/s一般防渗要求；井场其余地面为简单防渗区，地面进行碾压平整、压实处理，进行简单防渗。工程保证固井质量，严防渗入含水层。工程拟钻井使用</w:t>
            </w:r>
            <w:r>
              <w:rPr>
                <w:rFonts w:hint="eastAsia"/>
                <w:color w:val="auto"/>
                <w:szCs w:val="21"/>
                <w:lang w:val="en-US" w:eastAsia="zh-CN" w:bidi="ar"/>
              </w:rPr>
              <w:t>四层</w:t>
            </w:r>
            <w:r>
              <w:rPr>
                <w:rFonts w:hint="default"/>
                <w:color w:val="auto"/>
                <w:szCs w:val="21"/>
                <w:lang w:bidi="ar"/>
              </w:rPr>
              <w:t>套管，可以有效保护地下水，以确保该区地下水不受污染，各层套管固井水泥浆必须返至井口，确保安全封闭此深度内的潜水层和承压水层。</w:t>
            </w:r>
          </w:p>
        </w:tc>
        <w:tc>
          <w:tcPr>
            <w:tcW w:w="870" w:type="dxa"/>
            <w:vAlign w:val="center"/>
          </w:tcPr>
          <w:p>
            <w:pPr>
              <w:keepNext w:val="0"/>
              <w:keepLines w:val="0"/>
              <w:suppressLineNumbers w:val="0"/>
              <w:overflowPunct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eastAsia"/>
                <w:color w:val="auto"/>
                <w:szCs w:val="21"/>
              </w:rPr>
              <w:t>4</w:t>
            </w:r>
          </w:p>
        </w:tc>
        <w:tc>
          <w:tcPr>
            <w:tcW w:w="3689" w:type="dxa"/>
            <w:vAlign w:val="center"/>
          </w:tcPr>
          <w:p>
            <w:pPr>
              <w:keepNext w:val="0"/>
              <w:keepLines w:val="0"/>
              <w:suppressLineNumbers w:val="0"/>
              <w:overflowPunct w:val="0"/>
              <w:spacing w:before="0" w:beforeAutospacing="0" w:after="0" w:afterAutospacing="0"/>
              <w:ind w:left="0" w:right="0"/>
              <w:rPr>
                <w:rFonts w:hint="default"/>
                <w:color w:val="auto"/>
                <w:szCs w:val="21"/>
              </w:rPr>
            </w:pPr>
            <w:r>
              <w:rPr>
                <w:rFonts w:hint="default"/>
                <w:color w:val="auto"/>
                <w:szCs w:val="21"/>
              </w:rPr>
              <w:t>强化土壤污染源系统防控。</w:t>
            </w:r>
            <w:r>
              <w:rPr>
                <w:rFonts w:hint="eastAsia"/>
                <w:color w:val="auto"/>
                <w:szCs w:val="21"/>
              </w:rPr>
              <w:t>永久基本农田集中区禁止规划建设可能造成土壤污染的建设项目。对涉及有毒有害物质可能造成土壤污染的建设项目，依法进行环境影响评价，按规划定提出并落实防腐蚀、防渗漏、防遗撒等土壤污染防治具体措施。各地定期组织开展土壤污染重点监管单位和地下水重点污染源周边土壤、地下水环境监测，督促企业定期开展土壤和地下水环境自行监测、污染隐患排查治理。防控矿产资源开发污染土壤。</w:t>
            </w:r>
          </w:p>
        </w:tc>
        <w:tc>
          <w:tcPr>
            <w:tcW w:w="4095" w:type="dxa"/>
            <w:vAlign w:val="center"/>
          </w:tcPr>
          <w:p>
            <w:pPr>
              <w:keepNext w:val="0"/>
              <w:keepLines w:val="0"/>
              <w:suppressLineNumbers w:val="0"/>
              <w:overflowPunct w:val="0"/>
              <w:spacing w:before="0" w:beforeAutospacing="0" w:after="0" w:afterAutospacing="0"/>
              <w:ind w:left="0" w:right="0"/>
              <w:rPr>
                <w:rFonts w:hint="default"/>
                <w:color w:val="auto"/>
                <w:szCs w:val="21"/>
              </w:rPr>
            </w:pPr>
            <w:r>
              <w:rPr>
                <w:rFonts w:hint="eastAsia"/>
                <w:color w:val="auto"/>
                <w:szCs w:val="21"/>
              </w:rPr>
              <w:t>（1）</w:t>
            </w:r>
            <w:r>
              <w:rPr>
                <w:rFonts w:hint="default"/>
                <w:color w:val="auto"/>
                <w:szCs w:val="21"/>
              </w:rPr>
              <w:t>根据地下储层特性，本工程无法避让基本农田</w:t>
            </w:r>
            <w:r>
              <w:rPr>
                <w:rFonts w:hint="eastAsia"/>
                <w:color w:val="auto"/>
                <w:szCs w:val="21"/>
              </w:rPr>
              <w:t>。</w:t>
            </w:r>
            <w:r>
              <w:rPr>
                <w:rFonts w:hint="default"/>
                <w:color w:val="auto"/>
                <w:szCs w:val="21"/>
              </w:rPr>
              <w:t>在不可避免的条件下需占用基本农田时，</w:t>
            </w:r>
            <w:r>
              <w:rPr>
                <w:rFonts w:hint="eastAsia"/>
                <w:color w:val="auto"/>
                <w:szCs w:val="21"/>
              </w:rPr>
              <w:t>本工程在实施前依法进行环境影响评价，按规划定提出并落实防渗漏、防遗撒等土壤污染防治具体措施，并</w:t>
            </w:r>
            <w:r>
              <w:rPr>
                <w:rFonts w:hint="default"/>
                <w:color w:val="auto"/>
                <w:szCs w:val="21"/>
              </w:rPr>
              <w:t>采取对基本农田配套专门的补偿措施、植被恢复措施等，在选址和布局上采用环境影响最小的布局方案，尽可能减少对占用面积和时间，进一步降低对土壤的影响</w:t>
            </w:r>
            <w:r>
              <w:rPr>
                <w:rFonts w:hint="eastAsia"/>
                <w:color w:val="auto"/>
                <w:szCs w:val="21"/>
              </w:rPr>
              <w:t>。</w:t>
            </w:r>
          </w:p>
          <w:p>
            <w:pPr>
              <w:keepNext w:val="0"/>
              <w:keepLines w:val="0"/>
              <w:suppressLineNumbers w:val="0"/>
              <w:overflowPunct w:val="0"/>
              <w:spacing w:before="0" w:beforeAutospacing="0" w:after="0" w:afterAutospacing="0"/>
              <w:ind w:left="0" w:right="0"/>
              <w:rPr>
                <w:rFonts w:hint="default"/>
                <w:color w:val="auto"/>
                <w:szCs w:val="21"/>
              </w:rPr>
            </w:pPr>
            <w:r>
              <w:rPr>
                <w:rFonts w:hint="eastAsia"/>
                <w:color w:val="auto"/>
                <w:szCs w:val="21"/>
              </w:rPr>
              <w:t>（2）本项目钻井时期采取分区防渗方式，</w:t>
            </w:r>
            <w:r>
              <w:rPr>
                <w:rFonts w:hint="default"/>
                <w:color w:val="auto"/>
                <w:szCs w:val="21"/>
              </w:rPr>
              <w:t>最大程度保证</w:t>
            </w:r>
            <w:r>
              <w:rPr>
                <w:rFonts w:hint="eastAsia"/>
                <w:color w:val="auto"/>
                <w:szCs w:val="21"/>
              </w:rPr>
              <w:t>污染物不会污染</w:t>
            </w:r>
            <w:r>
              <w:rPr>
                <w:rFonts w:hint="default"/>
                <w:color w:val="auto"/>
                <w:szCs w:val="21"/>
              </w:rPr>
              <w:t>土壤环境</w:t>
            </w:r>
            <w:r>
              <w:rPr>
                <w:rFonts w:hint="eastAsia"/>
                <w:color w:val="auto"/>
                <w:szCs w:val="21"/>
              </w:rPr>
              <w:t>。</w:t>
            </w:r>
          </w:p>
          <w:p>
            <w:pPr>
              <w:keepNext w:val="0"/>
              <w:keepLines w:val="0"/>
              <w:suppressLineNumbers w:val="0"/>
              <w:overflowPunct w:val="0"/>
              <w:spacing w:before="0" w:beforeAutospacing="0" w:after="0" w:afterAutospacing="0"/>
              <w:ind w:left="0" w:right="0"/>
              <w:rPr>
                <w:rFonts w:hint="default"/>
                <w:color w:val="auto"/>
                <w:szCs w:val="21"/>
              </w:rPr>
            </w:pPr>
            <w:r>
              <w:rPr>
                <w:rFonts w:hint="eastAsia"/>
                <w:color w:val="auto"/>
                <w:szCs w:val="21"/>
              </w:rPr>
              <w:t>（3）本次环评</w:t>
            </w:r>
            <w:r>
              <w:rPr>
                <w:rFonts w:hint="default"/>
                <w:color w:val="auto"/>
                <w:szCs w:val="21"/>
              </w:rPr>
              <w:t>开展了评价范围内土壤的环境质量现状调查、土壤环境影响分析及土壤污染防治措施及其可行性论证，提出土壤跟踪监测计划，并提出三同时验收要求，保障土壤环境</w:t>
            </w:r>
            <w:r>
              <w:rPr>
                <w:rFonts w:hint="eastAsia"/>
                <w:color w:val="auto"/>
                <w:szCs w:val="21"/>
              </w:rPr>
              <w:t>监管</w:t>
            </w:r>
            <w:r>
              <w:rPr>
                <w:rFonts w:hint="default"/>
                <w:color w:val="auto"/>
                <w:szCs w:val="21"/>
              </w:rPr>
              <w:t>措施落实到位。</w:t>
            </w:r>
          </w:p>
        </w:tc>
        <w:tc>
          <w:tcPr>
            <w:tcW w:w="870" w:type="dxa"/>
            <w:vAlign w:val="center"/>
          </w:tcPr>
          <w:p>
            <w:pPr>
              <w:keepNext w:val="0"/>
              <w:keepLines w:val="0"/>
              <w:suppressLineNumbers w:val="0"/>
              <w:overflowPunct w:val="0"/>
              <w:spacing w:before="0" w:beforeAutospacing="0" w:after="0" w:afterAutospacing="0"/>
              <w:ind w:left="0" w:right="0"/>
              <w:jc w:val="center"/>
              <w:rPr>
                <w:rFonts w:hint="default"/>
                <w:color w:val="auto"/>
                <w:szCs w:val="21"/>
              </w:rPr>
            </w:pPr>
            <w:r>
              <w:rPr>
                <w:rFonts w:hint="default"/>
                <w:color w:val="auto"/>
                <w:szCs w:val="21"/>
              </w:rPr>
              <w:t>符合</w:t>
            </w:r>
          </w:p>
        </w:tc>
      </w:tr>
    </w:tbl>
    <w:p>
      <w:pPr>
        <w:pStyle w:val="17"/>
        <w:rPr>
          <w:rFonts w:hint="eastAsia"/>
          <w:color w:val="auto"/>
        </w:rPr>
      </w:pPr>
    </w:p>
    <w:p>
      <w:pPr>
        <w:pStyle w:val="5"/>
        <w:bidi w:val="0"/>
        <w:rPr>
          <w:color w:val="auto"/>
        </w:rPr>
      </w:pPr>
      <w:r>
        <w:rPr>
          <w:color w:val="auto"/>
        </w:rPr>
        <w:t>与《</w:t>
      </w:r>
      <w:r>
        <w:rPr>
          <w:rFonts w:hint="eastAsia"/>
          <w:color w:val="auto"/>
        </w:rPr>
        <w:t>黑龙江省耕地保护条例</w:t>
      </w:r>
      <w:r>
        <w:rPr>
          <w:color w:val="auto"/>
        </w:rPr>
        <w:t>》（</w:t>
      </w:r>
      <w:r>
        <w:rPr>
          <w:rFonts w:hint="eastAsia"/>
          <w:color w:val="auto"/>
        </w:rPr>
        <w:t>2022.1.1</w:t>
      </w:r>
      <w:r>
        <w:rPr>
          <w:color w:val="auto"/>
        </w:rPr>
        <w:t>）符合性分析</w:t>
      </w:r>
    </w:p>
    <w:p>
      <w:pPr>
        <w:spacing w:line="480" w:lineRule="exact"/>
        <w:ind w:firstLine="560" w:firstLineChars="200"/>
        <w:rPr>
          <w:rFonts w:hAnsi="宋体"/>
          <w:color w:val="auto"/>
          <w:sz w:val="28"/>
          <w:szCs w:val="28"/>
        </w:rPr>
      </w:pPr>
      <w:r>
        <w:rPr>
          <w:rFonts w:hAnsi="宋体"/>
          <w:color w:val="auto"/>
          <w:sz w:val="28"/>
          <w:szCs w:val="28"/>
        </w:rPr>
        <w:t>本项目与《</w:t>
      </w:r>
      <w:r>
        <w:rPr>
          <w:rFonts w:hint="eastAsia" w:hAnsi="宋体"/>
          <w:color w:val="auto"/>
          <w:sz w:val="28"/>
          <w:szCs w:val="28"/>
        </w:rPr>
        <w:t>黑龙江省耕地保护条例</w:t>
      </w:r>
      <w:r>
        <w:rPr>
          <w:rFonts w:hAnsi="宋体"/>
          <w:color w:val="auto"/>
          <w:sz w:val="28"/>
          <w:szCs w:val="28"/>
        </w:rPr>
        <w:t>》（</w:t>
      </w:r>
      <w:r>
        <w:rPr>
          <w:rFonts w:hint="eastAsia" w:hAnsi="宋体"/>
          <w:color w:val="auto"/>
          <w:sz w:val="28"/>
          <w:szCs w:val="28"/>
        </w:rPr>
        <w:t>2022.1.1</w:t>
      </w:r>
      <w:r>
        <w:rPr>
          <w:rFonts w:hAnsi="宋体"/>
          <w:color w:val="auto"/>
          <w:sz w:val="28"/>
          <w:szCs w:val="28"/>
        </w:rPr>
        <w:t>）相关要求符合性</w:t>
      </w:r>
      <w:r>
        <w:rPr>
          <w:rFonts w:hint="eastAsia" w:hAnsi="宋体"/>
          <w:color w:val="auto"/>
          <w:sz w:val="28"/>
          <w:szCs w:val="28"/>
        </w:rPr>
        <w:t>分析</w:t>
      </w:r>
      <w:r>
        <w:rPr>
          <w:rFonts w:hAnsi="宋体"/>
          <w:color w:val="auto"/>
          <w:sz w:val="28"/>
          <w:szCs w:val="28"/>
        </w:rPr>
        <w:t>详见表1.4-</w:t>
      </w:r>
      <w:r>
        <w:rPr>
          <w:rFonts w:hint="eastAsia" w:hAnsi="宋体"/>
          <w:color w:val="auto"/>
          <w:sz w:val="28"/>
          <w:szCs w:val="28"/>
          <w:lang w:val="en-US" w:eastAsia="zh-CN"/>
        </w:rPr>
        <w:t>3</w:t>
      </w:r>
      <w:r>
        <w:rPr>
          <w:rFonts w:hAnsi="宋体"/>
          <w:color w:val="auto"/>
          <w:sz w:val="28"/>
          <w:szCs w:val="28"/>
        </w:rPr>
        <w:t>。</w:t>
      </w:r>
    </w:p>
    <w:p>
      <w:pPr>
        <w:pStyle w:val="7"/>
        <w:bidi w:val="0"/>
        <w:rPr>
          <w:color w:val="auto"/>
        </w:rPr>
      </w:pPr>
      <w:r>
        <w:rPr>
          <w:color w:val="auto"/>
        </w:rPr>
        <w:t>符合性</w:t>
      </w:r>
      <w:r>
        <w:rPr>
          <w:rFonts w:hint="eastAsia"/>
          <w:color w:val="auto"/>
        </w:rPr>
        <w:t>分析</w:t>
      </w:r>
      <w:r>
        <w:rPr>
          <w:color w:val="auto"/>
        </w:rPr>
        <w:t>一览表</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283"/>
        <w:gridCol w:w="4305"/>
        <w:gridCol w:w="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keepNext w:val="0"/>
              <w:keepLines w:val="0"/>
              <w:suppressLineNumbers w:val="0"/>
              <w:spacing w:before="0" w:beforeAutospacing="0" w:after="0" w:afterAutospacing="0"/>
              <w:ind w:left="0" w:right="0"/>
              <w:jc w:val="center"/>
              <w:rPr>
                <w:rFonts w:hint="eastAsia"/>
                <w:color w:val="auto"/>
              </w:rPr>
            </w:pPr>
            <w:r>
              <w:rPr>
                <w:rFonts w:hint="eastAsia" w:ascii="宋体" w:hAnsi="宋体"/>
                <w:bCs/>
                <w:color w:val="auto"/>
              </w:rPr>
              <w:t>序号</w:t>
            </w:r>
          </w:p>
        </w:tc>
        <w:tc>
          <w:tcPr>
            <w:tcW w:w="3283" w:type="dxa"/>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rPr>
              <w:t>相关</w:t>
            </w:r>
            <w:r>
              <w:rPr>
                <w:rFonts w:hint="default" w:ascii="宋体" w:hAnsi="宋体"/>
                <w:bCs/>
                <w:color w:val="auto"/>
              </w:rPr>
              <w:t>要求</w:t>
            </w:r>
          </w:p>
        </w:tc>
        <w:tc>
          <w:tcPr>
            <w:tcW w:w="4305" w:type="dxa"/>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default"/>
                <w:bCs/>
                <w:color w:val="auto"/>
              </w:rPr>
              <w:t>符合性分析</w:t>
            </w:r>
          </w:p>
        </w:tc>
        <w:tc>
          <w:tcPr>
            <w:tcW w:w="989" w:type="dxa"/>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eastAsia"/>
                <w:bCs/>
                <w:color w:val="auto"/>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6" w:hRule="atLeast"/>
          <w:jc w:val="center"/>
        </w:trPr>
        <w:tc>
          <w:tcPr>
            <w:tcW w:w="710" w:type="dxa"/>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1</w:t>
            </w:r>
          </w:p>
        </w:tc>
        <w:tc>
          <w:tcPr>
            <w:tcW w:w="3283" w:type="dxa"/>
            <w:vAlign w:val="center"/>
          </w:tcPr>
          <w:p>
            <w:pPr>
              <w:keepNext w:val="0"/>
              <w:keepLines w:val="0"/>
              <w:suppressLineNumbers w:val="0"/>
              <w:spacing w:before="0" w:beforeAutospacing="0" w:after="0" w:afterAutospacing="0"/>
              <w:ind w:left="0" w:right="0"/>
              <w:rPr>
                <w:rFonts w:hint="eastAsia"/>
                <w:color w:val="auto"/>
              </w:rPr>
            </w:pPr>
            <w:r>
              <w:rPr>
                <w:rFonts w:hint="eastAsia"/>
                <w:color w:val="auto"/>
              </w:rPr>
              <w:t>非农业建设可以利用非耕地的，不得占用耕地。经依法批准占用耕地的，用地单位应当负责开垦与所占用耕地数量、质量相当的耕地；没有条件开垦或者开垦的耕地不符合要求的，应当向县以上自然资源行政主管部门缴纳耕地开垦费,专款用于开垦新的耕地；耕地后备资源不足的，依法实行易地占补。</w:t>
            </w:r>
          </w:p>
        </w:tc>
        <w:tc>
          <w:tcPr>
            <w:tcW w:w="4305" w:type="dxa"/>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rPr>
              <w:t>本工程属国家能源设施重点建设项目，根据地下储层特性，无法避让</w:t>
            </w:r>
            <w:r>
              <w:rPr>
                <w:rFonts w:hint="eastAsia"/>
                <w:color w:val="auto"/>
              </w:rPr>
              <w:t>耕地</w:t>
            </w:r>
            <w:r>
              <w:rPr>
                <w:rFonts w:hint="eastAsia"/>
                <w:color w:val="auto"/>
                <w:lang w:eastAsia="zh-CN"/>
              </w:rPr>
              <w:t>（基本农田）</w:t>
            </w:r>
            <w:r>
              <w:rPr>
                <w:rFonts w:hint="default"/>
                <w:color w:val="auto"/>
              </w:rPr>
              <w:t>，已按有关土地管理办法的要求，逐级上报土地管理部门批准。</w:t>
            </w:r>
            <w:r>
              <w:rPr>
                <w:rFonts w:hint="default" w:hAnsi="宋体"/>
                <w:color w:val="auto"/>
                <w:szCs w:val="21"/>
              </w:rPr>
              <w:t>本项目</w:t>
            </w:r>
            <w:r>
              <w:rPr>
                <w:rFonts w:hint="eastAsia" w:hAnsi="宋体"/>
                <w:color w:val="auto"/>
                <w:szCs w:val="21"/>
              </w:rPr>
              <w:t>新建井场严格</w:t>
            </w:r>
            <w:r>
              <w:rPr>
                <w:rFonts w:hint="eastAsia" w:hAnsi="宋体"/>
                <w:color w:val="auto"/>
              </w:rPr>
              <w:t>遵守《石油天然气</w:t>
            </w:r>
            <w:r>
              <w:rPr>
                <w:rFonts w:hint="default" w:hAnsi="宋体"/>
                <w:color w:val="auto"/>
              </w:rPr>
              <w:t>工程项目用地</w:t>
            </w:r>
            <w:r>
              <w:rPr>
                <w:rFonts w:hint="eastAsia" w:hAnsi="宋体"/>
                <w:color w:val="auto"/>
              </w:rPr>
              <w:t>控制</w:t>
            </w:r>
            <w:r>
              <w:rPr>
                <w:rFonts w:hint="default" w:hAnsi="宋体"/>
                <w:color w:val="auto"/>
              </w:rPr>
              <w:t>指标</w:t>
            </w:r>
            <w:r>
              <w:rPr>
                <w:rFonts w:hint="eastAsia" w:hAnsi="宋体"/>
                <w:color w:val="auto"/>
              </w:rPr>
              <w:t>》（2017.1.1）要求</w:t>
            </w:r>
            <w:r>
              <w:rPr>
                <w:rFonts w:hint="default"/>
                <w:color w:val="auto"/>
              </w:rPr>
              <w:t>，尽可能减少占地。对</w:t>
            </w:r>
            <w:r>
              <w:rPr>
                <w:rFonts w:hint="eastAsia"/>
                <w:color w:val="auto"/>
              </w:rPr>
              <w:t>永久</w:t>
            </w:r>
            <w:r>
              <w:rPr>
                <w:rFonts w:hint="default"/>
                <w:color w:val="auto"/>
              </w:rPr>
              <w:t>占用的耕地，按照</w:t>
            </w:r>
            <w:r>
              <w:rPr>
                <w:rFonts w:hint="eastAsia"/>
                <w:color w:val="auto"/>
                <w:lang w:eastAsia="zh-CN"/>
              </w:rPr>
              <w:t>“</w:t>
            </w:r>
            <w:r>
              <w:rPr>
                <w:rFonts w:hint="default"/>
                <w:color w:val="auto"/>
              </w:rPr>
              <w:t>占多少，垦多少</w:t>
            </w:r>
            <w:r>
              <w:rPr>
                <w:rFonts w:hint="eastAsia"/>
                <w:color w:val="auto"/>
                <w:lang w:eastAsia="zh-CN"/>
              </w:rPr>
              <w:t>”</w:t>
            </w:r>
            <w:r>
              <w:rPr>
                <w:rFonts w:hint="default"/>
                <w:color w:val="auto"/>
              </w:rPr>
              <w:t>的原则，由建设单位负责开垦与所占用耕地的数量和质量相当的耕地；如果没有条件开垦时，按照省的规定缴纳耕地开垦费，专款用于开垦新的耕地。</w:t>
            </w:r>
          </w:p>
        </w:tc>
        <w:tc>
          <w:tcPr>
            <w:tcW w:w="989" w:type="dxa"/>
            <w:vAlign w:val="center"/>
          </w:tcPr>
          <w:p>
            <w:pPr>
              <w:keepNext w:val="0"/>
              <w:keepLines w:val="0"/>
              <w:suppressLineNumbers w:val="0"/>
              <w:spacing w:before="0" w:beforeAutospacing="0" w:after="0" w:afterAutospacing="0"/>
              <w:ind w:left="0" w:right="0"/>
              <w:jc w:val="center"/>
              <w:rPr>
                <w:rFonts w:hint="eastAsia"/>
                <w:bCs/>
                <w:color w:val="auto"/>
                <w:szCs w:val="21"/>
              </w:rPr>
            </w:pPr>
            <w:r>
              <w:rPr>
                <w:rFonts w:hint="default"/>
                <w:bCs/>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10" w:type="dxa"/>
            <w:shd w:val="clear" w:color="auto" w:fill="auto"/>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2</w:t>
            </w:r>
          </w:p>
        </w:tc>
        <w:tc>
          <w:tcPr>
            <w:tcW w:w="3283" w:type="dxa"/>
            <w:shd w:val="clear" w:color="auto" w:fill="auto"/>
            <w:vAlign w:val="center"/>
          </w:tcPr>
          <w:p>
            <w:pPr>
              <w:keepNext w:val="0"/>
              <w:keepLines w:val="0"/>
              <w:suppressLineNumbers w:val="0"/>
              <w:spacing w:before="0" w:beforeAutospacing="0" w:after="0" w:afterAutospacing="0"/>
              <w:ind w:left="0" w:right="0"/>
              <w:rPr>
                <w:rFonts w:hint="eastAsia"/>
                <w:color w:val="auto"/>
              </w:rPr>
            </w:pPr>
            <w:r>
              <w:rPr>
                <w:rFonts w:hint="eastAsia"/>
                <w:color w:val="auto"/>
              </w:rPr>
              <w:t>耕地的耕作层土壤剥离按照国家和省有关规定执行。</w:t>
            </w:r>
          </w:p>
        </w:tc>
        <w:tc>
          <w:tcPr>
            <w:tcW w:w="4305" w:type="dxa"/>
            <w:shd w:val="clear" w:color="auto" w:fill="auto"/>
            <w:vAlign w:val="center"/>
          </w:tcPr>
          <w:p>
            <w:pPr>
              <w:keepNext w:val="0"/>
              <w:keepLines w:val="0"/>
              <w:suppressLineNumbers w:val="0"/>
              <w:spacing w:before="0" w:beforeAutospacing="0" w:after="0" w:afterAutospacing="0"/>
              <w:ind w:left="0" w:right="0"/>
              <w:rPr>
                <w:rFonts w:hint="eastAsia"/>
                <w:color w:val="auto"/>
                <w:szCs w:val="21"/>
              </w:rPr>
            </w:pPr>
            <w:r>
              <w:rPr>
                <w:rFonts w:hint="default"/>
                <w:color w:val="auto"/>
              </w:rPr>
              <w:t>本工程</w:t>
            </w:r>
            <w:r>
              <w:rPr>
                <w:rFonts w:hint="eastAsia"/>
                <w:color w:val="auto"/>
              </w:rPr>
              <w:t>实施前编制建设项目占用耕地耕作层土壤剥离利用方案，统筹安排剥离、储存和再利用。表土剥离和利用严格执行《建设占用耕地耕作层土壤剥离利用技术规范》（DB23/T2913-2021）。本工程井场</w:t>
            </w:r>
            <w:r>
              <w:rPr>
                <w:rFonts w:hint="default"/>
                <w:color w:val="auto"/>
              </w:rPr>
              <w:t>生活污水池</w:t>
            </w:r>
            <w:r>
              <w:rPr>
                <w:rFonts w:hint="eastAsia"/>
                <w:color w:val="auto"/>
              </w:rPr>
              <w:t>等</w:t>
            </w:r>
            <w:r>
              <w:rPr>
                <w:rFonts w:hint="default"/>
                <w:color w:val="auto"/>
              </w:rPr>
              <w:t>挖方施工</w:t>
            </w:r>
            <w:r>
              <w:rPr>
                <w:rFonts w:hint="eastAsia"/>
                <w:color w:val="auto"/>
              </w:rPr>
              <w:t>剥离表土厚度为0.3m，</w:t>
            </w:r>
            <w:r>
              <w:rPr>
                <w:rFonts w:hint="eastAsia"/>
                <w:color w:val="auto"/>
                <w:szCs w:val="21"/>
              </w:rPr>
              <w:t>采用分层开挖，分层堆放，</w:t>
            </w:r>
            <w:r>
              <w:rPr>
                <w:rFonts w:hint="eastAsia"/>
                <w:color w:val="auto"/>
              </w:rPr>
              <w:t>剥离的表土推放在井场临时占地范围内的存储区，堆土表面设纱网或草栅覆盖，防止出现水土流失，</w:t>
            </w:r>
            <w:r>
              <w:rPr>
                <w:rFonts w:hint="eastAsia"/>
                <w:color w:val="auto"/>
                <w:szCs w:val="21"/>
              </w:rPr>
              <w:t>并定期采取洒水抑尘措施，</w:t>
            </w:r>
            <w:r>
              <w:rPr>
                <w:rFonts w:hint="default"/>
                <w:color w:val="auto"/>
              </w:rPr>
              <w:t>待本工程施工结束后</w:t>
            </w:r>
            <w:r>
              <w:rPr>
                <w:rFonts w:hint="eastAsia"/>
                <w:color w:val="auto"/>
              </w:rPr>
              <w:t>运回原位</w:t>
            </w:r>
            <w:r>
              <w:rPr>
                <w:rFonts w:hint="default"/>
                <w:color w:val="auto"/>
              </w:rPr>
              <w:t>分层回填</w:t>
            </w:r>
            <w:r>
              <w:rPr>
                <w:rFonts w:hint="eastAsia"/>
                <w:color w:val="auto"/>
                <w:szCs w:val="21"/>
              </w:rPr>
              <w:t>，并及时恢复地表植被。</w:t>
            </w:r>
          </w:p>
        </w:tc>
        <w:tc>
          <w:tcPr>
            <w:tcW w:w="98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bCs/>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710" w:type="dxa"/>
            <w:shd w:val="clear" w:color="auto" w:fill="auto"/>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3</w:t>
            </w:r>
          </w:p>
        </w:tc>
        <w:tc>
          <w:tcPr>
            <w:tcW w:w="3283" w:type="dxa"/>
            <w:shd w:val="clear" w:color="auto" w:fill="auto"/>
            <w:vAlign w:val="center"/>
          </w:tcPr>
          <w:p>
            <w:pPr>
              <w:keepNext w:val="0"/>
              <w:keepLines w:val="0"/>
              <w:suppressLineNumbers w:val="0"/>
              <w:spacing w:before="0" w:beforeAutospacing="0" w:after="0" w:afterAutospacing="0"/>
              <w:ind w:left="0" w:right="0"/>
              <w:rPr>
                <w:rFonts w:hint="eastAsia"/>
                <w:color w:val="auto"/>
              </w:rPr>
            </w:pPr>
            <w:r>
              <w:rPr>
                <w:rFonts w:hint="eastAsia"/>
                <w:color w:val="auto"/>
              </w:rPr>
              <w:t>经批准占用耕地的非农业建设项目施工时，施工单位应当减少地表扰动范围，避免损坏周边耕地的耕作层。无法避免的，由建设单位及时进行整理、修复或者依法补偿。</w:t>
            </w:r>
          </w:p>
        </w:tc>
        <w:tc>
          <w:tcPr>
            <w:tcW w:w="4305" w:type="dxa"/>
            <w:shd w:val="clear" w:color="auto" w:fill="auto"/>
            <w:vAlign w:val="center"/>
          </w:tcPr>
          <w:p>
            <w:pPr>
              <w:keepNext w:val="0"/>
              <w:keepLines w:val="0"/>
              <w:suppressLineNumbers w:val="0"/>
              <w:spacing w:before="0" w:beforeAutospacing="0" w:after="0" w:afterAutospacing="0"/>
              <w:ind w:left="0" w:right="0"/>
              <w:rPr>
                <w:rFonts w:hint="eastAsia"/>
                <w:color w:val="auto"/>
              </w:rPr>
            </w:pPr>
            <w:r>
              <w:rPr>
                <w:rFonts w:hint="eastAsia"/>
                <w:color w:val="auto"/>
                <w:szCs w:val="21"/>
              </w:rPr>
              <w:t>本项目在施工</w:t>
            </w:r>
            <w:r>
              <w:rPr>
                <w:rFonts w:hint="default"/>
                <w:color w:val="auto"/>
                <w:szCs w:val="21"/>
              </w:rPr>
              <w:t>过程</w:t>
            </w:r>
            <w:r>
              <w:rPr>
                <w:rFonts w:hint="eastAsia"/>
                <w:color w:val="auto"/>
                <w:szCs w:val="21"/>
              </w:rPr>
              <w:t>中严格控制施工作业面积，加强施工管理，尽量减少占地面积，</w:t>
            </w:r>
            <w:r>
              <w:rPr>
                <w:rFonts w:hint="eastAsia"/>
                <w:color w:val="auto"/>
              </w:rPr>
              <w:t>并规范行车路线及施工人员行为</w:t>
            </w:r>
            <w:r>
              <w:rPr>
                <w:rFonts w:hint="eastAsia"/>
                <w:color w:val="auto"/>
                <w:szCs w:val="21"/>
              </w:rPr>
              <w:t>，严禁随意践踏、碾压施工区范围外的植被，不准乱挖、乱采野生植物，确保尽量少占耕地。</w:t>
            </w:r>
            <w:r>
              <w:rPr>
                <w:rFonts w:hint="eastAsia"/>
                <w:color w:val="auto"/>
              </w:rPr>
              <w:t>表土剥离和利用严格执行《建设占用耕地耕作层土壤剥离利用技术规范》（DB23/T2913-2021）。本工程井场</w:t>
            </w:r>
            <w:r>
              <w:rPr>
                <w:rFonts w:hint="default"/>
                <w:color w:val="auto"/>
              </w:rPr>
              <w:t>生活污水池</w:t>
            </w:r>
            <w:r>
              <w:rPr>
                <w:rFonts w:hint="eastAsia"/>
                <w:color w:val="auto"/>
              </w:rPr>
              <w:t>等</w:t>
            </w:r>
            <w:r>
              <w:rPr>
                <w:rFonts w:hint="default"/>
                <w:color w:val="auto"/>
              </w:rPr>
              <w:t>挖方施工</w:t>
            </w:r>
            <w:r>
              <w:rPr>
                <w:rFonts w:hint="eastAsia"/>
                <w:color w:val="auto"/>
              </w:rPr>
              <w:t>剥离表土厚度为0.3m，</w:t>
            </w:r>
            <w:r>
              <w:rPr>
                <w:rFonts w:hint="eastAsia"/>
                <w:color w:val="auto"/>
                <w:szCs w:val="21"/>
              </w:rPr>
              <w:t>采用分层开挖，分层堆放，</w:t>
            </w:r>
            <w:r>
              <w:rPr>
                <w:rFonts w:hint="eastAsia"/>
                <w:color w:val="auto"/>
              </w:rPr>
              <w:t>剥离的表土推放在井场临时占地范围内的存储区，堆土表面设纱网或草栅覆盖，防止出现水土流失，</w:t>
            </w:r>
            <w:r>
              <w:rPr>
                <w:rFonts w:hint="eastAsia"/>
                <w:color w:val="auto"/>
                <w:szCs w:val="21"/>
              </w:rPr>
              <w:t>并定期采取洒水抑尘措施，</w:t>
            </w:r>
            <w:r>
              <w:rPr>
                <w:rFonts w:hint="default"/>
                <w:color w:val="auto"/>
              </w:rPr>
              <w:t>待本工程施工结束后</w:t>
            </w:r>
            <w:r>
              <w:rPr>
                <w:rFonts w:hint="eastAsia"/>
                <w:color w:val="auto"/>
              </w:rPr>
              <w:t>运回原位</w:t>
            </w:r>
            <w:r>
              <w:rPr>
                <w:rFonts w:hint="default"/>
                <w:color w:val="auto"/>
              </w:rPr>
              <w:t>分层回填</w:t>
            </w:r>
            <w:r>
              <w:rPr>
                <w:rFonts w:hint="eastAsia"/>
                <w:color w:val="auto"/>
                <w:szCs w:val="21"/>
              </w:rPr>
              <w:t>，并及时恢复地表植被。</w:t>
            </w:r>
          </w:p>
        </w:tc>
        <w:tc>
          <w:tcPr>
            <w:tcW w:w="989" w:type="dxa"/>
            <w:shd w:val="clear" w:color="auto" w:fill="auto"/>
            <w:vAlign w:val="center"/>
          </w:tcPr>
          <w:p>
            <w:pPr>
              <w:keepNext w:val="0"/>
              <w:keepLines w:val="0"/>
              <w:suppressLineNumbers w:val="0"/>
              <w:spacing w:before="0" w:beforeAutospacing="0" w:after="0" w:afterAutospacing="0"/>
              <w:ind w:left="0" w:right="0"/>
              <w:jc w:val="center"/>
              <w:rPr>
                <w:rFonts w:hint="eastAsia"/>
                <w:bCs/>
                <w:color w:val="auto"/>
              </w:rPr>
            </w:pPr>
            <w:r>
              <w:rPr>
                <w:rFonts w:hint="eastAsia"/>
                <w:bCs/>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710" w:type="dxa"/>
            <w:shd w:val="clear" w:color="auto" w:fill="auto"/>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4</w:t>
            </w:r>
          </w:p>
        </w:tc>
        <w:tc>
          <w:tcPr>
            <w:tcW w:w="3283" w:type="dxa"/>
            <w:shd w:val="clear" w:color="auto" w:fill="auto"/>
            <w:vAlign w:val="center"/>
          </w:tcPr>
          <w:p>
            <w:pPr>
              <w:keepNext w:val="0"/>
              <w:keepLines w:val="0"/>
              <w:suppressLineNumbers w:val="0"/>
              <w:spacing w:before="0" w:beforeAutospacing="0" w:after="0" w:afterAutospacing="0"/>
              <w:ind w:left="0" w:right="0"/>
              <w:rPr>
                <w:rFonts w:hint="eastAsia"/>
                <w:color w:val="auto"/>
              </w:rPr>
            </w:pPr>
            <w:r>
              <w:rPr>
                <w:rFonts w:hint="eastAsia"/>
                <w:color w:val="auto"/>
              </w:rPr>
              <w:t>因事故或者其他突发事件，造成耕地环境污染的，当事人应当立即采取补救措施，并向当地县级农业农村或者生态环境行政主管部门报告。相关行政主管部门接到报告后，应当及时启动应急预案，并按照规定处理。</w:t>
            </w:r>
          </w:p>
        </w:tc>
        <w:tc>
          <w:tcPr>
            <w:tcW w:w="4305" w:type="dxa"/>
            <w:shd w:val="clear" w:color="auto" w:fill="auto"/>
            <w:vAlign w:val="center"/>
          </w:tcPr>
          <w:p>
            <w:pPr>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szCs w:val="21"/>
              </w:rPr>
              <w:t>本项目</w:t>
            </w:r>
            <w:r>
              <w:rPr>
                <w:rFonts w:hint="default"/>
                <w:color w:val="auto"/>
                <w:szCs w:val="21"/>
              </w:rPr>
              <w:t>已针对</w:t>
            </w:r>
            <w:r>
              <w:rPr>
                <w:rFonts w:hint="eastAsia"/>
                <w:color w:val="auto"/>
                <w:szCs w:val="21"/>
              </w:rPr>
              <w:t>井喷、井漏</w:t>
            </w:r>
            <w:r>
              <w:rPr>
                <w:rFonts w:hint="default"/>
                <w:color w:val="auto"/>
                <w:szCs w:val="21"/>
              </w:rPr>
              <w:t>等突发事件采取相应</w:t>
            </w:r>
            <w:r>
              <w:rPr>
                <w:rFonts w:hint="eastAsia"/>
                <w:color w:val="auto"/>
                <w:szCs w:val="21"/>
              </w:rPr>
              <w:t>的</w:t>
            </w:r>
            <w:r>
              <w:rPr>
                <w:rFonts w:hint="default"/>
                <w:color w:val="auto"/>
                <w:szCs w:val="21"/>
              </w:rPr>
              <w:t>补救措施，突发井喷事件时</w:t>
            </w:r>
            <w:r>
              <w:rPr>
                <w:rFonts w:hint="eastAsia"/>
                <w:color w:val="auto"/>
                <w:szCs w:val="21"/>
              </w:rPr>
              <w:t>，</w:t>
            </w:r>
            <w:r>
              <w:rPr>
                <w:rFonts w:hint="default"/>
                <w:color w:val="auto"/>
                <w:szCs w:val="21"/>
              </w:rPr>
              <w:t>要迅速带领抢险人员在井场周围设置围堰，在合适位置设置污坑并铺设防渗布，将井喷喷出物引流至污坑；控制住井喷后，将污坑内所有废液清理干净拉走。</w:t>
            </w:r>
            <w:r>
              <w:rPr>
                <w:rFonts w:hint="eastAsia"/>
                <w:color w:val="auto"/>
                <w:szCs w:val="21"/>
              </w:rPr>
              <w:t>发现</w:t>
            </w:r>
            <w:r>
              <w:rPr>
                <w:rFonts w:hint="default"/>
                <w:color w:val="auto"/>
                <w:szCs w:val="21"/>
              </w:rPr>
              <w:t>井漏时，应立即停钻，循环观察，注意泵压变化，判断井漏原因。对于裸眼井段存在不同压力系统的地层，当下部存在高压油、气、水层的压力系数超过上部裸眼井段地层的漏失压力系数或破裂压力系数时，应在进入高压层之前进行堵漏，提高上部地层的承压能力，并采取调整钻井液性能等技术措施，防止钻至高压油、气、水层时因井漏而诱发井喷</w:t>
            </w:r>
            <w:r>
              <w:rPr>
                <w:rFonts w:hint="eastAsia"/>
                <w:color w:val="auto"/>
                <w:szCs w:val="21"/>
                <w:lang w:eastAsia="zh-CN"/>
              </w:rPr>
              <w:t>。</w:t>
            </w:r>
          </w:p>
        </w:tc>
        <w:tc>
          <w:tcPr>
            <w:tcW w:w="989" w:type="dxa"/>
            <w:vAlign w:val="center"/>
          </w:tcPr>
          <w:p>
            <w:pPr>
              <w:keepNext w:val="0"/>
              <w:keepLines w:val="0"/>
              <w:suppressLineNumbers w:val="0"/>
              <w:spacing w:before="0" w:beforeAutospacing="0" w:after="0" w:afterAutospacing="0"/>
              <w:ind w:left="0" w:right="0"/>
              <w:jc w:val="center"/>
              <w:rPr>
                <w:rFonts w:hint="eastAsia"/>
                <w:bCs/>
                <w:color w:val="auto"/>
              </w:rPr>
            </w:pPr>
            <w:r>
              <w:rPr>
                <w:rFonts w:hint="eastAsia"/>
                <w:bCs/>
                <w:color w:val="auto"/>
              </w:rPr>
              <w:t>符合</w:t>
            </w:r>
          </w:p>
        </w:tc>
      </w:tr>
    </w:tbl>
    <w:p>
      <w:pPr>
        <w:pStyle w:val="18"/>
        <w:rPr>
          <w:rFonts w:hint="eastAsia"/>
          <w:color w:val="auto"/>
        </w:rPr>
      </w:pPr>
    </w:p>
    <w:p>
      <w:pPr>
        <w:pStyle w:val="5"/>
        <w:bidi w:val="0"/>
        <w:rPr>
          <w:rFonts w:hint="eastAsia"/>
          <w:color w:val="auto"/>
        </w:rPr>
      </w:pPr>
      <w:r>
        <w:rPr>
          <w:color w:val="auto"/>
        </w:rPr>
        <w:t>基本农田占用符合性</w:t>
      </w:r>
      <w:r>
        <w:rPr>
          <w:rFonts w:hint="eastAsia"/>
          <w:color w:val="auto"/>
        </w:rPr>
        <w:t>分析</w:t>
      </w:r>
    </w:p>
    <w:p>
      <w:pPr>
        <w:pStyle w:val="33"/>
        <w:bidi w:val="0"/>
        <w:rPr>
          <w:color w:val="auto"/>
        </w:rPr>
      </w:pPr>
      <w:r>
        <w:rPr>
          <w:color w:val="auto"/>
        </w:rPr>
        <w:t>按照《土壤污染防治行动计划》（简称“土十条”）中第八条规定：基本农田除法律规定的重点建设项目选址确实无法避让外，其他任何建设不得占用。</w:t>
      </w:r>
      <w:r>
        <w:rPr>
          <w:rFonts w:hint="eastAsia"/>
          <w:color w:val="auto"/>
        </w:rPr>
        <w:t>根据《基本农田保护条例》（2011.1.8修订），国家能源、交通、水利</w:t>
      </w:r>
      <w:r>
        <w:rPr>
          <w:color w:val="auto"/>
        </w:rPr>
        <w:t>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w:t>
      </w:r>
    </w:p>
    <w:p>
      <w:pPr>
        <w:pStyle w:val="33"/>
        <w:bidi w:val="0"/>
        <w:rPr>
          <w:rFonts w:hint="eastAsia"/>
          <w:color w:val="auto"/>
          <w:lang w:eastAsia="zh-CN"/>
        </w:rPr>
      </w:pPr>
      <w:r>
        <w:rPr>
          <w:color w:val="auto"/>
        </w:rPr>
        <w:t>本工程属国家能源设施重点建设项目，根据地下储层特性，地质设计要求，工程无法避让基本农田，已按有关土地管理办法的要求，逐级上报土地管理部门批准。本工程总体布局采用环境影响最小的布局方案，尽可能减少占地和损耗</w:t>
      </w:r>
      <w:r>
        <w:rPr>
          <w:rFonts w:hint="eastAsia"/>
          <w:color w:val="auto"/>
        </w:rPr>
        <w:t>，</w:t>
      </w:r>
      <w:r>
        <w:rPr>
          <w:color w:val="auto"/>
        </w:rPr>
        <w:t>对占用的耕地，按照“占多少，垦多少”的原则，由建设单位负责开垦与所占用耕地的数量和质量相当的耕地；如果没有条件开垦时，按照省的规定缴纳耕地开垦费，专款用于开垦新的耕地。</w:t>
      </w:r>
      <w:r>
        <w:rPr>
          <w:rFonts w:hint="eastAsia"/>
          <w:color w:val="auto"/>
        </w:rPr>
        <w:t>因此，</w:t>
      </w:r>
      <w:r>
        <w:rPr>
          <w:color w:val="auto"/>
        </w:rPr>
        <w:t>本项目</w:t>
      </w:r>
      <w:r>
        <w:rPr>
          <w:rFonts w:hint="eastAsia"/>
          <w:color w:val="auto"/>
        </w:rPr>
        <w:t>对</w:t>
      </w:r>
      <w:r>
        <w:rPr>
          <w:color w:val="auto"/>
        </w:rPr>
        <w:t>基本农田占用</w:t>
      </w:r>
      <w:r>
        <w:rPr>
          <w:rFonts w:hint="eastAsia"/>
          <w:color w:val="auto"/>
        </w:rPr>
        <w:t>符合</w:t>
      </w:r>
      <w:r>
        <w:rPr>
          <w:color w:val="auto"/>
        </w:rPr>
        <w:t>《基本农田保护条例》等法律法规要求</w:t>
      </w:r>
      <w:r>
        <w:rPr>
          <w:rFonts w:hint="eastAsia"/>
          <w:color w:val="auto"/>
          <w:lang w:eastAsia="zh-CN"/>
        </w:rPr>
        <w:t>。</w:t>
      </w:r>
    </w:p>
    <w:p>
      <w:pPr>
        <w:pStyle w:val="5"/>
        <w:bidi w:val="0"/>
        <w:rPr>
          <w:color w:val="auto"/>
        </w:rPr>
      </w:pPr>
      <w:r>
        <w:rPr>
          <w:color w:val="auto"/>
        </w:rPr>
        <w:t>与《黑龙江省石油天然气勘探开发环境保护条例》（2018年修正）符合性分析</w:t>
      </w:r>
    </w:p>
    <w:p>
      <w:pPr>
        <w:pStyle w:val="33"/>
        <w:bidi w:val="0"/>
        <w:rPr>
          <w:rFonts w:hint="eastAsia"/>
          <w:color w:val="auto"/>
          <w:lang w:eastAsia="zh-CN"/>
        </w:rPr>
      </w:pPr>
      <w:r>
        <w:rPr>
          <w:rFonts w:hint="eastAsia"/>
          <w:color w:val="auto"/>
        </w:rPr>
        <w:t>根据《黑龙江省石油天然气勘探开发环境保护条例》（2018年修正），“油气勘探开发单位应当对本单位排放污染物和污染防治设施运行情况进行定期监测，掌握污染动态”、“油气勘探开发单位应当制订环境污染突发性事件应急预案”、“油气勘探开发生产作业场地内禁止无关人员进入”、“油气勘探开发单位应当采取保护性措施，防止污染”，本项目建设单位根据《排污单位自行监测技术指南总则》（HJ819-2017）相关内容及各环境要素评价导则要求，制定监测计划，根据企业提供资料及现场调查，大庆油田有限责任公司现有突发事件总体应急预案，下设《突发环境事故专项应急预案》等预案内容，符合条例相关要求</w:t>
      </w:r>
      <w:r>
        <w:rPr>
          <w:rFonts w:hint="eastAsia"/>
          <w:color w:val="auto"/>
          <w:lang w:eastAsia="zh-CN"/>
        </w:rPr>
        <w:t>。</w:t>
      </w:r>
    </w:p>
    <w:p>
      <w:pPr>
        <w:spacing w:line="480" w:lineRule="exact"/>
        <w:ind w:firstLine="544" w:firstLineChars="200"/>
        <w:rPr>
          <w:rFonts w:hint="eastAsia"/>
          <w:bCs/>
          <w:color w:val="auto"/>
          <w:spacing w:val="-4"/>
          <w:sz w:val="28"/>
          <w:szCs w:val="28"/>
        </w:rPr>
      </w:pPr>
      <w:r>
        <w:rPr>
          <w:rFonts w:hint="eastAsia"/>
          <w:bCs/>
          <w:color w:val="auto"/>
          <w:spacing w:val="-4"/>
          <w:sz w:val="28"/>
          <w:szCs w:val="28"/>
        </w:rPr>
        <w:t>本工程与</w:t>
      </w:r>
      <w:r>
        <w:rPr>
          <w:bCs/>
          <w:color w:val="auto"/>
          <w:spacing w:val="-4"/>
          <w:sz w:val="28"/>
          <w:szCs w:val="28"/>
        </w:rPr>
        <w:t>《黑龙江省石油天然气勘探开发环境保护条例》（2018年修正）符合性分析</w:t>
      </w:r>
      <w:r>
        <w:rPr>
          <w:rFonts w:hint="eastAsia"/>
          <w:bCs/>
          <w:color w:val="auto"/>
          <w:spacing w:val="-4"/>
          <w:sz w:val="28"/>
          <w:szCs w:val="28"/>
        </w:rPr>
        <w:t>具体见下表</w:t>
      </w:r>
      <w:r>
        <w:rPr>
          <w:rFonts w:hint="eastAsia"/>
          <w:bCs/>
          <w:color w:val="auto"/>
          <w:spacing w:val="-4"/>
          <w:sz w:val="28"/>
          <w:szCs w:val="28"/>
          <w:lang w:val="en-US" w:eastAsia="zh-CN"/>
        </w:rPr>
        <w:t>1.4-4</w:t>
      </w:r>
      <w:r>
        <w:rPr>
          <w:rFonts w:hint="eastAsia"/>
          <w:bCs/>
          <w:color w:val="auto"/>
          <w:spacing w:val="-4"/>
          <w:sz w:val="28"/>
          <w:szCs w:val="28"/>
        </w:rPr>
        <w:t>。</w:t>
      </w:r>
    </w:p>
    <w:p>
      <w:pPr>
        <w:pStyle w:val="7"/>
        <w:bidi w:val="0"/>
        <w:rPr>
          <w:rFonts w:hint="eastAsia"/>
          <w:color w:val="auto"/>
        </w:rPr>
      </w:pPr>
      <w:r>
        <w:rPr>
          <w:rFonts w:hint="eastAsia"/>
          <w:color w:val="auto"/>
        </w:rPr>
        <w:t>本工程与其符合性分析一览表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75"/>
        <w:gridCol w:w="3686"/>
        <w:gridCol w:w="3847"/>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blHeader/>
        </w:trPr>
        <w:tc>
          <w:tcPr>
            <w:tcW w:w="675"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color w:val="auto"/>
                <w:szCs w:val="21"/>
              </w:rPr>
            </w:pPr>
            <w:r>
              <w:rPr>
                <w:rFonts w:hint="default" w:hAnsi="宋体"/>
                <w:color w:val="auto"/>
                <w:szCs w:val="21"/>
              </w:rPr>
              <w:t>序号</w:t>
            </w:r>
          </w:p>
        </w:tc>
        <w:tc>
          <w:tcPr>
            <w:tcW w:w="3686"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color w:val="auto"/>
                <w:szCs w:val="21"/>
              </w:rPr>
            </w:pPr>
            <w:r>
              <w:rPr>
                <w:rFonts w:hint="eastAsia" w:ascii="宋体" w:hAnsi="宋体" w:eastAsia="宋体" w:cs="宋体"/>
                <w:color w:val="auto"/>
                <w:szCs w:val="21"/>
              </w:rPr>
              <w:t>文件要求</w:t>
            </w:r>
          </w:p>
        </w:tc>
        <w:tc>
          <w:tcPr>
            <w:tcW w:w="3847"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color w:val="auto"/>
                <w:szCs w:val="21"/>
              </w:rPr>
            </w:pPr>
            <w:r>
              <w:rPr>
                <w:rFonts w:hint="eastAsia" w:ascii="宋体" w:hAnsi="宋体" w:eastAsia="宋体" w:cs="宋体"/>
                <w:color w:val="auto"/>
                <w:szCs w:val="21"/>
              </w:rPr>
              <w:t>符合性分析</w:t>
            </w:r>
          </w:p>
        </w:tc>
        <w:tc>
          <w:tcPr>
            <w:tcW w:w="1079"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color w:val="auto"/>
                <w:szCs w:val="21"/>
              </w:rPr>
            </w:pPr>
            <w:r>
              <w:rPr>
                <w:rFonts w:hint="eastAsia" w:ascii="宋体" w:hAnsi="宋体" w:eastAsia="宋体" w:cs="宋体"/>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3" w:hRule="atLeast"/>
        </w:trPr>
        <w:tc>
          <w:tcPr>
            <w:tcW w:w="675"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color w:val="auto"/>
                <w:szCs w:val="21"/>
              </w:rPr>
            </w:pPr>
            <w:r>
              <w:rPr>
                <w:rFonts w:hint="eastAsia"/>
                <w:color w:val="auto"/>
                <w:szCs w:val="21"/>
              </w:rPr>
              <w:t>1</w:t>
            </w:r>
          </w:p>
        </w:tc>
        <w:tc>
          <w:tcPr>
            <w:tcW w:w="3686" w:type="dxa"/>
            <w:noWrap w:val="0"/>
            <w:vAlign w:val="center"/>
          </w:tcPr>
          <w:p>
            <w:pPr>
              <w:keepNext w:val="0"/>
              <w:keepLines w:val="0"/>
              <w:suppressLineNumbers w:val="0"/>
              <w:spacing w:before="0" w:beforeAutospacing="0" w:after="0" w:afterAutospacing="0" w:line="280" w:lineRule="exact"/>
              <w:ind w:left="0" w:right="0"/>
              <w:rPr>
                <w:rFonts w:hint="default"/>
                <w:color w:val="auto"/>
                <w:szCs w:val="21"/>
              </w:rPr>
            </w:pPr>
            <w:r>
              <w:rPr>
                <w:rFonts w:hint="eastAsia" w:cs="宋体"/>
                <w:color w:val="auto"/>
                <w:szCs w:val="21"/>
                <w:lang w:bidi="ar"/>
              </w:rPr>
              <w:t>油气勘探开发单位应当在钻井液中使用无毒化学药剂。废弃钻井液、废水、岩屑、污油等应当进行处理，严禁随意排放。废弃钻井液集中处理排放场所选址应当经所在地市级环保部门同意。</w:t>
            </w:r>
          </w:p>
        </w:tc>
        <w:tc>
          <w:tcPr>
            <w:tcW w:w="3847" w:type="dxa"/>
            <w:noWrap w:val="0"/>
            <w:vAlign w:val="center"/>
          </w:tcPr>
          <w:p>
            <w:pPr>
              <w:keepNext w:val="0"/>
              <w:keepLines w:val="0"/>
              <w:suppressLineNumbers w:val="0"/>
              <w:autoSpaceDE w:val="0"/>
              <w:autoSpaceDN w:val="0"/>
              <w:adjustRightInd w:val="0"/>
              <w:spacing w:before="0" w:beforeAutospacing="0" w:after="0" w:afterAutospacing="0" w:line="280" w:lineRule="exact"/>
              <w:ind w:left="0" w:right="0"/>
              <w:rPr>
                <w:rFonts w:hint="default" w:eastAsia="宋体"/>
                <w:color w:val="auto"/>
                <w:szCs w:val="21"/>
              </w:rPr>
            </w:pPr>
            <w:r>
              <w:rPr>
                <w:rFonts w:hint="eastAsia" w:ascii="宋体" w:hAnsi="宋体" w:eastAsia="宋体" w:cs="宋体"/>
                <w:color w:val="auto"/>
                <w:szCs w:val="21"/>
              </w:rPr>
              <w:t>本工程</w:t>
            </w:r>
            <w:r>
              <w:rPr>
                <w:rFonts w:hint="eastAsia" w:eastAsia="宋体"/>
                <w:color w:val="auto"/>
                <w:szCs w:val="21"/>
              </w:rPr>
              <w:t>共钻</w:t>
            </w:r>
            <w:r>
              <w:rPr>
                <w:rFonts w:hint="eastAsia" w:eastAsia="宋体"/>
                <w:color w:val="auto"/>
                <w:szCs w:val="21"/>
                <w:lang w:val="en-US" w:eastAsia="zh-CN"/>
              </w:rPr>
              <w:t>30</w:t>
            </w:r>
            <w:r>
              <w:rPr>
                <w:rFonts w:hint="eastAsia" w:eastAsia="宋体"/>
                <w:color w:val="auto"/>
                <w:szCs w:val="21"/>
              </w:rPr>
              <w:t>口</w:t>
            </w:r>
            <w:r>
              <w:rPr>
                <w:rFonts w:hint="eastAsia" w:eastAsia="宋体"/>
                <w:color w:val="auto"/>
                <w:szCs w:val="21"/>
                <w:lang w:eastAsia="zh-CN"/>
              </w:rPr>
              <w:t>注采</w:t>
            </w:r>
            <w:r>
              <w:rPr>
                <w:rFonts w:hint="eastAsia" w:eastAsia="宋体"/>
                <w:color w:val="auto"/>
                <w:szCs w:val="21"/>
              </w:rPr>
              <w:t>井，</w:t>
            </w:r>
            <w:r>
              <w:rPr>
                <w:rFonts w:hint="eastAsia" w:ascii="宋体" w:hAnsi="宋体" w:eastAsia="宋体" w:cs="宋体"/>
                <w:color w:val="auto"/>
                <w:szCs w:val="21"/>
              </w:rPr>
              <w:t>一开二开采用无毒无害的水基钻井液，三开四开采用油基钻井液。施工期本工程钻井过程中产生的钻井污水、废</w:t>
            </w:r>
            <w:r>
              <w:rPr>
                <w:rFonts w:hint="eastAsia" w:ascii="宋体" w:hAnsi="宋体" w:cs="宋体"/>
                <w:color w:val="auto"/>
                <w:szCs w:val="21"/>
                <w:lang w:val="en-US" w:eastAsia="zh-CN"/>
              </w:rPr>
              <w:t>水基</w:t>
            </w:r>
            <w:r>
              <w:rPr>
                <w:rFonts w:hint="eastAsia" w:ascii="宋体" w:hAnsi="宋体" w:eastAsia="宋体" w:cs="宋体"/>
                <w:color w:val="auto"/>
                <w:szCs w:val="21"/>
              </w:rPr>
              <w:t>钻井液、岩屑执行不落地收集处理工艺，废弃泥浆在井场进行固液分离处理。分离出的液相处理达标后循环利用，分离出的固相废弃物无法</w:t>
            </w:r>
            <w:r>
              <w:rPr>
                <w:rFonts w:hint="eastAsia" w:ascii="宋体" w:hAnsi="宋体" w:cs="宋体"/>
                <w:color w:val="auto"/>
                <w:szCs w:val="21"/>
                <w:lang w:eastAsia="zh-CN"/>
              </w:rPr>
              <w:t>循环</w:t>
            </w:r>
            <w:r>
              <w:rPr>
                <w:rFonts w:hint="eastAsia" w:ascii="宋体" w:hAnsi="宋体" w:eastAsia="宋体" w:cs="宋体"/>
                <w:color w:val="auto"/>
                <w:szCs w:val="21"/>
              </w:rPr>
              <w:t>利用，就近拉运至大庆市采油八厂废弃钻井液集中处理站统一处理，泥饼统一收集后转运至大庆油田采油八厂指定地点，作为油田铺路、铺垫井场等综合利用。三开和四开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eastAsia="宋体"/>
                <w:iCs/>
                <w:color w:val="auto"/>
                <w:szCs w:val="21"/>
                <w:lang w:eastAsia="zh-CN"/>
              </w:rPr>
              <w:t>。各处理场站已取得大庆市生态环境局的环境影响评价批复。</w:t>
            </w:r>
          </w:p>
        </w:tc>
        <w:tc>
          <w:tcPr>
            <w:tcW w:w="1079"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hAnsi="宋体"/>
                <w:color w:val="auto"/>
                <w:szCs w:val="21"/>
              </w:rPr>
            </w:pPr>
            <w:r>
              <w:rPr>
                <w:rFonts w:hint="eastAsia" w:ascii="宋体" w:hAnsi="宋体" w:eastAsia="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565" w:hRule="atLeast"/>
        </w:trPr>
        <w:tc>
          <w:tcPr>
            <w:tcW w:w="675"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color w:val="auto"/>
                <w:szCs w:val="21"/>
              </w:rPr>
            </w:pPr>
            <w:r>
              <w:rPr>
                <w:rFonts w:hint="eastAsia"/>
                <w:color w:val="auto"/>
                <w:szCs w:val="21"/>
              </w:rPr>
              <w:t>2</w:t>
            </w:r>
          </w:p>
        </w:tc>
        <w:tc>
          <w:tcPr>
            <w:tcW w:w="3686" w:type="dxa"/>
            <w:noWrap w:val="0"/>
            <w:vAlign w:val="center"/>
          </w:tcPr>
          <w:p>
            <w:pPr>
              <w:keepNext w:val="0"/>
              <w:keepLines w:val="0"/>
              <w:suppressLineNumbers w:val="0"/>
              <w:spacing w:before="0" w:beforeAutospacing="0" w:after="0" w:afterAutospacing="0" w:line="280" w:lineRule="exact"/>
              <w:ind w:left="0" w:right="0"/>
              <w:rPr>
                <w:rFonts w:hint="default"/>
                <w:color w:val="auto"/>
                <w:szCs w:val="21"/>
              </w:rPr>
            </w:pPr>
            <w:r>
              <w:rPr>
                <w:rFonts w:hint="eastAsia" w:cs="宋体"/>
                <w:color w:val="auto"/>
                <w:szCs w:val="21"/>
                <w:lang w:bidi="ar"/>
              </w:rPr>
              <w:t>油气勘探开发单位在油气集输过程中应当对油水分离后产生的废水进行回收利用，确实需要排放的，应当达到污染物排放标准；产生的油沙、污泥应当进行无害化处理。</w:t>
            </w:r>
          </w:p>
        </w:tc>
        <w:tc>
          <w:tcPr>
            <w:tcW w:w="3847" w:type="dxa"/>
            <w:noWrap w:val="0"/>
            <w:vAlign w:val="center"/>
          </w:tcPr>
          <w:p>
            <w:pPr>
              <w:keepNext w:val="0"/>
              <w:keepLines w:val="0"/>
              <w:suppressLineNumbers w:val="0"/>
              <w:autoSpaceDE w:val="0"/>
              <w:autoSpaceDN w:val="0"/>
              <w:adjustRightInd w:val="0"/>
              <w:spacing w:before="0" w:beforeAutospacing="0" w:after="0" w:afterAutospacing="0" w:line="280" w:lineRule="exact"/>
              <w:ind w:left="0" w:right="0"/>
              <w:rPr>
                <w:rFonts w:hint="default" w:eastAsia="宋体"/>
                <w:color w:val="auto"/>
                <w:szCs w:val="21"/>
              </w:rPr>
            </w:pPr>
            <w:r>
              <w:rPr>
                <w:rFonts w:hint="eastAsia" w:ascii="宋体" w:hAnsi="宋体" w:eastAsia="宋体" w:cs="宋体"/>
                <w:color w:val="auto"/>
                <w:szCs w:val="21"/>
              </w:rPr>
              <w:t>施工期本工程钻井过程中产生的钻井污水、</w:t>
            </w:r>
            <w:r>
              <w:rPr>
                <w:rFonts w:hint="eastAsia" w:ascii="宋体" w:hAnsi="宋体" w:cs="宋体"/>
                <w:color w:val="auto"/>
                <w:szCs w:val="21"/>
                <w:lang w:val="en-US" w:eastAsia="zh-CN"/>
              </w:rPr>
              <w:t>废弃水基</w:t>
            </w:r>
            <w:r>
              <w:rPr>
                <w:rFonts w:hint="eastAsia" w:ascii="宋体" w:hAnsi="宋体" w:eastAsia="宋体" w:cs="宋体"/>
                <w:color w:val="auto"/>
                <w:szCs w:val="21"/>
              </w:rPr>
              <w:t>钻井液、岩屑执行不落地收集处理工艺，废弃泥浆在井场进行固液分离处理</w:t>
            </w:r>
            <w:r>
              <w:rPr>
                <w:rFonts w:hint="eastAsia" w:ascii="宋体" w:hAnsi="宋体" w:cs="宋体"/>
                <w:color w:val="auto"/>
                <w:szCs w:val="21"/>
                <w:lang w:eastAsia="zh-CN"/>
              </w:rPr>
              <w:t>，</w:t>
            </w:r>
            <w:r>
              <w:rPr>
                <w:rFonts w:hint="eastAsia" w:ascii="宋体" w:hAnsi="宋体" w:eastAsia="宋体" w:cs="宋体"/>
                <w:color w:val="auto"/>
                <w:szCs w:val="21"/>
              </w:rPr>
              <w:t>分离出的液相处理达标后循环利用，分离出的固相废弃物无法</w:t>
            </w:r>
            <w:r>
              <w:rPr>
                <w:rFonts w:hint="eastAsia" w:ascii="宋体" w:hAnsi="宋体" w:cs="宋体"/>
                <w:color w:val="auto"/>
                <w:szCs w:val="21"/>
                <w:lang w:eastAsia="zh-CN"/>
              </w:rPr>
              <w:t>循环</w:t>
            </w:r>
            <w:r>
              <w:rPr>
                <w:rFonts w:hint="eastAsia" w:ascii="宋体" w:hAnsi="宋体" w:eastAsia="宋体" w:cs="宋体"/>
                <w:color w:val="auto"/>
                <w:szCs w:val="21"/>
              </w:rPr>
              <w:t>利用，就近拉运至大庆市采油八厂废弃钻井液集中处理站统一处理，泥饼统一收集后转运至大庆油田采油八厂指定地点，作为油田铺路、铺垫井场等综合利用。钻井过程中产生的废弃油基钻井液及钻井岩屑，由罐车拉运至大庆中林绿源生物环保有限公司处理</w:t>
            </w:r>
            <w:r>
              <w:rPr>
                <w:rFonts w:hint="eastAsia" w:ascii="宋体" w:hAnsi="宋体" w:cs="宋体"/>
                <w:color w:val="auto"/>
                <w:szCs w:val="21"/>
                <w:lang w:eastAsia="zh-CN"/>
              </w:rPr>
              <w:t>，</w:t>
            </w:r>
            <w:r>
              <w:rPr>
                <w:rFonts w:hint="eastAsia" w:ascii="宋体" w:hAnsi="宋体" w:eastAsia="宋体" w:cs="宋体"/>
                <w:color w:val="auto"/>
                <w:szCs w:val="21"/>
              </w:rPr>
              <w:t>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eastAsia="宋体" w:cs="宋体"/>
                <w:color w:val="auto"/>
                <w:szCs w:val="21"/>
                <w:lang w:bidi="ar"/>
              </w:rPr>
              <w:t>。</w:t>
            </w:r>
          </w:p>
        </w:tc>
        <w:tc>
          <w:tcPr>
            <w:tcW w:w="1079"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hAnsi="宋体"/>
                <w:color w:val="auto"/>
                <w:szCs w:val="21"/>
              </w:rPr>
            </w:pPr>
            <w:r>
              <w:rPr>
                <w:rFonts w:hint="eastAsia" w:ascii="宋体" w:hAnsi="宋体" w:eastAsia="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77" w:hRule="atLeast"/>
        </w:trPr>
        <w:tc>
          <w:tcPr>
            <w:tcW w:w="675"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eastAsia="宋体"/>
                <w:color w:val="auto"/>
                <w:szCs w:val="21"/>
              </w:rPr>
            </w:pPr>
            <w:r>
              <w:rPr>
                <w:rFonts w:hint="eastAsia" w:eastAsia="宋体"/>
                <w:color w:val="auto"/>
                <w:szCs w:val="21"/>
              </w:rPr>
              <w:t>3</w:t>
            </w:r>
          </w:p>
        </w:tc>
        <w:tc>
          <w:tcPr>
            <w:tcW w:w="3686" w:type="dxa"/>
            <w:noWrap w:val="0"/>
            <w:vAlign w:val="center"/>
          </w:tcPr>
          <w:p>
            <w:pPr>
              <w:keepNext w:val="0"/>
              <w:keepLines w:val="0"/>
              <w:suppressLineNumbers w:val="0"/>
              <w:spacing w:before="0" w:beforeAutospacing="0" w:after="0" w:afterAutospacing="0" w:line="280" w:lineRule="exact"/>
              <w:ind w:left="0" w:right="0"/>
              <w:rPr>
                <w:rFonts w:hint="default"/>
                <w:color w:val="auto"/>
                <w:szCs w:val="21"/>
              </w:rPr>
            </w:pPr>
            <w:r>
              <w:rPr>
                <w:rFonts w:hint="eastAsia" w:cs="宋体"/>
                <w:color w:val="auto"/>
                <w:szCs w:val="21"/>
                <w:lang w:bidi="ar"/>
              </w:rPr>
              <w:t>废弃钻井液、岩屑、污油及其他工业固体废物、生活垃圾必须回收，不得排放或者弃置水体。</w:t>
            </w:r>
          </w:p>
        </w:tc>
        <w:tc>
          <w:tcPr>
            <w:tcW w:w="3847" w:type="dxa"/>
            <w:noWrap w:val="0"/>
            <w:vAlign w:val="center"/>
          </w:tcPr>
          <w:p>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Cs w:val="21"/>
              </w:rPr>
            </w:pPr>
            <w:r>
              <w:rPr>
                <w:rFonts w:hint="eastAsia" w:ascii="宋体" w:hAnsi="宋体" w:eastAsia="宋体" w:cs="宋体"/>
                <w:color w:val="auto"/>
                <w:szCs w:val="21"/>
              </w:rPr>
              <w:t>施工期本工程钻井过程中产生的钻井污水、</w:t>
            </w:r>
            <w:r>
              <w:rPr>
                <w:rFonts w:hint="eastAsia" w:ascii="宋体" w:hAnsi="宋体" w:cs="宋体"/>
                <w:color w:val="auto"/>
                <w:szCs w:val="21"/>
                <w:lang w:val="en-US" w:eastAsia="zh-CN"/>
              </w:rPr>
              <w:t>废弃水基</w:t>
            </w:r>
            <w:r>
              <w:rPr>
                <w:rFonts w:hint="eastAsia" w:ascii="宋体" w:hAnsi="宋体" w:eastAsia="宋体" w:cs="宋体"/>
                <w:color w:val="auto"/>
                <w:szCs w:val="21"/>
              </w:rPr>
              <w:t>钻井液、岩屑执行不落地收集处理工艺，废弃泥浆在井场进行固液分离处理</w:t>
            </w:r>
            <w:r>
              <w:rPr>
                <w:rFonts w:hint="eastAsia" w:ascii="宋体" w:hAnsi="宋体" w:cs="宋体"/>
                <w:color w:val="auto"/>
                <w:szCs w:val="21"/>
                <w:lang w:eastAsia="zh-CN"/>
              </w:rPr>
              <w:t>，</w:t>
            </w:r>
            <w:r>
              <w:rPr>
                <w:rFonts w:hint="eastAsia" w:ascii="宋体" w:hAnsi="宋体" w:eastAsia="宋体" w:cs="宋体"/>
                <w:color w:val="auto"/>
                <w:szCs w:val="21"/>
              </w:rPr>
              <w:t>分离出的液相处理达标后循环利用，分离出的固相废弃物无法</w:t>
            </w:r>
            <w:r>
              <w:rPr>
                <w:rFonts w:hint="eastAsia" w:ascii="宋体" w:hAnsi="宋体" w:cs="宋体"/>
                <w:color w:val="auto"/>
                <w:szCs w:val="21"/>
                <w:lang w:eastAsia="zh-CN"/>
              </w:rPr>
              <w:t>循环</w:t>
            </w:r>
            <w:r>
              <w:rPr>
                <w:rFonts w:hint="eastAsia" w:ascii="宋体" w:hAnsi="宋体" w:eastAsia="宋体" w:cs="宋体"/>
                <w:color w:val="auto"/>
                <w:szCs w:val="21"/>
              </w:rPr>
              <w:t>利用，就近拉运至大庆市采油八厂废弃钻井液集中处理站统一处理，泥饼统一收集后转运至大庆油田采油八厂指定地点，作为油田铺路、铺垫井场等综合利用。废弃油基钻井液及钻井岩屑，由罐车拉运至大庆中林绿源生物环保有限公司处理不排入外环境</w:t>
            </w:r>
            <w:r>
              <w:rPr>
                <w:rFonts w:hint="eastAsia" w:eastAsia="宋体"/>
                <w:iCs/>
                <w:color w:val="auto"/>
                <w:szCs w:val="21"/>
                <w:lang w:eastAsia="zh-CN"/>
              </w:rPr>
              <w:t>。</w:t>
            </w:r>
            <w:r>
              <w:rPr>
                <w:rFonts w:hint="eastAsia"/>
                <w:iCs/>
                <w:color w:val="auto"/>
                <w:szCs w:val="21"/>
                <w:lang w:val="en-US" w:eastAsia="zh-CN"/>
              </w:rPr>
              <w:t>沾油</w:t>
            </w:r>
            <w:r>
              <w:rPr>
                <w:rFonts w:hint="default" w:hAnsi="宋体"/>
                <w:color w:val="auto"/>
                <w:kern w:val="0"/>
                <w:szCs w:val="21"/>
                <w:lang w:eastAsia="zh-TW"/>
              </w:rPr>
              <w:t>废弃防渗布</w:t>
            </w:r>
            <w:r>
              <w:rPr>
                <w:rFonts w:hint="eastAsia" w:hAnsi="宋体"/>
                <w:color w:val="auto"/>
              </w:rPr>
              <w:t>送</w:t>
            </w:r>
            <w:r>
              <w:rPr>
                <w:rFonts w:hint="eastAsia" w:hAnsi="宋体"/>
                <w:color w:val="auto"/>
                <w:kern w:val="0"/>
                <w:szCs w:val="21"/>
                <w:lang w:val="en-US" w:eastAsia="zh-CN"/>
              </w:rPr>
              <w:t>大庆中林绿源生物环保有限公司处理。</w:t>
            </w:r>
            <w:r>
              <w:rPr>
                <w:rFonts w:hint="eastAsia" w:eastAsia="宋体"/>
                <w:iCs/>
                <w:color w:val="auto"/>
                <w:szCs w:val="21"/>
              </w:rPr>
              <w:t>废</w:t>
            </w:r>
            <w:r>
              <w:rPr>
                <w:rFonts w:hint="default" w:eastAsia="宋体"/>
                <w:iCs/>
                <w:color w:val="auto"/>
                <w:szCs w:val="21"/>
              </w:rPr>
              <w:t>KOH包装袋委托资质的危废处理单位处理</w:t>
            </w:r>
            <w:r>
              <w:rPr>
                <w:rFonts w:hint="eastAsia" w:eastAsia="宋体"/>
                <w:iCs/>
                <w:color w:val="auto"/>
                <w:szCs w:val="21"/>
              </w:rPr>
              <w:t>；纯碱、</w:t>
            </w:r>
            <w:r>
              <w:rPr>
                <w:rFonts w:hint="default" w:eastAsia="宋体"/>
                <w:iCs/>
                <w:color w:val="auto"/>
                <w:szCs w:val="21"/>
              </w:rPr>
              <w:t>碳酸钙等其余材料的包装袋属于一般废物，统一收集后</w:t>
            </w:r>
            <w:r>
              <w:rPr>
                <w:rFonts w:hint="eastAsia" w:eastAsia="宋体"/>
                <w:iCs/>
                <w:color w:val="auto"/>
                <w:szCs w:val="21"/>
              </w:rPr>
              <w:t>送大庆市岗源环保科技有限责任公司工业废弃物处置中心处理</w:t>
            </w:r>
            <w:r>
              <w:rPr>
                <w:rFonts w:hint="default" w:eastAsia="宋体"/>
                <w:iCs/>
                <w:color w:val="auto"/>
                <w:szCs w:val="21"/>
              </w:rPr>
              <w:t>；</w:t>
            </w:r>
            <w:r>
              <w:rPr>
                <w:rFonts w:hint="eastAsia" w:eastAsia="宋体"/>
                <w:iCs/>
                <w:color w:val="auto"/>
                <w:szCs w:val="21"/>
              </w:rPr>
              <w:t>施工人员产生的生活垃圾统一收集后交当地环卫部门处理。</w:t>
            </w:r>
          </w:p>
        </w:tc>
        <w:tc>
          <w:tcPr>
            <w:tcW w:w="1079" w:type="dxa"/>
            <w:noWrap w:val="0"/>
            <w:vAlign w:val="center"/>
          </w:tcPr>
          <w:p>
            <w:pPr>
              <w:keepNext w:val="0"/>
              <w:keepLines w:val="0"/>
              <w:suppressLineNumbers w:val="0"/>
              <w:snapToGrid w:val="0"/>
              <w:spacing w:before="0" w:beforeAutospacing="0" w:after="0" w:afterAutospacing="0" w:line="280" w:lineRule="exact"/>
              <w:ind w:left="0" w:right="0"/>
              <w:jc w:val="center"/>
              <w:rPr>
                <w:rFonts w:hint="default" w:hAnsi="宋体"/>
                <w:color w:val="auto"/>
                <w:szCs w:val="21"/>
              </w:rPr>
            </w:pPr>
            <w:r>
              <w:rPr>
                <w:rFonts w:hint="eastAsia" w:ascii="宋体" w:hAnsi="宋体" w:eastAsia="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675" w:type="dxa"/>
            <w:noWrap w:val="0"/>
            <w:vAlign w:val="center"/>
          </w:tcPr>
          <w:p>
            <w:pPr>
              <w:keepNext w:val="0"/>
              <w:keepLines w:val="0"/>
              <w:suppressLineNumbers w:val="0"/>
              <w:snapToGrid w:val="0"/>
              <w:spacing w:before="0" w:beforeAutospacing="0" w:after="0" w:afterAutospacing="0" w:line="280" w:lineRule="exact"/>
              <w:ind w:left="0" w:right="0"/>
              <w:jc w:val="center"/>
              <w:rPr>
                <w:rFonts w:hint="eastAsia" w:eastAsia="宋体"/>
                <w:color w:val="auto"/>
                <w:szCs w:val="21"/>
              </w:rPr>
            </w:pPr>
            <w:r>
              <w:rPr>
                <w:rFonts w:hint="eastAsia" w:eastAsia="宋体"/>
                <w:color w:val="auto"/>
                <w:szCs w:val="21"/>
              </w:rPr>
              <w:t>4</w:t>
            </w:r>
          </w:p>
        </w:tc>
        <w:tc>
          <w:tcPr>
            <w:tcW w:w="3686" w:type="dxa"/>
            <w:noWrap w:val="0"/>
            <w:vAlign w:val="center"/>
          </w:tcPr>
          <w:p>
            <w:pPr>
              <w:keepNext w:val="0"/>
              <w:keepLines w:val="0"/>
              <w:suppressLineNumbers w:val="0"/>
              <w:spacing w:before="0" w:beforeAutospacing="0" w:after="0" w:afterAutospacing="0" w:line="280" w:lineRule="exact"/>
              <w:ind w:left="0" w:right="0"/>
              <w:rPr>
                <w:rFonts w:hint="default"/>
                <w:color w:val="auto"/>
                <w:szCs w:val="21"/>
              </w:rPr>
            </w:pPr>
            <w:r>
              <w:rPr>
                <w:rFonts w:hint="eastAsia" w:cs="宋体"/>
                <w:color w:val="auto"/>
                <w:szCs w:val="21"/>
                <w:lang w:bidi="ar"/>
              </w:rPr>
              <w:t>油气勘探开发单位应当采取保护性措施，防止地下水污染。</w:t>
            </w:r>
          </w:p>
        </w:tc>
        <w:tc>
          <w:tcPr>
            <w:tcW w:w="3847" w:type="dxa"/>
            <w:noWrap w:val="0"/>
            <w:vAlign w:val="center"/>
          </w:tcPr>
          <w:p>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Cs w:val="21"/>
              </w:rPr>
            </w:pPr>
            <w:r>
              <w:rPr>
                <w:rFonts w:hint="eastAsia" w:ascii="宋体" w:hAnsi="宋体" w:eastAsia="宋体" w:cs="宋体"/>
                <w:color w:val="auto"/>
                <w:szCs w:val="21"/>
                <w:lang w:bidi="ar"/>
              </w:rPr>
              <w:t>本工程为了避免污染地下水，钻井施工加强对废钻井液、钻井岩屑、钻井污水的回收处理工作，消除对地下水的污染隐患。保证固井质量，严防油井深部原油渗入含水层。使用地下水保护双层套管，以确保该区地下水不受污染，表层套管和油层套管固井水泥浆必须返至井口，确保安全封闭此深度内的潜水层和承压水层</w:t>
            </w:r>
          </w:p>
        </w:tc>
        <w:tc>
          <w:tcPr>
            <w:tcW w:w="1079" w:type="dxa"/>
            <w:noWrap w:val="0"/>
            <w:vAlign w:val="center"/>
          </w:tcPr>
          <w:p>
            <w:pPr>
              <w:keepNext w:val="0"/>
              <w:keepLines w:val="0"/>
              <w:suppressLineNumbers w:val="0"/>
              <w:snapToGrid w:val="0"/>
              <w:spacing w:before="0" w:beforeAutospacing="0" w:after="0" w:afterAutospacing="0" w:line="280" w:lineRule="exact"/>
              <w:ind w:left="0" w:right="0"/>
              <w:jc w:val="center"/>
              <w:rPr>
                <w:rFonts w:hint="eastAsia" w:ascii="宋体" w:hAnsi="宋体" w:cs="宋体"/>
                <w:color w:val="auto"/>
                <w:szCs w:val="21"/>
              </w:rPr>
            </w:pPr>
            <w:r>
              <w:rPr>
                <w:rFonts w:hint="eastAsia" w:ascii="宋体" w:hAnsi="宋体" w:eastAsia="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675" w:type="dxa"/>
            <w:noWrap w:val="0"/>
            <w:vAlign w:val="center"/>
          </w:tcPr>
          <w:p>
            <w:pPr>
              <w:keepNext w:val="0"/>
              <w:keepLines w:val="0"/>
              <w:suppressLineNumbers w:val="0"/>
              <w:snapToGrid w:val="0"/>
              <w:spacing w:before="0" w:beforeAutospacing="0" w:after="0" w:afterAutospacing="0" w:line="280" w:lineRule="exact"/>
              <w:ind w:left="0" w:right="0"/>
              <w:jc w:val="center"/>
              <w:rPr>
                <w:rFonts w:hint="eastAsia" w:eastAsia="宋体"/>
                <w:color w:val="auto"/>
                <w:szCs w:val="21"/>
              </w:rPr>
            </w:pPr>
            <w:r>
              <w:rPr>
                <w:rFonts w:hint="eastAsia" w:eastAsia="宋体"/>
                <w:color w:val="auto"/>
                <w:szCs w:val="21"/>
              </w:rPr>
              <w:t>6</w:t>
            </w:r>
          </w:p>
        </w:tc>
        <w:tc>
          <w:tcPr>
            <w:tcW w:w="3686" w:type="dxa"/>
            <w:noWrap w:val="0"/>
            <w:vAlign w:val="center"/>
          </w:tcPr>
          <w:p>
            <w:pPr>
              <w:keepNext w:val="0"/>
              <w:keepLines w:val="0"/>
              <w:suppressLineNumbers w:val="0"/>
              <w:spacing w:before="0" w:beforeAutospacing="0" w:after="0" w:afterAutospacing="0" w:line="280" w:lineRule="exact"/>
              <w:ind w:left="0" w:right="0"/>
              <w:rPr>
                <w:rFonts w:hint="default"/>
                <w:color w:val="auto"/>
                <w:szCs w:val="21"/>
              </w:rPr>
            </w:pPr>
            <w:r>
              <w:rPr>
                <w:rFonts w:hint="eastAsia" w:cs="宋体"/>
                <w:color w:val="auto"/>
                <w:szCs w:val="21"/>
                <w:lang w:bidi="ar"/>
              </w:rPr>
              <w:t>新开发区域内埋设油、水、气管线不得改变原有的地形、地貌。油气勘探开发中的各项工程应当减少占地，施工中临时占地的，应当将腐植质层剥离移走，工程结束后及时恢复原有地貌。</w:t>
            </w:r>
          </w:p>
        </w:tc>
        <w:tc>
          <w:tcPr>
            <w:tcW w:w="3847" w:type="dxa"/>
            <w:noWrap w:val="0"/>
            <w:vAlign w:val="center"/>
          </w:tcPr>
          <w:p>
            <w:pPr>
              <w:keepNext w:val="0"/>
              <w:keepLines w:val="0"/>
              <w:suppressLineNumbers w:val="0"/>
              <w:autoSpaceDE w:val="0"/>
              <w:autoSpaceDN w:val="0"/>
              <w:adjustRightInd w:val="0"/>
              <w:spacing w:before="0" w:beforeAutospacing="0" w:after="0" w:afterAutospacing="0" w:line="280" w:lineRule="exact"/>
              <w:ind w:left="0" w:right="0"/>
              <w:rPr>
                <w:rFonts w:hint="default"/>
                <w:color w:val="auto"/>
                <w:szCs w:val="21"/>
              </w:rPr>
            </w:pPr>
            <w:r>
              <w:rPr>
                <w:rFonts w:hint="eastAsia" w:cs="宋体"/>
                <w:color w:val="auto"/>
                <w:szCs w:val="21"/>
                <w:lang w:bidi="ar"/>
              </w:rPr>
              <w:t>本工程是钻井工程，不埋设管线。施工过程中井场临时占地严格控制占地面积，不打乱土层，先挖表土层（</w:t>
            </w:r>
            <w:r>
              <w:rPr>
                <w:rFonts w:hint="default"/>
                <w:color w:val="auto"/>
                <w:szCs w:val="21"/>
                <w:lang w:bidi="ar"/>
              </w:rPr>
              <w:t>20cm</w:t>
            </w:r>
            <w:r>
              <w:rPr>
                <w:rFonts w:hint="eastAsia" w:cs="宋体"/>
                <w:color w:val="auto"/>
                <w:szCs w:val="21"/>
                <w:lang w:bidi="ar"/>
              </w:rPr>
              <w:t>左右）单独堆放；然后挖心、底土层另外堆放。复原时先填心、底土，后平覆表土，以便尽快恢复土地原貌</w:t>
            </w:r>
          </w:p>
        </w:tc>
        <w:tc>
          <w:tcPr>
            <w:tcW w:w="1079" w:type="dxa"/>
            <w:noWrap w:val="0"/>
            <w:vAlign w:val="center"/>
          </w:tcPr>
          <w:p>
            <w:pPr>
              <w:keepNext w:val="0"/>
              <w:keepLines w:val="0"/>
              <w:suppressLineNumbers w:val="0"/>
              <w:snapToGrid w:val="0"/>
              <w:spacing w:before="0" w:beforeAutospacing="0" w:after="0" w:afterAutospacing="0" w:line="280" w:lineRule="exact"/>
              <w:ind w:left="0" w:right="0"/>
              <w:jc w:val="center"/>
              <w:rPr>
                <w:rFonts w:hint="eastAsia" w:ascii="宋体" w:hAnsi="宋体" w:cs="宋体"/>
                <w:color w:val="auto"/>
                <w:szCs w:val="21"/>
              </w:rPr>
            </w:pPr>
            <w:r>
              <w:rPr>
                <w:rFonts w:hint="eastAsia" w:ascii="宋体" w:hAnsi="宋体" w:eastAsia="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675" w:type="dxa"/>
            <w:noWrap w:val="0"/>
            <w:vAlign w:val="center"/>
          </w:tcPr>
          <w:p>
            <w:pPr>
              <w:keepNext w:val="0"/>
              <w:keepLines w:val="0"/>
              <w:suppressLineNumbers w:val="0"/>
              <w:snapToGrid w:val="0"/>
              <w:spacing w:before="0" w:beforeAutospacing="0" w:after="0" w:afterAutospacing="0" w:line="280" w:lineRule="exact"/>
              <w:ind w:left="0" w:right="0"/>
              <w:jc w:val="center"/>
              <w:rPr>
                <w:rFonts w:hint="eastAsia" w:eastAsia="宋体"/>
                <w:color w:val="auto"/>
                <w:szCs w:val="21"/>
              </w:rPr>
            </w:pPr>
            <w:r>
              <w:rPr>
                <w:rFonts w:hint="eastAsia" w:eastAsia="宋体"/>
                <w:color w:val="auto"/>
                <w:szCs w:val="21"/>
              </w:rPr>
              <w:t>7</w:t>
            </w:r>
          </w:p>
        </w:tc>
        <w:tc>
          <w:tcPr>
            <w:tcW w:w="3686" w:type="dxa"/>
            <w:noWrap w:val="0"/>
            <w:vAlign w:val="center"/>
          </w:tcPr>
          <w:p>
            <w:pPr>
              <w:keepNext w:val="0"/>
              <w:keepLines w:val="0"/>
              <w:suppressLineNumbers w:val="0"/>
              <w:spacing w:before="0" w:beforeAutospacing="0" w:after="0" w:afterAutospacing="0" w:line="280" w:lineRule="exact"/>
              <w:ind w:left="0" w:right="0"/>
              <w:rPr>
                <w:rFonts w:hint="default"/>
                <w:color w:val="auto"/>
                <w:szCs w:val="21"/>
              </w:rPr>
            </w:pPr>
            <w:r>
              <w:rPr>
                <w:rFonts w:hint="eastAsia" w:cs="宋体"/>
                <w:color w:val="auto"/>
                <w:szCs w:val="21"/>
                <w:lang w:bidi="ar"/>
              </w:rPr>
              <w:t>油气勘探开发单位应当对本单位排放污染物和污染防治设施运行情况进行定期监测，掌握污染动态。油气勘探开发单位应当制订环境污染突发性事件应急预案。油气勘探开发生产作业场地内禁止无关人员进入。油气勘探开发单位应当采取保护性措施，防止污染。</w:t>
            </w:r>
          </w:p>
        </w:tc>
        <w:tc>
          <w:tcPr>
            <w:tcW w:w="3847" w:type="dxa"/>
            <w:noWrap w:val="0"/>
            <w:vAlign w:val="center"/>
          </w:tcPr>
          <w:p>
            <w:pPr>
              <w:keepNext w:val="0"/>
              <w:keepLines w:val="0"/>
              <w:suppressLineNumbers w:val="0"/>
              <w:autoSpaceDE w:val="0"/>
              <w:autoSpaceDN w:val="0"/>
              <w:adjustRightInd w:val="0"/>
              <w:spacing w:before="0" w:beforeAutospacing="0" w:after="0" w:afterAutospacing="0" w:line="280" w:lineRule="exact"/>
              <w:ind w:left="0" w:right="0"/>
              <w:rPr>
                <w:rFonts w:hint="eastAsia" w:eastAsia="宋体"/>
                <w:color w:val="auto"/>
                <w:szCs w:val="21"/>
                <w:lang w:eastAsia="zh-CN"/>
              </w:rPr>
            </w:pPr>
            <w:r>
              <w:rPr>
                <w:rFonts w:hint="eastAsia" w:ascii="宋体" w:hAnsi="宋体" w:eastAsia="宋体" w:cs="宋体"/>
                <w:color w:val="auto"/>
                <w:szCs w:val="21"/>
                <w:lang w:bidi="ar"/>
              </w:rPr>
              <w:t>大庆油田有限责任公司</w:t>
            </w:r>
            <w:r>
              <w:rPr>
                <w:rFonts w:hint="eastAsia" w:ascii="宋体" w:hAnsi="宋体" w:cs="宋体"/>
                <w:color w:val="auto"/>
                <w:szCs w:val="21"/>
                <w:lang w:eastAsia="zh-CN" w:bidi="ar"/>
              </w:rPr>
              <w:t>采气分公司（储气库分公司）</w:t>
            </w:r>
            <w:r>
              <w:rPr>
                <w:rFonts w:hint="eastAsia" w:ascii="宋体" w:hAnsi="宋体" w:eastAsia="宋体" w:cs="宋体"/>
                <w:color w:val="auto"/>
                <w:szCs w:val="21"/>
                <w:lang w:bidi="ar"/>
              </w:rPr>
              <w:t>按预案要求已编制完成了《突发事件总体应急预案》、《突发环境事件专项应急预案》，并报所在地生态环境主管部门备案。</w:t>
            </w:r>
          </w:p>
        </w:tc>
        <w:tc>
          <w:tcPr>
            <w:tcW w:w="1079" w:type="dxa"/>
            <w:noWrap w:val="0"/>
            <w:vAlign w:val="center"/>
          </w:tcPr>
          <w:p>
            <w:pPr>
              <w:keepNext w:val="0"/>
              <w:keepLines w:val="0"/>
              <w:suppressLineNumbers w:val="0"/>
              <w:snapToGrid w:val="0"/>
              <w:spacing w:before="0" w:beforeAutospacing="0" w:after="0" w:afterAutospacing="0" w:line="280" w:lineRule="exact"/>
              <w:ind w:left="0" w:right="0"/>
              <w:jc w:val="center"/>
              <w:rPr>
                <w:rFonts w:hint="eastAsia" w:ascii="宋体" w:hAnsi="宋体" w:cs="宋体"/>
                <w:color w:val="auto"/>
                <w:szCs w:val="21"/>
              </w:rPr>
            </w:pPr>
            <w:r>
              <w:rPr>
                <w:rFonts w:hint="eastAsia" w:ascii="宋体" w:hAnsi="宋体" w:eastAsia="宋体" w:cs="宋体"/>
                <w:color w:val="auto"/>
                <w:szCs w:val="21"/>
              </w:rPr>
              <w:t>符合</w:t>
            </w:r>
          </w:p>
        </w:tc>
      </w:tr>
    </w:tbl>
    <w:p>
      <w:pPr>
        <w:pStyle w:val="33"/>
        <w:bidi w:val="0"/>
        <w:rPr>
          <w:rFonts w:hint="eastAsia"/>
          <w:color w:val="auto"/>
          <w:lang w:eastAsia="zh-CN"/>
        </w:rPr>
      </w:pPr>
    </w:p>
    <w:p>
      <w:pPr>
        <w:pStyle w:val="5"/>
        <w:spacing w:before="156" w:after="156"/>
        <w:rPr>
          <w:color w:val="auto"/>
        </w:rPr>
      </w:pPr>
      <w:r>
        <w:rPr>
          <w:rFonts w:hint="eastAsia"/>
          <w:color w:val="auto"/>
        </w:rPr>
        <w:t>与其他</w:t>
      </w:r>
      <w:r>
        <w:rPr>
          <w:color w:val="auto"/>
        </w:rPr>
        <w:t>相关政策、标准、规范的符合性分析</w:t>
      </w:r>
    </w:p>
    <w:p>
      <w:pPr>
        <w:pStyle w:val="6"/>
        <w:spacing w:before="156" w:after="156"/>
        <w:rPr>
          <w:color w:val="auto"/>
        </w:rPr>
      </w:pPr>
      <w:r>
        <w:rPr>
          <w:color w:val="auto"/>
        </w:rPr>
        <w:t>与“</w:t>
      </w:r>
      <w:r>
        <w:rPr>
          <w:rFonts w:hint="eastAsia"/>
          <w:color w:val="auto"/>
        </w:rPr>
        <w:t>大气行动计划</w:t>
      </w:r>
      <w:r>
        <w:rPr>
          <w:color w:val="auto"/>
        </w:rPr>
        <w:t>”符合性判定</w:t>
      </w:r>
    </w:p>
    <w:p>
      <w:pPr>
        <w:pStyle w:val="33"/>
        <w:rPr>
          <w:color w:val="auto"/>
        </w:rPr>
      </w:pPr>
      <w:r>
        <w:rPr>
          <w:rFonts w:hint="eastAsia"/>
          <w:color w:val="auto"/>
        </w:rPr>
        <w:t>根据《打赢蓝天保卫战三年行动计划》（国发[2018]22 号）、《黑龙江省大气污染防治条例》（2017年5月1日起施行）、《黑龙江省打赢蓝天保卫战三年行动计划》（黑政规〔2018〕19号）及《绥化市打赢蓝天保卫战三年行动计划》（绥发[2018]21号），与本项目与“气十条”相关要求符合性详见下表</w:t>
      </w:r>
      <w:r>
        <w:rPr>
          <w:rFonts w:hint="eastAsia"/>
          <w:color w:val="auto"/>
          <w:lang w:val="en-US" w:eastAsia="zh-CN"/>
        </w:rPr>
        <w:t>1.4-5</w:t>
      </w:r>
      <w:r>
        <w:rPr>
          <w:rFonts w:hint="eastAsia"/>
          <w:color w:val="auto"/>
        </w:rPr>
        <w:t>。</w:t>
      </w:r>
    </w:p>
    <w:p>
      <w:pPr>
        <w:pStyle w:val="7"/>
        <w:bidi w:val="0"/>
        <w:rPr>
          <w:color w:val="auto"/>
        </w:rPr>
      </w:pPr>
      <w:r>
        <w:rPr>
          <w:rFonts w:hint="eastAsia"/>
          <w:color w:val="auto"/>
        </w:rPr>
        <w:t>本项目与“气十条”相关要求符合性</w:t>
      </w:r>
    </w:p>
    <w:tbl>
      <w:tblPr>
        <w:tblStyle w:val="34"/>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94"/>
        <w:gridCol w:w="343"/>
        <w:gridCol w:w="1559"/>
        <w:gridCol w:w="5529"/>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s="Times New Roman"/>
                <w:color w:val="auto"/>
              </w:rPr>
            </w:pPr>
            <w:r>
              <w:rPr>
                <w:rFonts w:hint="default"/>
                <w:color w:val="auto"/>
              </w:rPr>
              <w:t>序号</w:t>
            </w:r>
          </w:p>
        </w:tc>
        <w:tc>
          <w:tcPr>
            <w:tcW w:w="1902"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类别</w:t>
            </w:r>
          </w:p>
        </w:tc>
        <w:tc>
          <w:tcPr>
            <w:tcW w:w="552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w:t>
            </w:r>
            <w:r>
              <w:rPr>
                <w:rFonts w:hint="default" w:ascii="宋体" w:hAnsi="宋体"/>
                <w:color w:val="auto"/>
              </w:rPr>
              <w:t>气十条</w:t>
            </w:r>
            <w:r>
              <w:rPr>
                <w:rFonts w:hint="default"/>
                <w:color w:val="auto"/>
              </w:rPr>
              <w:t>”</w:t>
            </w:r>
            <w:r>
              <w:rPr>
                <w:rFonts w:hint="default" w:ascii="宋体" w:hAnsi="宋体"/>
                <w:color w:val="auto"/>
              </w:rPr>
              <w:t>的要求</w:t>
            </w:r>
          </w:p>
        </w:tc>
        <w:tc>
          <w:tcPr>
            <w:tcW w:w="1302"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1</w:t>
            </w:r>
          </w:p>
        </w:tc>
        <w:tc>
          <w:tcPr>
            <w:tcW w:w="343"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国家</w:t>
            </w:r>
          </w:p>
        </w:tc>
        <w:tc>
          <w:tcPr>
            <w:tcW w:w="155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打赢蓝天保卫战三年行动计划</w:t>
            </w:r>
          </w:p>
        </w:tc>
        <w:tc>
          <w:tcPr>
            <w:tcW w:w="552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rPr>
                <w:rFonts w:hint="default"/>
                <w:color w:val="auto"/>
              </w:rPr>
            </w:pPr>
            <w:r>
              <w:rPr>
                <w:rFonts w:hint="default"/>
                <w:color w:val="auto"/>
              </w:rPr>
              <w:t>（1</w:t>
            </w:r>
            <w:r>
              <w:rPr>
                <w:rFonts w:hint="default" w:ascii="宋体" w:hAnsi="宋体"/>
                <w:color w:val="auto"/>
              </w:rPr>
              <w:t>）抓好天然气产供储销体系建设。力争</w:t>
            </w:r>
            <w:r>
              <w:rPr>
                <w:rFonts w:hint="default"/>
                <w:color w:val="auto"/>
              </w:rPr>
              <w:t>2020</w:t>
            </w:r>
            <w:r>
              <w:rPr>
                <w:rFonts w:hint="default" w:ascii="宋体" w:hAnsi="宋体"/>
                <w:color w:val="auto"/>
              </w:rPr>
              <w:t>年天然气占能源消费总量比重达到</w:t>
            </w:r>
            <w:r>
              <w:rPr>
                <w:rFonts w:hint="default"/>
                <w:color w:val="auto"/>
              </w:rPr>
              <w:t>10%</w:t>
            </w:r>
            <w:r>
              <w:rPr>
                <w:rFonts w:hint="default" w:ascii="宋体" w:hAnsi="宋体"/>
                <w:color w:val="auto"/>
              </w:rPr>
              <w:t>。</w:t>
            </w:r>
          </w:p>
          <w:p>
            <w:pPr>
              <w:keepNext w:val="0"/>
              <w:keepLines w:val="0"/>
              <w:suppressLineNumbers w:val="0"/>
              <w:adjustRightInd w:val="0"/>
              <w:snapToGrid w:val="0"/>
              <w:spacing w:before="0" w:beforeAutospacing="0" w:after="0" w:afterAutospacing="0" w:line="280" w:lineRule="exact"/>
              <w:ind w:left="0" w:right="0"/>
              <w:rPr>
                <w:rFonts w:hint="default"/>
                <w:color w:val="auto"/>
              </w:rPr>
            </w:pPr>
            <w:r>
              <w:rPr>
                <w:rFonts w:hint="default"/>
                <w:color w:val="auto"/>
              </w:rPr>
              <w:t>（2</w:t>
            </w:r>
            <w:r>
              <w:rPr>
                <w:rFonts w:hint="default" w:ascii="宋体" w:hAnsi="宋体"/>
                <w:color w:val="auto"/>
              </w:rPr>
              <w:t>）</w:t>
            </w:r>
            <w:r>
              <w:rPr>
                <w:rFonts w:hint="default"/>
                <w:color w:val="auto"/>
              </w:rPr>
              <w:t>加快调整能源结构，构建清洁低碳高效能源体系。</w:t>
            </w:r>
          </w:p>
        </w:tc>
        <w:tc>
          <w:tcPr>
            <w:tcW w:w="1302" w:type="dxa"/>
            <w:vMerge w:val="restart"/>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rPr>
                <w:rFonts w:hint="default"/>
                <w:color w:val="auto"/>
              </w:rPr>
            </w:pPr>
            <w:r>
              <w:rPr>
                <w:rFonts w:hint="default"/>
                <w:color w:val="auto"/>
              </w:rPr>
              <w:t>本项目属于大庆油田建立东北储气库的工程，项目建成后可有效减少燃煤用量，实现“</w:t>
            </w:r>
            <w:r>
              <w:rPr>
                <w:rFonts w:hint="default" w:ascii="宋体" w:hAnsi="宋体"/>
                <w:color w:val="auto"/>
              </w:rPr>
              <w:t>增气减煤</w:t>
            </w:r>
            <w:r>
              <w:rPr>
                <w:rFonts w:hint="default"/>
                <w:color w:val="auto"/>
              </w:rPr>
              <w:t>”</w:t>
            </w:r>
            <w:r>
              <w:rPr>
                <w:rFonts w:hint="default" w:ascii="宋体" w:hAnsi="宋体"/>
                <w:color w:val="auto"/>
              </w:rPr>
              <w:t>，所以本项目</w:t>
            </w:r>
            <w:r>
              <w:rPr>
                <w:rFonts w:hint="default"/>
                <w:color w:val="auto"/>
              </w:rPr>
              <w:t>达到符合上述发展规划要求。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78" w:hRule="atLeast"/>
          <w:jc w:val="center"/>
        </w:trPr>
        <w:tc>
          <w:tcPr>
            <w:tcW w:w="394" w:type="dxa"/>
            <w:vMerge w:val="restart"/>
            <w:tcBorders>
              <w:top w:val="nil"/>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2</w:t>
            </w:r>
          </w:p>
        </w:tc>
        <w:tc>
          <w:tcPr>
            <w:tcW w:w="343" w:type="dxa"/>
            <w:vMerge w:val="restart"/>
            <w:tcBorders>
              <w:top w:val="nil"/>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黑龙江省</w:t>
            </w:r>
          </w:p>
        </w:tc>
        <w:tc>
          <w:tcPr>
            <w:tcW w:w="155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《黑龙江省大气污染防治条例》</w:t>
            </w:r>
          </w:p>
        </w:tc>
        <w:tc>
          <w:tcPr>
            <w:tcW w:w="552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rPr>
                <w:rFonts w:hint="default"/>
                <w:color w:val="auto"/>
              </w:rPr>
            </w:pPr>
            <w:r>
              <w:rPr>
                <w:rFonts w:hint="default"/>
                <w:color w:val="auto"/>
              </w:rPr>
              <w:t>（1</w:t>
            </w:r>
            <w:r>
              <w:rPr>
                <w:rFonts w:hint="default" w:ascii="宋体" w:hAnsi="宋体"/>
                <w:color w:val="auto"/>
              </w:rPr>
              <w:t>）石油化工等工业企业应当采取泄漏检测与修复技术，对管道、设备进行日常检测、修复，及时收集处理泄漏物料。</w:t>
            </w:r>
          </w:p>
          <w:p>
            <w:pPr>
              <w:keepNext w:val="0"/>
              <w:keepLines w:val="0"/>
              <w:suppressLineNumbers w:val="0"/>
              <w:adjustRightInd w:val="0"/>
              <w:snapToGrid w:val="0"/>
              <w:spacing w:before="0" w:beforeAutospacing="0" w:after="0" w:afterAutospacing="0" w:line="280" w:lineRule="exact"/>
              <w:ind w:left="0" w:right="0"/>
              <w:rPr>
                <w:rFonts w:hint="default"/>
                <w:color w:val="auto"/>
              </w:rPr>
            </w:pPr>
            <w:r>
              <w:rPr>
                <w:rFonts w:hint="default"/>
                <w:color w:val="auto"/>
              </w:rPr>
              <w:t>（2</w:t>
            </w:r>
            <w:r>
              <w:rPr>
                <w:rFonts w:hint="default" w:ascii="宋体" w:hAnsi="宋体"/>
                <w:color w:val="auto"/>
              </w:rPr>
              <w:t>）各级人民政府应当调整能源结构，推广清洁能源的生产和使用，制定并组织实施煤炭消费总量控制规划，减少煤炭生产、使用、转化过程中的大气污染物排放。</w:t>
            </w:r>
          </w:p>
        </w:tc>
        <w:tc>
          <w:tcPr>
            <w:tcW w:w="1302"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78" w:hRule="atLeast"/>
          <w:jc w:val="center"/>
        </w:trPr>
        <w:tc>
          <w:tcPr>
            <w:tcW w:w="394"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rPr>
            </w:pPr>
          </w:p>
        </w:tc>
        <w:tc>
          <w:tcPr>
            <w:tcW w:w="343" w:type="dxa"/>
            <w:vMerge w:val="continue"/>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rPr>
            </w:pPr>
          </w:p>
        </w:tc>
        <w:tc>
          <w:tcPr>
            <w:tcW w:w="155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《黑龙江省打赢蓝天保卫战三年行动计划》</w:t>
            </w:r>
          </w:p>
        </w:tc>
        <w:tc>
          <w:tcPr>
            <w:tcW w:w="552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rPr>
                <w:rFonts w:hint="default"/>
                <w:color w:val="auto"/>
              </w:rPr>
            </w:pPr>
            <w:r>
              <w:rPr>
                <w:rFonts w:hint="default"/>
                <w:color w:val="auto"/>
              </w:rPr>
              <w:t>（1</w:t>
            </w:r>
            <w:r>
              <w:rPr>
                <w:rFonts w:hint="default" w:ascii="宋体" w:hAnsi="宋体"/>
                <w:color w:val="auto"/>
              </w:rPr>
              <w:t>）壮大绿色产业规模，发展节能环保、清洁生产、清洁能源等产业，培育发展新动能。</w:t>
            </w:r>
          </w:p>
          <w:p>
            <w:pPr>
              <w:keepNext w:val="0"/>
              <w:keepLines w:val="0"/>
              <w:suppressLineNumbers w:val="0"/>
              <w:adjustRightInd w:val="0"/>
              <w:snapToGrid w:val="0"/>
              <w:spacing w:before="0" w:beforeAutospacing="0" w:after="0" w:afterAutospacing="0" w:line="280" w:lineRule="exact"/>
              <w:ind w:left="0" w:right="0"/>
              <w:rPr>
                <w:rFonts w:hint="default"/>
                <w:color w:val="auto"/>
              </w:rPr>
            </w:pPr>
            <w:r>
              <w:rPr>
                <w:rFonts w:hint="default"/>
                <w:color w:val="auto"/>
              </w:rPr>
              <w:t>（2</w:t>
            </w:r>
            <w:r>
              <w:rPr>
                <w:rFonts w:hint="default" w:ascii="宋体" w:hAnsi="宋体"/>
                <w:color w:val="auto"/>
              </w:rPr>
              <w:t>）抓好天然气产供储销体系建设。新增天然气量优先用于城镇居民和大气污染严重地区的生活和冬季取暖散煤替代，实现</w:t>
            </w:r>
            <w:r>
              <w:rPr>
                <w:rFonts w:hint="default"/>
                <w:color w:val="auto"/>
              </w:rPr>
              <w:t>“</w:t>
            </w:r>
            <w:r>
              <w:rPr>
                <w:rFonts w:hint="default" w:ascii="宋体" w:hAnsi="宋体"/>
                <w:color w:val="auto"/>
              </w:rPr>
              <w:t>增气减煤</w:t>
            </w:r>
            <w:r>
              <w:rPr>
                <w:rFonts w:hint="default"/>
                <w:color w:val="auto"/>
              </w:rPr>
              <w:t>”</w:t>
            </w:r>
            <w:r>
              <w:rPr>
                <w:rFonts w:hint="default" w:ascii="宋体" w:hAnsi="宋体"/>
                <w:color w:val="auto"/>
              </w:rPr>
              <w:t>。</w:t>
            </w:r>
          </w:p>
        </w:tc>
        <w:tc>
          <w:tcPr>
            <w:tcW w:w="1302"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3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3</w:t>
            </w:r>
          </w:p>
        </w:tc>
        <w:tc>
          <w:tcPr>
            <w:tcW w:w="343"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绥化市</w:t>
            </w:r>
          </w:p>
        </w:tc>
        <w:tc>
          <w:tcPr>
            <w:tcW w:w="155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color w:val="auto"/>
              </w:rPr>
            </w:pPr>
            <w:r>
              <w:rPr>
                <w:rFonts w:hint="default"/>
                <w:color w:val="auto"/>
              </w:rPr>
              <w:t>《绥化市打赢蓝天保卫战三年行动计划》</w:t>
            </w:r>
          </w:p>
        </w:tc>
        <w:tc>
          <w:tcPr>
            <w:tcW w:w="5529" w:type="dxa"/>
            <w:tcBorders>
              <w:top w:val="single" w:color="auto" w:sz="4" w:space="0"/>
              <w:left w:val="nil"/>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line="280" w:lineRule="exact"/>
              <w:ind w:left="0" w:right="0"/>
              <w:rPr>
                <w:rFonts w:hint="default"/>
                <w:color w:val="auto"/>
              </w:rPr>
            </w:pPr>
            <w:r>
              <w:rPr>
                <w:rFonts w:hint="default"/>
                <w:color w:val="auto"/>
              </w:rPr>
              <w:t>（1</w:t>
            </w:r>
            <w:r>
              <w:rPr>
                <w:rFonts w:hint="default" w:ascii="宋体" w:hAnsi="宋体"/>
                <w:color w:val="auto"/>
              </w:rPr>
              <w:t>）要加快调整能源结构，构建清洁高效能源体系。严格控制煤炭消费总量，加强散煤管控，稳步推进清洁取暖，要抓好天然气供储销体系建设，开展燃煤锅炉综合整治，提高能源利用效率，加快清洁能源发展；</w:t>
            </w:r>
          </w:p>
        </w:tc>
        <w:tc>
          <w:tcPr>
            <w:tcW w:w="1302" w:type="dxa"/>
            <w:vMerge w:val="continue"/>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color w:val="auto"/>
              </w:rPr>
            </w:pPr>
          </w:p>
        </w:tc>
      </w:tr>
    </w:tbl>
    <w:p>
      <w:pPr>
        <w:pStyle w:val="6"/>
        <w:spacing w:before="156" w:after="156"/>
        <w:rPr>
          <w:color w:val="auto"/>
        </w:rPr>
      </w:pPr>
      <w:r>
        <w:rPr>
          <w:color w:val="auto"/>
        </w:rPr>
        <w:t>与</w:t>
      </w:r>
      <w:r>
        <w:rPr>
          <w:rFonts w:hint="eastAsia"/>
          <w:color w:val="auto"/>
        </w:rPr>
        <w:t>《关于进一步加强石油天然气行业环境影响评价管理的通知》（环办环评函〔2019〕910号）</w:t>
      </w:r>
      <w:r>
        <w:rPr>
          <w:color w:val="auto"/>
        </w:rPr>
        <w:t>符合性判定</w:t>
      </w:r>
    </w:p>
    <w:p>
      <w:pPr>
        <w:pStyle w:val="7"/>
        <w:bidi w:val="0"/>
        <w:jc w:val="center"/>
        <w:rPr>
          <w:color w:val="auto"/>
        </w:rPr>
      </w:pPr>
      <w:r>
        <w:rPr>
          <w:rFonts w:hint="eastAsia"/>
          <w:color w:val="auto"/>
        </w:rPr>
        <w:t>本项目与“上述通知”相关要求符合性</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170"/>
        <w:gridCol w:w="3569"/>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hAnsi="宋体"/>
                <w:color w:val="auto"/>
                <w:szCs w:val="21"/>
              </w:rPr>
              <w:t>序号</w:t>
            </w:r>
          </w:p>
        </w:tc>
        <w:tc>
          <w:tcPr>
            <w:tcW w:w="4170"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hAnsi="宋体"/>
                <w:color w:val="auto"/>
                <w:szCs w:val="21"/>
              </w:rPr>
              <w:t>文件要求</w:t>
            </w:r>
          </w:p>
        </w:tc>
        <w:tc>
          <w:tcPr>
            <w:tcW w:w="3569"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hAnsi="宋体"/>
                <w:color w:val="auto"/>
                <w:szCs w:val="21"/>
              </w:rPr>
              <w:t>符合性分析</w:t>
            </w:r>
          </w:p>
        </w:tc>
        <w:tc>
          <w:tcPr>
            <w:tcW w:w="885" w:type="dxa"/>
            <w:vAlign w:val="center"/>
          </w:tcPr>
          <w:p>
            <w:pPr>
              <w:keepNext w:val="0"/>
              <w:keepLines w:val="0"/>
              <w:widowControl/>
              <w:suppressLineNumbers w:val="0"/>
              <w:spacing w:before="0" w:beforeAutospacing="0" w:after="0" w:afterAutospacing="0"/>
              <w:ind w:left="0" w:right="0"/>
              <w:jc w:val="center"/>
              <w:rPr>
                <w:rFonts w:hint="eastAsia"/>
                <w:color w:val="auto"/>
                <w:szCs w:val="21"/>
              </w:rPr>
            </w:pPr>
            <w:r>
              <w:rPr>
                <w:rFonts w:hint="eastAsia" w:hAnsi="宋体"/>
                <w:color w:val="auto"/>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dxa"/>
            <w:vAlign w:val="center"/>
          </w:tcPr>
          <w:p>
            <w:pPr>
              <w:keepNext w:val="0"/>
              <w:keepLines w:val="0"/>
              <w:widowControl/>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1</w:t>
            </w:r>
          </w:p>
        </w:tc>
        <w:tc>
          <w:tcPr>
            <w:tcW w:w="4170" w:type="dxa"/>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rPr>
              <w:t>施工期应当尽量减少施工占地、缩短施工时间、选择合理施工方式、落实环境敏感区管控要求以及其他生态环境保护措施，降低生态环境影响。</w:t>
            </w:r>
          </w:p>
        </w:tc>
        <w:tc>
          <w:tcPr>
            <w:tcW w:w="3569" w:type="dxa"/>
            <w:vAlign w:val="center"/>
          </w:tcPr>
          <w:p>
            <w:pPr>
              <w:keepNext w:val="0"/>
              <w:keepLines w:val="0"/>
              <w:suppressLineNumbers w:val="0"/>
              <w:spacing w:before="0" w:beforeAutospacing="0" w:after="0" w:afterAutospacing="0"/>
              <w:ind w:left="0" w:right="0"/>
              <w:rPr>
                <w:rFonts w:hint="default"/>
                <w:color w:val="auto"/>
                <w:szCs w:val="21"/>
              </w:rPr>
            </w:pPr>
            <w:r>
              <w:rPr>
                <w:rFonts w:hint="default"/>
                <w:color w:val="auto"/>
              </w:rPr>
              <w:t>本项目将在施工前制定施工计划，缩短施工时间和选择环保施工方式，项目占地内不涉及生态敏感区。</w:t>
            </w:r>
          </w:p>
        </w:tc>
        <w:tc>
          <w:tcPr>
            <w:tcW w:w="885" w:type="dxa"/>
            <w:vAlign w:val="center"/>
          </w:tcPr>
          <w:p>
            <w:pPr>
              <w:keepNext w:val="0"/>
              <w:keepLines w:val="0"/>
              <w:widowControl/>
              <w:suppressLineNumbers w:val="0"/>
              <w:spacing w:before="0" w:beforeAutospacing="0" w:after="0" w:afterAutospacing="0"/>
              <w:ind w:left="0" w:right="0"/>
              <w:jc w:val="center"/>
              <w:rPr>
                <w:rFonts w:hint="eastAsia" w:hAnsi="宋体" w:eastAsia="宋体"/>
                <w:color w:val="auto"/>
                <w:szCs w:val="21"/>
                <w:lang w:eastAsia="zh-CN"/>
              </w:rPr>
            </w:pPr>
            <w:r>
              <w:rPr>
                <w:rFonts w:hint="eastAsia" w:hAnsi="宋体"/>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dxa"/>
            <w:vAlign w:val="center"/>
          </w:tcPr>
          <w:p>
            <w:pPr>
              <w:keepNext w:val="0"/>
              <w:keepLines w:val="0"/>
              <w:widowControl/>
              <w:suppressLineNumbers w:val="0"/>
              <w:spacing w:before="0" w:beforeAutospacing="0" w:after="0" w:afterAutospacing="0"/>
              <w:ind w:left="0" w:right="0"/>
              <w:jc w:val="center"/>
              <w:rPr>
                <w:rFonts w:hint="eastAsia" w:eastAsia="宋体"/>
                <w:color w:val="auto"/>
                <w:szCs w:val="21"/>
                <w:lang w:eastAsia="zh-CN"/>
              </w:rPr>
            </w:pPr>
            <w:r>
              <w:rPr>
                <w:rFonts w:hint="eastAsia"/>
                <w:color w:val="auto"/>
                <w:szCs w:val="21"/>
                <w:lang w:val="en-US" w:eastAsia="zh-CN"/>
              </w:rPr>
              <w:t>2</w:t>
            </w:r>
          </w:p>
        </w:tc>
        <w:tc>
          <w:tcPr>
            <w:tcW w:w="4170" w:type="dxa"/>
            <w:vAlign w:val="center"/>
          </w:tcPr>
          <w:p>
            <w:pPr>
              <w:keepNext w:val="0"/>
              <w:keepLines w:val="0"/>
              <w:widowControl/>
              <w:suppressLineNumbers w:val="0"/>
              <w:adjustRightInd w:val="0"/>
              <w:snapToGrid w:val="0"/>
              <w:spacing w:before="0" w:beforeAutospacing="0" w:after="0" w:afterAutospacing="0" w:line="240" w:lineRule="exact"/>
              <w:ind w:left="0" w:right="0"/>
              <w:rPr>
                <w:rFonts w:hint="default"/>
                <w:color w:val="auto"/>
                <w:szCs w:val="21"/>
              </w:rPr>
            </w:pPr>
            <w:r>
              <w:rPr>
                <w:rFonts w:hint="default"/>
                <w:color w:val="auto"/>
                <w:szCs w:val="21"/>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3569" w:type="dxa"/>
            <w:vAlign w:val="center"/>
          </w:tcPr>
          <w:p>
            <w:pPr>
              <w:keepNext w:val="0"/>
              <w:keepLines w:val="0"/>
              <w:widowControl/>
              <w:suppressLineNumbers w:val="0"/>
              <w:adjustRightInd w:val="0"/>
              <w:snapToGrid w:val="0"/>
              <w:spacing w:before="0" w:beforeAutospacing="0" w:after="0" w:afterAutospacing="0" w:line="240" w:lineRule="exact"/>
              <w:ind w:left="0" w:right="0"/>
              <w:rPr>
                <w:rFonts w:hint="default"/>
                <w:color w:val="auto"/>
                <w:szCs w:val="21"/>
              </w:rPr>
            </w:pPr>
            <w:r>
              <w:rPr>
                <w:rFonts w:hint="default"/>
                <w:color w:val="auto"/>
                <w:szCs w:val="21"/>
              </w:rPr>
              <w:t>本项目属于</w:t>
            </w:r>
            <w:r>
              <w:rPr>
                <w:rFonts w:hint="eastAsia"/>
                <w:color w:val="auto"/>
                <w:szCs w:val="21"/>
                <w:lang w:eastAsia="zh-CN"/>
              </w:rPr>
              <w:t>储气库建设</w:t>
            </w:r>
            <w:r>
              <w:rPr>
                <w:rFonts w:hint="default"/>
                <w:color w:val="auto"/>
                <w:szCs w:val="21"/>
              </w:rPr>
              <w:t>项目，项目建设内容主要为</w:t>
            </w:r>
            <w:r>
              <w:rPr>
                <w:rFonts w:hint="eastAsia"/>
                <w:color w:val="auto"/>
                <w:szCs w:val="21"/>
              </w:rPr>
              <w:t>在</w:t>
            </w:r>
            <w:r>
              <w:rPr>
                <w:rFonts w:hint="eastAsia"/>
                <w:color w:val="auto"/>
                <w:szCs w:val="21"/>
                <w:lang w:eastAsia="zh-CN"/>
              </w:rPr>
              <w:t>升平储气库内</w:t>
            </w:r>
            <w:r>
              <w:rPr>
                <w:rFonts w:hint="default"/>
                <w:color w:val="auto"/>
                <w:szCs w:val="21"/>
              </w:rPr>
              <w:t>新</w:t>
            </w:r>
            <w:r>
              <w:rPr>
                <w:rFonts w:hint="eastAsia"/>
                <w:color w:val="auto"/>
                <w:szCs w:val="21"/>
              </w:rPr>
              <w:t>钻</w:t>
            </w:r>
            <w:r>
              <w:rPr>
                <w:rFonts w:hint="eastAsia"/>
                <w:color w:val="auto"/>
                <w:szCs w:val="21"/>
                <w:lang w:val="en-US" w:eastAsia="zh-CN"/>
              </w:rPr>
              <w:t>30</w:t>
            </w:r>
            <w:r>
              <w:rPr>
                <w:rFonts w:hint="eastAsia"/>
                <w:color w:val="auto"/>
                <w:szCs w:val="21"/>
              </w:rPr>
              <w:t>口天然气</w:t>
            </w:r>
            <w:r>
              <w:rPr>
                <w:rFonts w:hint="eastAsia"/>
                <w:color w:val="auto"/>
                <w:szCs w:val="21"/>
                <w:lang w:eastAsia="zh-CN"/>
              </w:rPr>
              <w:t>注采</w:t>
            </w:r>
            <w:r>
              <w:rPr>
                <w:rFonts w:hint="default"/>
                <w:color w:val="auto"/>
                <w:szCs w:val="21"/>
              </w:rPr>
              <w:t>井，本次评价在第五章环境影响预测与评价、第六章环境保护措施及可行性论证中详细分析了项目建设对环境的影响以及项目环境保护措施，对项目提出了如应对井喷等非正常情况下的环境风险防范措施。</w:t>
            </w:r>
            <w:r>
              <w:rPr>
                <w:rFonts w:hint="eastAsia"/>
                <w:color w:val="auto"/>
                <w:szCs w:val="21"/>
              </w:rPr>
              <w:t>对</w:t>
            </w:r>
            <w:r>
              <w:rPr>
                <w:rFonts w:hint="default"/>
                <w:color w:val="auto"/>
                <w:szCs w:val="21"/>
              </w:rPr>
              <w:t>依托其他防治设施的或者委托第三方处置的，论证</w:t>
            </w:r>
            <w:r>
              <w:rPr>
                <w:rFonts w:hint="eastAsia"/>
                <w:color w:val="auto"/>
                <w:szCs w:val="21"/>
              </w:rPr>
              <w:t>了</w:t>
            </w:r>
            <w:r>
              <w:rPr>
                <w:rFonts w:hint="default"/>
                <w:color w:val="auto"/>
                <w:szCs w:val="21"/>
              </w:rPr>
              <w:t>其可行性和有效性。</w:t>
            </w:r>
          </w:p>
        </w:tc>
        <w:tc>
          <w:tcPr>
            <w:tcW w:w="885" w:type="dxa"/>
            <w:vAlign w:val="center"/>
          </w:tcPr>
          <w:p>
            <w:pPr>
              <w:keepNext w:val="0"/>
              <w:keepLines w:val="0"/>
              <w:widowControl/>
              <w:suppressLineNumbers w:val="0"/>
              <w:spacing w:before="0" w:beforeAutospacing="0" w:after="0" w:afterAutospacing="0"/>
              <w:ind w:left="0" w:right="0"/>
              <w:jc w:val="center"/>
              <w:rPr>
                <w:rFonts w:hint="default" w:hAnsi="宋体"/>
                <w:color w:val="auto"/>
                <w:szCs w:val="21"/>
              </w:rPr>
            </w:pPr>
            <w:r>
              <w:rPr>
                <w:rFonts w:hint="default" w:hAnsi="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3" w:type="dxa"/>
            <w:vAlign w:val="center"/>
          </w:tcPr>
          <w:p>
            <w:pPr>
              <w:keepNext w:val="0"/>
              <w:keepLines w:val="0"/>
              <w:widowControl/>
              <w:suppressLineNumbers w:val="0"/>
              <w:spacing w:before="0" w:beforeAutospacing="0" w:after="0" w:afterAutospacing="0"/>
              <w:ind w:left="0" w:right="0"/>
              <w:jc w:val="center"/>
              <w:rPr>
                <w:rFonts w:hint="eastAsia"/>
                <w:color w:val="auto"/>
                <w:szCs w:val="21"/>
              </w:rPr>
            </w:pPr>
            <w:r>
              <w:rPr>
                <w:rFonts w:hint="eastAsia"/>
                <w:color w:val="auto"/>
                <w:szCs w:val="21"/>
              </w:rPr>
              <w:t>2</w:t>
            </w:r>
          </w:p>
        </w:tc>
        <w:tc>
          <w:tcPr>
            <w:tcW w:w="4170" w:type="dxa"/>
            <w:vAlign w:val="center"/>
          </w:tcPr>
          <w:p>
            <w:pPr>
              <w:keepNext w:val="0"/>
              <w:keepLines w:val="0"/>
              <w:widowControl/>
              <w:suppressLineNumbers w:val="0"/>
              <w:spacing w:before="0" w:beforeAutospacing="0" w:after="0" w:afterAutospacing="0"/>
              <w:ind w:left="0" w:right="0"/>
              <w:rPr>
                <w:rFonts w:hint="default"/>
                <w:color w:val="auto"/>
                <w:szCs w:val="21"/>
              </w:rPr>
            </w:pPr>
            <w:r>
              <w:rPr>
                <w:rFonts w:hint="default" w:hAnsi="宋体"/>
                <w:color w:val="auto"/>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w:t>
            </w:r>
            <w:r>
              <w:rPr>
                <w:rFonts w:hint="default"/>
                <w:color w:val="auto"/>
                <w:szCs w:val="21"/>
              </w:rPr>
              <w:t>SY/T5329</w:t>
            </w:r>
            <w:r>
              <w:rPr>
                <w:rFonts w:hint="default" w:hAnsi="宋体"/>
                <w:color w:val="auto"/>
                <w:szCs w:val="21"/>
              </w:rPr>
              <w:t>）等相关标准要求后回注，同步采取切实可行措施防治污染。回注目的层应当为地质构造封闭地层，一般应当回注到现役油气藏或枯竭废弃油气藏。</w:t>
            </w:r>
          </w:p>
        </w:tc>
        <w:tc>
          <w:tcPr>
            <w:tcW w:w="3569" w:type="dxa"/>
            <w:vAlign w:val="center"/>
          </w:tcPr>
          <w:p>
            <w:pPr>
              <w:keepNext w:val="0"/>
              <w:keepLines w:val="0"/>
              <w:widowControl/>
              <w:suppressLineNumbers w:val="0"/>
              <w:wordWrap w:val="0"/>
              <w:spacing w:before="0" w:beforeAutospacing="0" w:after="0" w:afterAutospacing="0"/>
              <w:ind w:left="0" w:right="0"/>
              <w:rPr>
                <w:rFonts w:hint="default"/>
                <w:color w:val="auto"/>
                <w:szCs w:val="21"/>
              </w:rPr>
            </w:pPr>
            <w:r>
              <w:rPr>
                <w:rFonts w:hint="eastAsia" w:hAnsi="宋体"/>
                <w:color w:val="auto"/>
                <w:szCs w:val="21"/>
              </w:rPr>
              <w:t>本工程钻井过程中产生的钻井污水、废钻井液、岩屑执行不落地收集处理工艺，废弃</w:t>
            </w:r>
            <w:r>
              <w:rPr>
                <w:rFonts w:hint="eastAsia" w:hAnsi="宋体"/>
                <w:color w:val="auto"/>
                <w:szCs w:val="21"/>
                <w:lang w:val="en-US" w:eastAsia="zh-CN"/>
              </w:rPr>
              <w:t>水基</w:t>
            </w:r>
            <w:r>
              <w:rPr>
                <w:rFonts w:hint="eastAsia" w:hAnsi="宋体"/>
                <w:color w:val="auto"/>
                <w:szCs w:val="21"/>
              </w:rPr>
              <w:t>泥浆在井场进行固液分离处理。分离出的液相处理达标后循环利用，分离出的无法利用的固相废弃物，就近拉运至大庆市采油八厂废弃钻井液集中处理站统一处理，泥饼统一收集后转运至大庆油田采油八厂指定地点，作为油田铺路、铺垫井场等综合利用。</w:t>
            </w:r>
            <w:r>
              <w:rPr>
                <w:rFonts w:hint="eastAsia" w:hAnsi="宋体"/>
                <w:color w:val="auto"/>
                <w:szCs w:val="21"/>
                <w:lang w:eastAsia="zh-CN"/>
              </w:rPr>
              <w:t>废水不进行回注，</w:t>
            </w:r>
            <w:r>
              <w:rPr>
                <w:rFonts w:hint="eastAsia"/>
                <w:color w:val="auto"/>
                <w:kern w:val="0"/>
                <w:szCs w:val="21"/>
              </w:rPr>
              <w:t>不排入外环境</w:t>
            </w:r>
          </w:p>
        </w:tc>
        <w:tc>
          <w:tcPr>
            <w:tcW w:w="885"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hAnsi="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vAlign w:val="center"/>
          </w:tcPr>
          <w:p>
            <w:pPr>
              <w:keepNext w:val="0"/>
              <w:keepLines w:val="0"/>
              <w:widowControl/>
              <w:suppressLineNumbers w:val="0"/>
              <w:spacing w:before="0" w:beforeAutospacing="0" w:after="0" w:afterAutospacing="0"/>
              <w:ind w:left="0" w:right="0"/>
              <w:jc w:val="center"/>
              <w:rPr>
                <w:rFonts w:hint="eastAsia"/>
                <w:color w:val="auto"/>
                <w:szCs w:val="21"/>
              </w:rPr>
            </w:pPr>
            <w:r>
              <w:rPr>
                <w:rFonts w:hint="eastAsia"/>
                <w:color w:val="auto"/>
                <w:szCs w:val="21"/>
              </w:rPr>
              <w:t>3</w:t>
            </w:r>
          </w:p>
        </w:tc>
        <w:tc>
          <w:tcPr>
            <w:tcW w:w="4170" w:type="dxa"/>
            <w:vAlign w:val="center"/>
          </w:tcPr>
          <w:p>
            <w:pPr>
              <w:keepNext w:val="0"/>
              <w:keepLines w:val="0"/>
              <w:widowControl/>
              <w:suppressLineNumbers w:val="0"/>
              <w:spacing w:before="0" w:beforeAutospacing="0" w:after="0" w:afterAutospacing="0"/>
              <w:ind w:left="0" w:right="0"/>
              <w:rPr>
                <w:rFonts w:hint="default"/>
                <w:color w:val="auto"/>
                <w:szCs w:val="21"/>
              </w:rPr>
            </w:pPr>
            <w:r>
              <w:rPr>
                <w:rFonts w:hint="default" w:hAnsi="宋体"/>
                <w:color w:val="auto"/>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3569" w:type="dxa"/>
            <w:vAlign w:val="center"/>
          </w:tcPr>
          <w:p>
            <w:pPr>
              <w:keepNext w:val="0"/>
              <w:keepLines w:val="0"/>
              <w:widowControl/>
              <w:suppressLineNumbers w:val="0"/>
              <w:spacing w:before="0" w:beforeAutospacing="0" w:after="0" w:afterAutospacing="0"/>
              <w:ind w:left="0" w:right="0"/>
              <w:rPr>
                <w:rFonts w:hint="default"/>
                <w:color w:val="auto"/>
                <w:szCs w:val="21"/>
              </w:rPr>
            </w:pPr>
            <w:r>
              <w:rPr>
                <w:rFonts w:hint="eastAsia" w:hAnsi="宋体"/>
                <w:color w:val="auto"/>
                <w:szCs w:val="21"/>
              </w:rPr>
              <w:t>本工程钻井过程中产生的钻井污水、废钻井液、岩屑执行不落地收集处理工艺，废弃</w:t>
            </w:r>
            <w:r>
              <w:rPr>
                <w:rFonts w:hint="eastAsia" w:hAnsi="宋体"/>
                <w:color w:val="auto"/>
                <w:szCs w:val="21"/>
                <w:lang w:val="en-US" w:eastAsia="zh-CN"/>
              </w:rPr>
              <w:t>水基</w:t>
            </w:r>
            <w:r>
              <w:rPr>
                <w:rFonts w:hint="eastAsia" w:hAnsi="宋体"/>
                <w:color w:val="auto"/>
                <w:szCs w:val="21"/>
              </w:rPr>
              <w:t>泥浆在井场进行固液分离处理。分离出的液相处理达标后循环利用，分离出的无法利用的固相废弃物，就近拉运至大庆市采油八厂废弃钻井液集中处理站统一处理，泥饼统一收集后转运至大庆油田采油八厂指定地点，作为油田铺路、铺垫井场等</w:t>
            </w:r>
            <w:r>
              <w:rPr>
                <w:rFonts w:hint="eastAsia" w:hAnsi="宋体"/>
                <w:color w:val="auto"/>
                <w:szCs w:val="21"/>
                <w:lang w:eastAsia="zh-CN"/>
              </w:rPr>
              <w:t>。</w:t>
            </w:r>
            <w:r>
              <w:rPr>
                <w:rFonts w:hint="eastAsia" w:hAnsi="宋体"/>
                <w:color w:val="auto"/>
                <w:szCs w:val="21"/>
              </w:rPr>
              <w:t>综合利用。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r>
              <w:rPr>
                <w:rFonts w:hint="default" w:hAnsi="宋体"/>
                <w:color w:val="auto"/>
                <w:szCs w:val="21"/>
              </w:rPr>
              <w:t>本项目产生的一般废弃包装袋送</w:t>
            </w:r>
            <w:r>
              <w:rPr>
                <w:rFonts w:hint="eastAsia" w:hAnsi="宋体"/>
                <w:color w:val="auto"/>
              </w:rPr>
              <w:t>大庆市岗源环保科技有限责任公司</w:t>
            </w:r>
            <w:r>
              <w:rPr>
                <w:rFonts w:hint="default" w:hAnsi="宋体"/>
                <w:color w:val="auto"/>
              </w:rPr>
              <w:t>工业</w:t>
            </w:r>
            <w:r>
              <w:rPr>
                <w:rFonts w:hint="eastAsia" w:hAnsi="宋体"/>
                <w:color w:val="auto"/>
              </w:rPr>
              <w:t>废弃物处置中心</w:t>
            </w:r>
            <w:r>
              <w:rPr>
                <w:rFonts w:hint="default" w:hAnsi="宋体"/>
                <w:color w:val="auto"/>
                <w:szCs w:val="21"/>
              </w:rPr>
              <w:t>处理。</w:t>
            </w:r>
            <w:r>
              <w:rPr>
                <w:rFonts w:hint="eastAsia" w:eastAsia="宋体"/>
                <w:iCs/>
                <w:color w:val="auto"/>
              </w:rPr>
              <w:t>废</w:t>
            </w:r>
            <w:r>
              <w:rPr>
                <w:rFonts w:hint="default" w:eastAsia="宋体"/>
                <w:iCs/>
                <w:color w:val="auto"/>
              </w:rPr>
              <w:t>KOH包装袋委托资质的危废处理单位处理</w:t>
            </w:r>
            <w:r>
              <w:rPr>
                <w:rFonts w:hint="default" w:eastAsia="宋体"/>
                <w:color w:val="auto"/>
              </w:rPr>
              <w:t>。</w:t>
            </w:r>
            <w:r>
              <w:rPr>
                <w:rFonts w:hint="eastAsia"/>
                <w:iCs/>
                <w:color w:val="auto"/>
                <w:szCs w:val="21"/>
                <w:lang w:val="en-US" w:eastAsia="zh-CN"/>
              </w:rPr>
              <w:t>沾油</w:t>
            </w:r>
            <w:r>
              <w:rPr>
                <w:rFonts w:hint="default" w:hAnsi="宋体"/>
                <w:color w:val="auto"/>
                <w:kern w:val="0"/>
                <w:szCs w:val="21"/>
                <w:lang w:eastAsia="zh-TW"/>
              </w:rPr>
              <w:t>废弃防渗布</w:t>
            </w:r>
            <w:r>
              <w:rPr>
                <w:rFonts w:hint="eastAsia" w:hAnsi="宋体"/>
                <w:color w:val="auto"/>
              </w:rPr>
              <w:t>送</w:t>
            </w:r>
            <w:r>
              <w:rPr>
                <w:rFonts w:hint="eastAsia" w:hAnsi="宋体"/>
                <w:color w:val="auto"/>
                <w:kern w:val="0"/>
                <w:szCs w:val="21"/>
                <w:lang w:val="en-US" w:eastAsia="zh-CN"/>
              </w:rPr>
              <w:t>大庆中林绿源生物环保有限公司处理。</w:t>
            </w:r>
            <w:r>
              <w:rPr>
                <w:rFonts w:hint="default" w:hAnsi="宋体"/>
                <w:color w:val="auto"/>
                <w:szCs w:val="21"/>
              </w:rPr>
              <w:t>遵循了减量化、资源化、无害化原则。</w:t>
            </w:r>
          </w:p>
        </w:tc>
        <w:tc>
          <w:tcPr>
            <w:tcW w:w="885"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hAnsi="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63"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4170" w:type="dxa"/>
            <w:vAlign w:val="center"/>
          </w:tcPr>
          <w:p>
            <w:pPr>
              <w:keepNext w:val="0"/>
              <w:keepLines w:val="0"/>
              <w:widowControl/>
              <w:suppressLineNumbers w:val="0"/>
              <w:spacing w:before="0" w:beforeAutospacing="0" w:after="0" w:afterAutospacing="0"/>
              <w:ind w:left="0" w:right="0"/>
              <w:rPr>
                <w:rFonts w:hint="default"/>
                <w:color w:val="auto"/>
                <w:szCs w:val="21"/>
              </w:rPr>
            </w:pPr>
            <w:r>
              <w:rPr>
                <w:rFonts w:hint="default" w:hAnsi="宋体"/>
                <w:color w:val="auto"/>
                <w:szCs w:val="21"/>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3569" w:type="dxa"/>
            <w:vAlign w:val="center"/>
          </w:tcPr>
          <w:p>
            <w:pPr>
              <w:keepNext w:val="0"/>
              <w:keepLines w:val="0"/>
              <w:suppressLineNumbers w:val="0"/>
              <w:autoSpaceDE w:val="0"/>
              <w:autoSpaceDN w:val="0"/>
              <w:adjustRightInd w:val="0"/>
              <w:spacing w:before="0" w:beforeAutospacing="0" w:after="0" w:afterAutospacing="0"/>
              <w:ind w:left="0" w:right="0"/>
              <w:rPr>
                <w:rFonts w:hint="default"/>
                <w:color w:val="auto"/>
                <w:szCs w:val="21"/>
              </w:rPr>
            </w:pPr>
            <w:r>
              <w:rPr>
                <w:rFonts w:hint="default" w:hAnsi="宋体"/>
                <w:color w:val="auto"/>
                <w:szCs w:val="21"/>
              </w:rPr>
              <w:t>本项目</w:t>
            </w:r>
            <w:r>
              <w:rPr>
                <w:rFonts w:hint="eastAsia" w:hAnsi="宋体"/>
                <w:color w:val="auto"/>
                <w:szCs w:val="21"/>
              </w:rPr>
              <w:t>新建</w:t>
            </w:r>
            <w:r>
              <w:rPr>
                <w:rFonts w:hint="eastAsia" w:hAnsi="宋体"/>
                <w:color w:val="auto"/>
                <w:szCs w:val="21"/>
                <w:lang w:eastAsia="zh-CN"/>
              </w:rPr>
              <w:t>注采</w:t>
            </w:r>
            <w:r>
              <w:rPr>
                <w:rFonts w:hint="eastAsia" w:hAnsi="宋体"/>
                <w:color w:val="auto"/>
                <w:szCs w:val="21"/>
              </w:rPr>
              <w:t>井场严格</w:t>
            </w:r>
            <w:r>
              <w:rPr>
                <w:rFonts w:hint="eastAsia" w:hAnsi="宋体"/>
                <w:color w:val="auto"/>
              </w:rPr>
              <w:t>遵守《石油天然气</w:t>
            </w:r>
            <w:r>
              <w:rPr>
                <w:rFonts w:hint="default" w:hAnsi="宋体"/>
                <w:color w:val="auto"/>
              </w:rPr>
              <w:t>工程项目用地</w:t>
            </w:r>
            <w:r>
              <w:rPr>
                <w:rFonts w:hint="eastAsia" w:hAnsi="宋体"/>
                <w:color w:val="auto"/>
              </w:rPr>
              <w:t>控制</w:t>
            </w:r>
            <w:r>
              <w:rPr>
                <w:rFonts w:hint="default" w:hAnsi="宋体"/>
                <w:color w:val="auto"/>
              </w:rPr>
              <w:t>指标</w:t>
            </w:r>
            <w:r>
              <w:rPr>
                <w:rFonts w:hint="eastAsia" w:hAnsi="宋体"/>
                <w:color w:val="auto"/>
              </w:rPr>
              <w:t>》（2017.1.1）要求</w:t>
            </w:r>
            <w:r>
              <w:rPr>
                <w:rFonts w:hint="default" w:hAnsi="宋体"/>
                <w:color w:val="auto"/>
                <w:szCs w:val="21"/>
              </w:rPr>
              <w:t>，</w:t>
            </w:r>
            <w:r>
              <w:rPr>
                <w:rFonts w:hint="default" w:hAnsi="宋体"/>
                <w:color w:val="auto"/>
              </w:rPr>
              <w:t>施工期井场及相关机械装置均在临时用地内进行施工，采用柴油钻机钻井时使用轻质柴油</w:t>
            </w:r>
            <w:r>
              <w:rPr>
                <w:rFonts w:hint="default" w:hAnsi="宋体"/>
                <w:color w:val="auto"/>
                <w:szCs w:val="21"/>
              </w:rPr>
              <w:t>，减少废气排放</w:t>
            </w:r>
            <w:r>
              <w:rPr>
                <w:rFonts w:hint="default" w:hAnsi="宋体"/>
                <w:color w:val="auto"/>
              </w:rPr>
              <w:t>。</w:t>
            </w:r>
          </w:p>
        </w:tc>
        <w:tc>
          <w:tcPr>
            <w:tcW w:w="885"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hAnsi="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63"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color w:val="auto"/>
                <w:szCs w:val="21"/>
              </w:rPr>
              <w:t>5</w:t>
            </w:r>
          </w:p>
        </w:tc>
        <w:tc>
          <w:tcPr>
            <w:tcW w:w="4170" w:type="dxa"/>
            <w:vAlign w:val="center"/>
          </w:tcPr>
          <w:p>
            <w:pPr>
              <w:keepNext w:val="0"/>
              <w:keepLines w:val="0"/>
              <w:widowControl/>
              <w:suppressLineNumbers w:val="0"/>
              <w:spacing w:before="0" w:beforeAutospacing="0" w:after="0" w:afterAutospacing="0"/>
              <w:ind w:left="0" w:right="0"/>
              <w:rPr>
                <w:rFonts w:hint="default"/>
                <w:color w:val="auto"/>
                <w:szCs w:val="21"/>
              </w:rPr>
            </w:pPr>
            <w:r>
              <w:rPr>
                <w:rFonts w:hint="default" w:hAnsi="宋体"/>
                <w:color w:val="auto"/>
                <w:szCs w:val="21"/>
              </w:rPr>
              <w:t>油气企业应当加强风险防控，按规定编制突发环境事件应急预案，报所在地生态环境主管部门备案。</w:t>
            </w:r>
          </w:p>
        </w:tc>
        <w:tc>
          <w:tcPr>
            <w:tcW w:w="3569" w:type="dxa"/>
            <w:vAlign w:val="center"/>
          </w:tcPr>
          <w:p>
            <w:pPr>
              <w:keepNext w:val="0"/>
              <w:keepLines w:val="0"/>
              <w:suppressLineNumbers w:val="0"/>
              <w:autoSpaceDE w:val="0"/>
              <w:autoSpaceDN w:val="0"/>
              <w:adjustRightInd w:val="0"/>
              <w:spacing w:before="0" w:beforeAutospacing="0" w:after="0" w:afterAutospacing="0"/>
              <w:ind w:left="0" w:right="0"/>
              <w:rPr>
                <w:rFonts w:hint="default"/>
                <w:color w:val="auto"/>
                <w:szCs w:val="21"/>
              </w:rPr>
            </w:pPr>
            <w:r>
              <w:rPr>
                <w:rFonts w:hint="eastAsia" w:ascii="宋体" w:hAnsi="宋体" w:eastAsia="宋体" w:cs="宋体"/>
                <w:color w:val="auto"/>
                <w:szCs w:val="21"/>
                <w:lang w:bidi="ar"/>
              </w:rPr>
              <w:t>大庆油田有限责任公司</w:t>
            </w:r>
            <w:r>
              <w:rPr>
                <w:rFonts w:hint="eastAsia" w:ascii="宋体" w:hAnsi="宋体" w:cs="宋体"/>
                <w:color w:val="auto"/>
                <w:szCs w:val="21"/>
                <w:lang w:eastAsia="zh-CN" w:bidi="ar"/>
              </w:rPr>
              <w:t>采气分公司（储气库分公司）</w:t>
            </w:r>
            <w:r>
              <w:rPr>
                <w:rFonts w:hint="eastAsia" w:ascii="宋体" w:hAnsi="宋体" w:eastAsia="宋体" w:cs="宋体"/>
                <w:color w:val="auto"/>
                <w:szCs w:val="21"/>
                <w:lang w:bidi="ar"/>
              </w:rPr>
              <w:t>按预案要求已编制完成了《突发事件总体应急预案》、《突发环境事件专项应急预案》，并报所在地生态环境主管部门备案。</w:t>
            </w:r>
          </w:p>
        </w:tc>
        <w:tc>
          <w:tcPr>
            <w:tcW w:w="885" w:type="dxa"/>
            <w:vAlign w:val="center"/>
          </w:tcPr>
          <w:p>
            <w:pPr>
              <w:keepNext w:val="0"/>
              <w:keepLines w:val="0"/>
              <w:widowControl/>
              <w:suppressLineNumbers w:val="0"/>
              <w:spacing w:before="0" w:beforeAutospacing="0" w:after="0" w:afterAutospacing="0"/>
              <w:ind w:left="0" w:right="0"/>
              <w:jc w:val="center"/>
              <w:rPr>
                <w:rFonts w:hint="default"/>
                <w:color w:val="auto"/>
                <w:szCs w:val="21"/>
              </w:rPr>
            </w:pPr>
            <w:r>
              <w:rPr>
                <w:rFonts w:hint="default" w:hAnsi="宋体"/>
                <w:color w:val="auto"/>
                <w:szCs w:val="21"/>
              </w:rPr>
              <w:t>符合</w:t>
            </w:r>
          </w:p>
        </w:tc>
      </w:tr>
    </w:tbl>
    <w:p>
      <w:pPr>
        <w:pStyle w:val="6"/>
        <w:bidi w:val="0"/>
        <w:rPr>
          <w:color w:val="auto"/>
        </w:rPr>
      </w:pPr>
      <w:r>
        <w:rPr>
          <w:rFonts w:hint="eastAsia"/>
          <w:color w:val="auto"/>
        </w:rPr>
        <w:t>与《关于加快推进储气设施建设的指导意见》（发改运行〔2014〕603号）</w:t>
      </w:r>
      <w:r>
        <w:rPr>
          <w:color w:val="auto"/>
        </w:rPr>
        <w:t>符合性分析</w:t>
      </w:r>
    </w:p>
    <w:p>
      <w:pPr>
        <w:pStyle w:val="7"/>
        <w:bidi w:val="0"/>
        <w:rPr>
          <w:color w:val="auto"/>
        </w:rPr>
      </w:pPr>
      <w:r>
        <w:rPr>
          <w:rFonts w:hint="eastAsia"/>
          <w:color w:val="auto"/>
        </w:rPr>
        <w:t>与</w:t>
      </w:r>
      <w:r>
        <w:rPr>
          <w:color w:val="auto"/>
        </w:rPr>
        <w:t>《</w:t>
      </w:r>
      <w:r>
        <w:rPr>
          <w:rFonts w:hint="eastAsia"/>
          <w:color w:val="auto"/>
        </w:rPr>
        <w:t>关于加快推进储气设施建设的指导意见</w:t>
      </w:r>
      <w:r>
        <w:rPr>
          <w:color w:val="auto"/>
        </w:rPr>
        <w:t>》符合性一览表</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834"/>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序号</w:t>
            </w:r>
          </w:p>
        </w:tc>
        <w:tc>
          <w:tcPr>
            <w:tcW w:w="683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意见相关要求</w:t>
            </w:r>
          </w:p>
        </w:tc>
        <w:tc>
          <w:tcPr>
            <w:tcW w:w="177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683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增强推进储气设施建设的紧迫感。为确保天然气安全稳定供应，必须高度重视储气设施建设，加强统筹协调，加大资金投入，集中力量加快推进相关工作。</w:t>
            </w:r>
          </w:p>
        </w:tc>
        <w:tc>
          <w:tcPr>
            <w:tcW w:w="1779"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本项目属于大庆油田建立东北储气库工程</w:t>
            </w:r>
            <w:r>
              <w:rPr>
                <w:rFonts w:hint="eastAsia"/>
                <w:color w:val="auto"/>
                <w:lang w:eastAsia="zh-CN"/>
              </w:rPr>
              <w:t>的钻井工程</w:t>
            </w:r>
            <w:r>
              <w:rPr>
                <w:rFonts w:hint="default"/>
                <w:color w:val="auto"/>
              </w:rPr>
              <w:t>，项目正在抓紧办理施工前各项手续，符合上述发展规划要求。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w:t>
            </w:r>
          </w:p>
        </w:tc>
        <w:tc>
          <w:tcPr>
            <w:tcW w:w="683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鼓励各种所有制经济参与储气设施投资建设和运营。承担天然气调峰和应急储备义务的天然气销售企业和城镇天然气经营企业等，可以单独或者共同建设储气设施储备天然气，也可以委托代为储备。</w:t>
            </w:r>
          </w:p>
        </w:tc>
        <w:tc>
          <w:tcPr>
            <w:tcW w:w="1779" w:type="dxa"/>
            <w:vMerge w:val="continue"/>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w:t>
            </w:r>
          </w:p>
        </w:tc>
        <w:tc>
          <w:tcPr>
            <w:tcW w:w="6834"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加大储气设施建设用地支持力度。储气设施建设的项目用地可通过行政划拨、有偿出让或租赁等方式取得。对储气设施建设用地，有关方面要优先予以支持。</w:t>
            </w:r>
          </w:p>
        </w:tc>
        <w:tc>
          <w:tcPr>
            <w:tcW w:w="1779" w:type="dxa"/>
            <w:vMerge w:val="continue"/>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p>
        </w:tc>
      </w:tr>
    </w:tbl>
    <w:p>
      <w:pPr>
        <w:pStyle w:val="6"/>
        <w:spacing w:before="156" w:after="156"/>
        <w:rPr>
          <w:color w:val="auto"/>
        </w:rPr>
      </w:pPr>
      <w:r>
        <w:rPr>
          <w:rFonts w:hint="eastAsia"/>
          <w:color w:val="auto"/>
        </w:rPr>
        <w:t>与《全面开展天然气储气调峰设施建设运营情况自查和整改的通知》（发改办运行〔2017〕1628号）</w:t>
      </w:r>
      <w:r>
        <w:rPr>
          <w:color w:val="auto"/>
        </w:rPr>
        <w:t>符合性分析</w:t>
      </w:r>
    </w:p>
    <w:p>
      <w:pPr>
        <w:pStyle w:val="7"/>
        <w:bidi w:val="0"/>
        <w:rPr>
          <w:color w:val="auto"/>
        </w:rPr>
      </w:pPr>
      <w:r>
        <w:rPr>
          <w:rFonts w:hint="eastAsia"/>
          <w:color w:val="auto"/>
        </w:rPr>
        <w:t>与本“通知”</w:t>
      </w:r>
      <w:r>
        <w:rPr>
          <w:color w:val="auto"/>
        </w:rPr>
        <w:t>符合性一览表</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5671"/>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序号</w:t>
            </w:r>
          </w:p>
        </w:tc>
        <w:tc>
          <w:tcPr>
            <w:tcW w:w="567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意见相关要求</w:t>
            </w:r>
          </w:p>
        </w:tc>
        <w:tc>
          <w:tcPr>
            <w:tcW w:w="2942"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本项目符合性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567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color w:val="auto"/>
              </w:rPr>
            </w:pPr>
            <w:r>
              <w:rPr>
                <w:rFonts w:hint="default"/>
                <w:color w:val="auto"/>
              </w:rPr>
              <w:t>按照2020</w:t>
            </w:r>
            <w:r>
              <w:rPr>
                <w:rFonts w:hint="default" w:ascii="宋体" w:hAnsi="宋体"/>
                <w:color w:val="auto"/>
              </w:rPr>
              <w:t>年主要供气企业储气能力达到合同供气量的</w:t>
            </w:r>
            <w:r>
              <w:rPr>
                <w:rFonts w:hint="default"/>
                <w:color w:val="auto"/>
              </w:rPr>
              <w:t>10%</w:t>
            </w:r>
            <w:r>
              <w:rPr>
                <w:rFonts w:hint="default" w:ascii="宋体" w:hAnsi="宋体"/>
                <w:color w:val="auto"/>
              </w:rPr>
              <w:t>、各地达到平均</w:t>
            </w:r>
            <w:r>
              <w:rPr>
                <w:rFonts w:hint="default"/>
                <w:color w:val="auto"/>
              </w:rPr>
              <w:t>3</w:t>
            </w:r>
            <w:r>
              <w:rPr>
                <w:rFonts w:hint="default" w:ascii="宋体" w:hAnsi="宋体"/>
                <w:color w:val="auto"/>
              </w:rPr>
              <w:t>天用气量的储气能力的规定，各地和主要供气企业要最大限度发挥现有天然气储气调峰能力，加快项目建设，确保未来各年度迎峰度冬天然气供应稳定，</w:t>
            </w:r>
            <w:r>
              <w:rPr>
                <w:rFonts w:hint="default"/>
                <w:color w:val="auto"/>
              </w:rPr>
              <w:t>2020</w:t>
            </w:r>
            <w:r>
              <w:rPr>
                <w:rFonts w:hint="default" w:ascii="宋体" w:hAnsi="宋体"/>
                <w:color w:val="auto"/>
              </w:rPr>
              <w:t>年达到规定指标</w:t>
            </w:r>
          </w:p>
        </w:tc>
        <w:tc>
          <w:tcPr>
            <w:tcW w:w="2942" w:type="dxa"/>
            <w:vMerge w:val="restart"/>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color w:val="auto"/>
              </w:rPr>
            </w:pPr>
            <w:r>
              <w:rPr>
                <w:rFonts w:hint="default"/>
                <w:color w:val="auto"/>
              </w:rPr>
              <w:t>根据上述要求中国石油天然气股份公司召开了《中国石油2019-2030</w:t>
            </w:r>
            <w:r>
              <w:rPr>
                <w:rFonts w:hint="default" w:ascii="宋体" w:hAnsi="宋体"/>
                <w:color w:val="auto"/>
              </w:rPr>
              <w:t>年地下储气库建设规划部署安排会议》，会议要求中国石油天然气股份公司与各相关油气田企业签订储气库项目建设责任书，落实责任主体</w:t>
            </w:r>
            <w:r>
              <w:rPr>
                <w:rFonts w:hint="default"/>
                <w:color w:val="auto"/>
              </w:rPr>
              <w:t>——</w:t>
            </w:r>
            <w:r>
              <w:rPr>
                <w:rFonts w:hint="default" w:ascii="宋体" w:hAnsi="宋体"/>
                <w:color w:val="auto"/>
              </w:rPr>
              <w:t>未来</w:t>
            </w:r>
            <w:r>
              <w:rPr>
                <w:rFonts w:hint="default"/>
                <w:color w:val="auto"/>
              </w:rPr>
              <w:t>10</w:t>
            </w:r>
            <w:r>
              <w:rPr>
                <w:rFonts w:hint="default" w:ascii="宋体" w:hAnsi="宋体"/>
                <w:color w:val="auto"/>
              </w:rPr>
              <w:t>年，中国石油将扩容在役的</w:t>
            </w:r>
            <w:r>
              <w:rPr>
                <w:rFonts w:hint="default"/>
                <w:color w:val="auto"/>
              </w:rPr>
              <w:t>10</w:t>
            </w:r>
            <w:r>
              <w:rPr>
                <w:rFonts w:hint="default" w:ascii="宋体" w:hAnsi="宋体"/>
                <w:color w:val="auto"/>
              </w:rPr>
              <w:t>座储气库（群），新建</w:t>
            </w:r>
            <w:r>
              <w:rPr>
                <w:rFonts w:hint="default"/>
                <w:color w:val="auto"/>
              </w:rPr>
              <w:t>23</w:t>
            </w:r>
            <w:r>
              <w:rPr>
                <w:rFonts w:hint="default" w:ascii="宋体" w:hAnsi="宋体"/>
                <w:color w:val="auto"/>
              </w:rPr>
              <w:t>座储气库。根据规划，中国石油将建立东北、华北、中西部、西北、西南、中东部六个区域储气中心，加快推进储气库建设。本项目属于建立东北储气库项目</w:t>
            </w:r>
            <w:r>
              <w:rPr>
                <w:rFonts w:hint="eastAsia" w:ascii="宋体" w:hAnsi="宋体"/>
                <w:color w:val="auto"/>
                <w:lang w:eastAsia="zh-CN"/>
              </w:rPr>
              <w:t>钻井工程</w:t>
            </w:r>
            <w:r>
              <w:rPr>
                <w:rFonts w:hint="default" w:ascii="宋体" w:hAnsi="宋体"/>
                <w:color w:val="auto"/>
              </w:rPr>
              <w:t>，符合国家规划要求。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w:t>
            </w:r>
          </w:p>
        </w:tc>
        <w:tc>
          <w:tcPr>
            <w:tcW w:w="567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color w:val="auto"/>
              </w:rPr>
            </w:pPr>
            <w:r>
              <w:rPr>
                <w:rFonts w:hint="default"/>
                <w:color w:val="auto"/>
              </w:rPr>
              <w:t>各地级及以上城市、各主要供气企业要立即全面开展天然气储气调峰设施建设运营情况自查和整改，形成自查整改报告，连同2020</w:t>
            </w:r>
            <w:r>
              <w:rPr>
                <w:rFonts w:hint="default" w:ascii="宋体" w:hAnsi="宋体"/>
                <w:color w:val="auto"/>
              </w:rPr>
              <w:t>年能达标、可落地的储气设施建设规划或专项计划，于</w:t>
            </w:r>
            <w:r>
              <w:rPr>
                <w:rFonts w:hint="default"/>
                <w:color w:val="auto"/>
              </w:rPr>
              <w:t>10</w:t>
            </w:r>
            <w:r>
              <w:rPr>
                <w:rFonts w:hint="default" w:ascii="宋体" w:hAnsi="宋体"/>
                <w:color w:val="auto"/>
              </w:rPr>
              <w:t>月</w:t>
            </w:r>
            <w:r>
              <w:rPr>
                <w:rFonts w:hint="default"/>
                <w:color w:val="auto"/>
              </w:rPr>
              <w:t>25</w:t>
            </w:r>
            <w:r>
              <w:rPr>
                <w:rFonts w:hint="default" w:ascii="宋体" w:hAnsi="宋体"/>
                <w:color w:val="auto"/>
              </w:rPr>
              <w:t>日前报送国家发展改革委经济运行调节局、国家能源局石油天然气司。各地由省级主管部门统一汇总报送，中央企业由集团公司统一报送。</w:t>
            </w:r>
          </w:p>
        </w:tc>
        <w:tc>
          <w:tcPr>
            <w:tcW w:w="2942" w:type="dxa"/>
            <w:vMerge w:val="continue"/>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w:t>
            </w:r>
          </w:p>
        </w:tc>
        <w:tc>
          <w:tcPr>
            <w:tcW w:w="5671"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left"/>
              <w:rPr>
                <w:rFonts w:hint="default"/>
                <w:color w:val="auto"/>
              </w:rPr>
            </w:pPr>
            <w:r>
              <w:rPr>
                <w:rFonts w:hint="default"/>
                <w:color w:val="auto"/>
              </w:rPr>
              <w:t>各省、自治区、直辖市主管部门要督促有关城市按照储气调峰设施建设规划或专项计划加快在建项目建设，各主要供气企业也要按照各级规划和年度计划，抓紧推动地下储气库和LNG</w:t>
            </w:r>
            <w:r>
              <w:rPr>
                <w:rFonts w:hint="default" w:ascii="宋体" w:hAnsi="宋体"/>
                <w:color w:val="auto"/>
              </w:rPr>
              <w:t>接收站储罐以及管道按计划投用，力争今年迎峰度冬期间能发挥作用。</w:t>
            </w:r>
          </w:p>
        </w:tc>
        <w:tc>
          <w:tcPr>
            <w:tcW w:w="2942" w:type="dxa"/>
            <w:vMerge w:val="continue"/>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p>
        </w:tc>
      </w:tr>
    </w:tbl>
    <w:p>
      <w:pPr>
        <w:pStyle w:val="5"/>
        <w:spacing w:before="156" w:after="156"/>
        <w:rPr>
          <w:color w:val="auto"/>
        </w:rPr>
      </w:pPr>
      <w:r>
        <w:rPr>
          <w:rFonts w:hint="eastAsia"/>
          <w:color w:val="auto"/>
        </w:rPr>
        <w:t>与《石油天然气开采业污染防治技术政策》（环保部公告2012年第18号）符合性判定</w:t>
      </w:r>
    </w:p>
    <w:p>
      <w:pPr>
        <w:pStyle w:val="33"/>
        <w:rPr>
          <w:color w:val="auto"/>
        </w:rPr>
      </w:pPr>
      <w:r>
        <w:rPr>
          <w:color w:val="auto"/>
        </w:rPr>
        <w:t>根据《挥发性有机物（VOCs）污染防治技术政策》要求，石油和天然气开采业的VOCs污染防治可参照相应的污染防治技术政策。</w:t>
      </w:r>
    </w:p>
    <w:p>
      <w:pPr>
        <w:pStyle w:val="7"/>
        <w:bidi w:val="0"/>
        <w:rPr>
          <w:color w:val="auto"/>
        </w:rPr>
      </w:pPr>
      <w:r>
        <w:rPr>
          <w:rFonts w:hint="eastAsia"/>
          <w:color w:val="auto"/>
        </w:rPr>
        <w:t>与《石油天然气开采业污染防治技术政策》相关要求符合性</w:t>
      </w:r>
    </w:p>
    <w:tbl>
      <w:tblPr>
        <w:tblStyle w:val="34"/>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4458"/>
        <w:gridCol w:w="3320"/>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序号</w:t>
            </w:r>
          </w:p>
        </w:tc>
        <w:tc>
          <w:tcPr>
            <w:tcW w:w="445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相关要求</w:t>
            </w:r>
          </w:p>
        </w:tc>
        <w:tc>
          <w:tcPr>
            <w:tcW w:w="3320" w:type="dxa"/>
            <w:shd w:val="clear" w:color="auto" w:fill="auto"/>
            <w:vAlign w:val="center"/>
          </w:tcPr>
          <w:p>
            <w:pPr>
              <w:keepNext w:val="0"/>
              <w:keepLines w:val="0"/>
              <w:suppressLineNumbers w:val="0"/>
              <w:spacing w:before="0" w:beforeAutospacing="0" w:after="0" w:afterAutospacing="0"/>
              <w:ind w:left="0" w:right="0"/>
              <w:jc w:val="center"/>
              <w:rPr>
                <w:rFonts w:hint="default"/>
                <w:bCs/>
                <w:iCs/>
                <w:color w:val="auto"/>
              </w:rPr>
            </w:pPr>
            <w:r>
              <w:rPr>
                <w:rFonts w:hint="default"/>
                <w:bCs/>
                <w:iCs/>
                <w:color w:val="auto"/>
              </w:rPr>
              <w:t>本项目分析</w:t>
            </w:r>
          </w:p>
        </w:tc>
        <w:tc>
          <w:tcPr>
            <w:tcW w:w="740" w:type="dxa"/>
            <w:shd w:val="clear" w:color="auto" w:fill="auto"/>
            <w:vAlign w:val="center"/>
          </w:tcPr>
          <w:p>
            <w:pPr>
              <w:keepNext w:val="0"/>
              <w:keepLines w:val="0"/>
              <w:suppressLineNumbers w:val="0"/>
              <w:spacing w:before="0" w:beforeAutospacing="0" w:after="0" w:afterAutospacing="0"/>
              <w:ind w:left="0" w:right="0"/>
              <w:jc w:val="center"/>
              <w:rPr>
                <w:rFonts w:hint="default"/>
                <w:bCs/>
                <w:iCs/>
                <w:color w:val="auto"/>
              </w:rPr>
            </w:pPr>
            <w:r>
              <w:rPr>
                <w:rFonts w:hint="default"/>
                <w:bCs/>
                <w:iCs/>
                <w:color w:val="auto"/>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4458"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在井下作业过程中，酸化液和压裂液宜集中配制，酸化残液、压裂残液和返排液应回收利用或进行无害化处置，压裂放喷返排入罐率应达到100%。酸化、压裂作业和试采（气）过程应采取防喷、地面管线防刺、防漏、防溢等措施。</w:t>
            </w:r>
          </w:p>
        </w:tc>
        <w:tc>
          <w:tcPr>
            <w:tcW w:w="3320" w:type="dxa"/>
            <w:shd w:val="clear" w:color="auto" w:fill="auto"/>
            <w:vAlign w:val="center"/>
          </w:tcPr>
          <w:p>
            <w:pPr>
              <w:pStyle w:val="16"/>
              <w:keepNext w:val="0"/>
              <w:keepLines w:val="0"/>
              <w:suppressLineNumbers w:val="0"/>
              <w:spacing w:before="0" w:beforeAutospacing="0" w:afterAutospacing="0"/>
              <w:ind w:left="0" w:right="0"/>
              <w:rPr>
                <w:rFonts w:hint="eastAsia" w:eastAsia="宋体"/>
                <w:color w:val="auto"/>
                <w:lang w:eastAsia="zh-CN"/>
              </w:rPr>
            </w:pPr>
            <w:r>
              <w:rPr>
                <w:rFonts w:hint="eastAsia"/>
                <w:color w:val="auto"/>
                <w:lang w:eastAsia="zh-CN"/>
              </w:rPr>
              <w:t>明确本项目仅为钻井施工期，本项目完井采用筛管完井，不包括射孔、酸化、压裂作业，不产生废弃射孔液、酸化残液、压裂残液和返排液。本工程试气过程采取了防喷、防漏、防溢等措施</w:t>
            </w:r>
            <w:r>
              <w:rPr>
                <w:rFonts w:hint="eastAsia"/>
                <w:color w:val="auto"/>
              </w:rPr>
              <w:t>。</w:t>
            </w:r>
          </w:p>
        </w:tc>
        <w:tc>
          <w:tcPr>
            <w:tcW w:w="740"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w:t>
            </w:r>
          </w:p>
        </w:tc>
        <w:tc>
          <w:tcPr>
            <w:tcW w:w="4458"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油气田建设宜布置丛式井组，采用多分支井、水平井、小孔钻井、空气钻井等钻井技术，以减少废物产生和占地。</w:t>
            </w:r>
          </w:p>
        </w:tc>
        <w:tc>
          <w:tcPr>
            <w:tcW w:w="3320" w:type="dxa"/>
            <w:shd w:val="clear" w:color="auto" w:fill="auto"/>
            <w:vAlign w:val="center"/>
          </w:tcPr>
          <w:p>
            <w:pPr>
              <w:keepNext w:val="0"/>
              <w:keepLines w:val="0"/>
              <w:suppressLineNumbers w:val="0"/>
              <w:spacing w:before="0" w:beforeAutospacing="0" w:after="0" w:afterAutospacing="0"/>
              <w:ind w:left="0" w:right="0"/>
              <w:jc w:val="both"/>
              <w:rPr>
                <w:rFonts w:hint="eastAsia" w:eastAsia="宋体"/>
                <w:color w:val="auto"/>
                <w:lang w:eastAsia="zh-CN"/>
              </w:rPr>
            </w:pPr>
            <w:r>
              <w:rPr>
                <w:rFonts w:hint="eastAsia"/>
                <w:color w:val="auto"/>
              </w:rPr>
              <w:t>本项目新建</w:t>
            </w:r>
            <w:r>
              <w:rPr>
                <w:rFonts w:hint="eastAsia"/>
                <w:color w:val="auto"/>
                <w:lang w:eastAsia="zh-CN"/>
              </w:rPr>
              <w:t>注采</w:t>
            </w:r>
            <w:r>
              <w:rPr>
                <w:rFonts w:hint="eastAsia"/>
                <w:color w:val="auto"/>
              </w:rPr>
              <w:t>井场严格遵守《石油天然气工程项目用地控制指标》（2017.1.1）要求</w:t>
            </w:r>
            <w:r>
              <w:rPr>
                <w:rFonts w:hint="default"/>
                <w:color w:val="auto"/>
              </w:rPr>
              <w:t>，</w:t>
            </w:r>
            <w:r>
              <w:rPr>
                <w:rFonts w:hint="eastAsia"/>
                <w:color w:val="auto"/>
              </w:rPr>
              <w:t>施工过程严格控制</w:t>
            </w:r>
            <w:r>
              <w:rPr>
                <w:rFonts w:hint="default"/>
                <w:color w:val="auto"/>
              </w:rPr>
              <w:t>临时占地</w:t>
            </w:r>
            <w:r>
              <w:rPr>
                <w:rFonts w:hint="eastAsia"/>
                <w:color w:val="auto"/>
                <w:lang w:eastAsia="zh-CN"/>
              </w:rPr>
              <w:t>。</w:t>
            </w:r>
          </w:p>
        </w:tc>
        <w:tc>
          <w:tcPr>
            <w:tcW w:w="740"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w:t>
            </w:r>
          </w:p>
        </w:tc>
        <w:tc>
          <w:tcPr>
            <w:tcW w:w="4458"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应设立地下水水质监测井，加强对油气田地下水水质的监控，防止回注过程对地下水造成污染。</w:t>
            </w:r>
          </w:p>
        </w:tc>
        <w:tc>
          <w:tcPr>
            <w:tcW w:w="3320" w:type="dxa"/>
            <w:shd w:val="clear" w:color="auto" w:fill="auto"/>
            <w:vAlign w:val="center"/>
          </w:tcPr>
          <w:p>
            <w:pPr>
              <w:keepNext w:val="0"/>
              <w:keepLines w:val="0"/>
              <w:suppressLineNumbers w:val="0"/>
              <w:spacing w:before="0" w:beforeAutospacing="0" w:after="0" w:afterAutospacing="0"/>
              <w:ind w:left="0" w:right="0"/>
              <w:jc w:val="both"/>
              <w:rPr>
                <w:rFonts w:hint="eastAsia" w:eastAsia="宋体"/>
                <w:color w:val="auto"/>
                <w:lang w:eastAsia="zh-CN"/>
              </w:rPr>
            </w:pPr>
            <w:r>
              <w:rPr>
                <w:rFonts w:hint="eastAsia"/>
                <w:color w:val="auto"/>
              </w:rPr>
              <w:t>本项目</w:t>
            </w:r>
            <w:r>
              <w:rPr>
                <w:rFonts w:hint="eastAsia"/>
                <w:color w:val="auto"/>
                <w:lang w:eastAsia="zh-CN"/>
              </w:rPr>
              <w:t>依托附近村屯，</w:t>
            </w:r>
            <w:r>
              <w:rPr>
                <w:rFonts w:hint="eastAsia"/>
                <w:color w:val="auto"/>
              </w:rPr>
              <w:t>设置了</w:t>
            </w:r>
            <w:r>
              <w:rPr>
                <w:rFonts w:hint="eastAsia"/>
                <w:color w:val="auto"/>
                <w:lang w:val="en-US" w:eastAsia="zh-CN"/>
              </w:rPr>
              <w:t>2</w:t>
            </w:r>
            <w:r>
              <w:rPr>
                <w:rFonts w:hint="eastAsia"/>
                <w:color w:val="auto"/>
              </w:rPr>
              <w:t>口地下水监测井，定期进行监测</w:t>
            </w:r>
            <w:r>
              <w:rPr>
                <w:rFonts w:hint="eastAsia"/>
                <w:color w:val="auto"/>
                <w:lang w:eastAsia="zh-CN"/>
              </w:rPr>
              <w:t>。</w:t>
            </w:r>
          </w:p>
        </w:tc>
        <w:tc>
          <w:tcPr>
            <w:tcW w:w="740"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w:t>
            </w:r>
          </w:p>
        </w:tc>
        <w:tc>
          <w:tcPr>
            <w:tcW w:w="4458"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在钻井和井下作业过程中，鼓励污油、污水进入生产流程循环利用，未进入生产流程的污油、污水应采用固液分离、废水处理一体化装置等处理后达标外排。</w:t>
            </w:r>
          </w:p>
        </w:tc>
        <w:tc>
          <w:tcPr>
            <w:tcW w:w="3320" w:type="dxa"/>
            <w:shd w:val="clear" w:color="auto" w:fill="auto"/>
            <w:vAlign w:val="center"/>
          </w:tcPr>
          <w:p>
            <w:pPr>
              <w:keepNext w:val="0"/>
              <w:keepLines w:val="0"/>
              <w:suppressLineNumbers w:val="0"/>
              <w:spacing w:before="0" w:beforeAutospacing="0" w:after="0" w:afterAutospacing="0"/>
              <w:ind w:left="0" w:right="0"/>
              <w:jc w:val="both"/>
              <w:rPr>
                <w:rFonts w:hint="eastAsia" w:eastAsia="宋体"/>
                <w:color w:val="auto"/>
                <w:lang w:eastAsia="zh-CN"/>
              </w:rPr>
            </w:pPr>
            <w:r>
              <w:rPr>
                <w:rFonts w:hint="eastAsia"/>
                <w:iCs/>
                <w:color w:val="auto"/>
              </w:rPr>
              <w:t>本工程钻井过程中产生的钻井污水、</w:t>
            </w:r>
            <w:r>
              <w:rPr>
                <w:rFonts w:hint="eastAsia"/>
                <w:iCs/>
                <w:color w:val="auto"/>
                <w:lang w:val="en-US" w:eastAsia="zh-CN"/>
              </w:rPr>
              <w:t>废弃水基</w:t>
            </w:r>
            <w:r>
              <w:rPr>
                <w:rFonts w:hint="eastAsia"/>
                <w:iCs/>
                <w:color w:val="auto"/>
              </w:rPr>
              <w:t>钻井液、岩屑执行不落地收集处理工艺，废弃泥浆在井场进行固液分离处理。分离出的液相处理达标后循环利用，无法利用的，就近拉运至处理站集中处置。分离出的固相废弃物，就近拉运至大庆市采油八厂废弃钻井液集中处理站统一处理，泥饼统一收集后转运至大庆油田采油八厂指定地点，作为油田铺路、铺垫井场等综合利用。</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p>
        </w:tc>
        <w:tc>
          <w:tcPr>
            <w:tcW w:w="740"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5</w:t>
            </w:r>
          </w:p>
        </w:tc>
        <w:tc>
          <w:tcPr>
            <w:tcW w:w="4458"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3320" w:type="dxa"/>
            <w:shd w:val="clear" w:color="auto" w:fill="auto"/>
            <w:vAlign w:val="center"/>
          </w:tcPr>
          <w:p>
            <w:pPr>
              <w:pStyle w:val="14"/>
              <w:keepNext w:val="0"/>
              <w:keepLines w:val="0"/>
              <w:suppressLineNumbers w:val="0"/>
              <w:spacing w:before="0" w:beforeAutospacing="0" w:after="0" w:afterAutospacing="0"/>
              <w:ind w:left="0" w:right="0"/>
              <w:rPr>
                <w:rFonts w:hint="default"/>
                <w:color w:val="auto"/>
                <w:lang w:val="zh-CN"/>
              </w:rPr>
            </w:pPr>
            <w:r>
              <w:rPr>
                <w:rFonts w:hint="eastAsia"/>
                <w:iCs/>
                <w:color w:val="auto"/>
              </w:rPr>
              <w:t>本项目产生的氢氧化钾包装袋</w:t>
            </w:r>
            <w:r>
              <w:rPr>
                <w:rFonts w:hint="eastAsia" w:hAnsi="宋体"/>
                <w:color w:val="auto"/>
                <w:kern w:val="0"/>
                <w:szCs w:val="21"/>
              </w:rPr>
              <w:t>属于</w:t>
            </w:r>
            <w:r>
              <w:rPr>
                <w:rFonts w:hint="eastAsia"/>
                <w:iCs/>
                <w:color w:val="auto"/>
              </w:rPr>
              <w:t>危险废物</w:t>
            </w:r>
            <w:r>
              <w:rPr>
                <w:rFonts w:hint="eastAsia"/>
                <w:iCs/>
                <w:color w:val="auto"/>
                <w:lang w:eastAsia="zh-CN"/>
              </w:rPr>
              <w:t>，</w:t>
            </w:r>
            <w:r>
              <w:rPr>
                <w:rFonts w:hint="eastAsia"/>
                <w:iCs/>
                <w:color w:val="auto"/>
              </w:rPr>
              <w:t>委托有资质单位处理，</w:t>
            </w:r>
            <w:r>
              <w:rPr>
                <w:rFonts w:hint="eastAsia" w:ascii="宋体" w:cs="宋体"/>
                <w:color w:val="auto"/>
                <w:kern w:val="0"/>
                <w:szCs w:val="21"/>
              </w:rPr>
              <w:t>由于产生量较少，</w:t>
            </w:r>
            <w:r>
              <w:rPr>
                <w:rFonts w:hint="default" w:hAnsi="宋体"/>
                <w:color w:val="auto"/>
                <w:kern w:val="0"/>
                <w:szCs w:val="21"/>
              </w:rPr>
              <w:t>能够及时拉运处理，因此不需要设置危废暂存间</w:t>
            </w:r>
            <w:r>
              <w:rPr>
                <w:rFonts w:hint="eastAsia" w:hAnsi="宋体"/>
                <w:color w:val="auto"/>
                <w:kern w:val="0"/>
                <w:szCs w:val="21"/>
                <w:lang w:eastAsia="zh-CN"/>
              </w:rPr>
              <w:t>，</w:t>
            </w:r>
            <w:r>
              <w:rPr>
                <w:rFonts w:hint="eastAsia"/>
                <w:iCs/>
                <w:color w:val="auto"/>
              </w:rPr>
              <w:t>遵循了减量化、资源化、无害化原则</w:t>
            </w:r>
            <w:r>
              <w:rPr>
                <w:rFonts w:hint="eastAsia"/>
                <w:iCs/>
                <w:color w:val="auto"/>
                <w:lang w:eastAsia="zh-CN"/>
              </w:rPr>
              <w:t>。</w:t>
            </w:r>
          </w:p>
        </w:tc>
        <w:tc>
          <w:tcPr>
            <w:tcW w:w="740"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符合</w:t>
            </w:r>
          </w:p>
        </w:tc>
      </w:tr>
    </w:tbl>
    <w:p>
      <w:pPr>
        <w:rPr>
          <w:color w:val="auto"/>
        </w:rPr>
      </w:pPr>
    </w:p>
    <w:p>
      <w:pPr>
        <w:pStyle w:val="5"/>
        <w:spacing w:before="156" w:after="156"/>
        <w:rPr>
          <w:color w:val="auto"/>
        </w:rPr>
      </w:pPr>
      <w:r>
        <w:rPr>
          <w:rFonts w:hint="eastAsia"/>
          <w:color w:val="auto"/>
        </w:rPr>
        <w:t>“三线一单”控制要求符合性</w:t>
      </w:r>
      <w:r>
        <w:rPr>
          <w:color w:val="auto"/>
        </w:rPr>
        <w:t>分析</w:t>
      </w:r>
    </w:p>
    <w:p>
      <w:pPr>
        <w:pStyle w:val="33"/>
        <w:rPr>
          <w:rFonts w:hint="eastAsia"/>
          <w:color w:val="auto"/>
        </w:rPr>
      </w:pPr>
      <w:r>
        <w:rPr>
          <w:rFonts w:hint="eastAsia"/>
          <w:color w:val="auto"/>
        </w:rPr>
        <w:t>根据《绥化市人民政府关于实施“三线一单”生态环境分区管控的意见》（绥政发[2021]10号），绥化市环境管控单元划分为优先保护单元、重点管控单元和一般管控单元三类。本项目位于</w:t>
      </w:r>
      <w:r>
        <w:rPr>
          <w:rFonts w:hint="eastAsia"/>
          <w:color w:val="auto"/>
          <w:lang w:eastAsia="zh-CN"/>
        </w:rPr>
        <w:t>重点</w:t>
      </w:r>
      <w:r>
        <w:rPr>
          <w:rFonts w:hint="eastAsia"/>
          <w:color w:val="auto"/>
        </w:rPr>
        <w:t>管控单元内（见图1.4-1）。本项目与分区管控要求符合性分析见表1.4-1</w:t>
      </w:r>
      <w:r>
        <w:rPr>
          <w:rFonts w:hint="eastAsia"/>
          <w:color w:val="auto"/>
          <w:lang w:val="en-US" w:eastAsia="zh-CN"/>
        </w:rPr>
        <w:t>0</w:t>
      </w:r>
      <w:r>
        <w:rPr>
          <w:rFonts w:hint="eastAsia"/>
          <w:color w:val="auto"/>
        </w:rPr>
        <w:t>。黑龙江省环境管控单元分布图见</w:t>
      </w:r>
      <w:r>
        <w:rPr>
          <w:color w:val="auto"/>
        </w:rPr>
        <w:t>附图</w:t>
      </w:r>
      <w:r>
        <w:rPr>
          <w:rFonts w:hint="eastAsia"/>
          <w:color w:val="auto"/>
        </w:rPr>
        <w:t>1.4-2。</w:t>
      </w:r>
    </w:p>
    <w:p>
      <w:pPr>
        <w:pStyle w:val="33"/>
        <w:rPr>
          <w:color w:val="auto"/>
        </w:rPr>
      </w:pPr>
      <w:r>
        <w:rPr>
          <w:rFonts w:hint="eastAsia"/>
          <w:color w:val="auto"/>
        </w:rPr>
        <w:t>本工程属于国家能源设施重点建设项目，选址无法避让基本农田，且不属于基本农田禁止开发项目，所以满足上述要求。但是应逐级上报土地管理部门批准，对于永久占地，应纳入省土地利用规划，按有关土地管理部门要求认真执行。对占用的耕地，按照“占多少，垦多少”的原则，由建设单位负责开垦与所占用耕地的数量和质量相当的耕地，如果没有条件开垦，应当按照省的规定缴纳耕地开垦费，专款用于开垦新的耕地，基本农田的耕地恢复由当地政府负责开垦相应数量的耕地，进行耕地保护。</w:t>
      </w:r>
    </w:p>
    <w:p>
      <w:pPr>
        <w:pStyle w:val="7"/>
        <w:bidi w:val="0"/>
        <w:rPr>
          <w:color w:val="auto"/>
        </w:rPr>
      </w:pPr>
      <w:r>
        <w:rPr>
          <w:color w:val="auto"/>
        </w:rPr>
        <w:t>本项目与</w:t>
      </w:r>
      <w:r>
        <w:rPr>
          <w:rFonts w:hint="eastAsia"/>
          <w:color w:val="auto"/>
        </w:rPr>
        <w:t>黑龙江省总体准入要求</w:t>
      </w:r>
      <w:r>
        <w:rPr>
          <w:color w:val="auto"/>
        </w:rPr>
        <w:t>符合性分析</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123"/>
        <w:gridCol w:w="5670"/>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适用范围</w:t>
            </w:r>
          </w:p>
        </w:tc>
        <w:tc>
          <w:tcPr>
            <w:tcW w:w="1123" w:type="dxa"/>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管控维度</w:t>
            </w:r>
          </w:p>
        </w:tc>
        <w:tc>
          <w:tcPr>
            <w:tcW w:w="5670" w:type="dxa"/>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管控要求</w:t>
            </w:r>
          </w:p>
        </w:tc>
        <w:tc>
          <w:tcPr>
            <w:tcW w:w="1382" w:type="dxa"/>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Merge w:val="restart"/>
            <w:vAlign w:val="center"/>
          </w:tcPr>
          <w:p>
            <w:pPr>
              <w:pStyle w:val="72"/>
              <w:keepNext w:val="0"/>
              <w:keepLines w:val="0"/>
              <w:suppressLineNumbers w:val="0"/>
              <w:bidi w:val="0"/>
              <w:spacing w:before="0" w:beforeAutospacing="0" w:afterAutospacing="0"/>
              <w:ind w:left="0" w:right="0"/>
              <w:rPr>
                <w:rFonts w:hint="default"/>
                <w:color w:val="auto"/>
              </w:rPr>
            </w:pPr>
            <w:r>
              <w:rPr>
                <w:rFonts w:hint="eastAsia"/>
                <w:color w:val="auto"/>
                <w:lang w:eastAsia="zh-CN"/>
              </w:rPr>
              <w:t>绥化市</w:t>
            </w:r>
            <w:r>
              <w:rPr>
                <w:rFonts w:hint="default"/>
                <w:color w:val="auto"/>
              </w:rPr>
              <w:t>总体要求</w:t>
            </w:r>
          </w:p>
        </w:tc>
        <w:tc>
          <w:tcPr>
            <w:tcW w:w="1123" w:type="dxa"/>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空间布局约束</w:t>
            </w:r>
          </w:p>
        </w:tc>
        <w:tc>
          <w:tcPr>
            <w:tcW w:w="5670" w:type="dxa"/>
            <w:vAlign w:val="center"/>
          </w:tcPr>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outlineLvl w:val="9"/>
              <w:rPr>
                <w:rFonts w:hint="eastAsia"/>
                <w:color w:val="auto"/>
              </w:rPr>
            </w:pPr>
            <w:r>
              <w:rPr>
                <w:rFonts w:hint="eastAsia"/>
                <w:color w:val="auto"/>
                <w:lang w:val="en-US" w:eastAsia="zh-CN"/>
              </w:rPr>
              <w:t>1、</w:t>
            </w:r>
            <w:r>
              <w:rPr>
                <w:rFonts w:hint="eastAsia"/>
                <w:color w:val="auto"/>
              </w:rPr>
              <w:t>加大黑土地保护；农产品禁止生产区域，禁止种植食用农产品；禁止处理处置不达标的污泥进</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outlineLvl w:val="9"/>
              <w:rPr>
                <w:rFonts w:hint="eastAsia"/>
                <w:color w:val="auto"/>
              </w:rPr>
            </w:pPr>
            <w:r>
              <w:rPr>
                <w:rFonts w:hint="eastAsia"/>
                <w:color w:val="auto"/>
              </w:rPr>
              <w:t>入耕地，取缔非法污泥堆放点。</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outlineLvl w:val="9"/>
              <w:rPr>
                <w:rFonts w:hint="default"/>
                <w:color w:val="auto"/>
              </w:rPr>
            </w:pPr>
            <w:r>
              <w:rPr>
                <w:rFonts w:hint="eastAsia"/>
                <w:color w:val="auto"/>
              </w:rPr>
              <w:t>2严禁以任何名义、任何方式备案产能严重过剩行业的增加产能项目。对电力、钢铁、建材、有色、化工、石油石化、煤炭、印染、造纸、制草、染料、焦化、电镀等行业中，环保、能耗、全、质量等不达标或生产、使用淘汰类产品的企业和产能，要依法依规有序退出。产控“两离”行业产能，严格执行钢铁、水泥等行业产能转换</w:t>
            </w:r>
            <w:r>
              <w:rPr>
                <w:rFonts w:hint="default"/>
                <w:color w:val="auto"/>
              </w:rPr>
              <w:t>。</w:t>
            </w:r>
          </w:p>
        </w:tc>
        <w:tc>
          <w:tcPr>
            <w:tcW w:w="1382" w:type="dxa"/>
            <w:vAlign w:val="center"/>
          </w:tcPr>
          <w:p>
            <w:pPr>
              <w:pStyle w:val="72"/>
              <w:keepNext w:val="0"/>
              <w:keepLines w:val="0"/>
              <w:suppressLineNumbers w:val="0"/>
              <w:bidi w:val="0"/>
              <w:spacing w:before="0" w:beforeAutospacing="0" w:afterAutospacing="0"/>
              <w:ind w:left="0" w:right="0"/>
              <w:rPr>
                <w:rFonts w:hint="eastAsia" w:eastAsia="宋体"/>
                <w:color w:val="auto"/>
                <w:lang w:eastAsia="zh-CN"/>
              </w:rPr>
            </w:pPr>
            <w:r>
              <w:rPr>
                <w:rFonts w:hint="default" w:ascii="Times New Roman" w:hAnsi="宋体" w:eastAsia="宋体" w:cs="Times New Roman"/>
                <w:color w:val="auto"/>
                <w:sz w:val="21"/>
                <w:szCs w:val="21"/>
              </w:rPr>
              <w:t>本项目为</w:t>
            </w:r>
            <w:r>
              <w:rPr>
                <w:rFonts w:hint="eastAsia" w:hAnsi="宋体" w:cs="Times New Roman"/>
                <w:color w:val="auto"/>
                <w:sz w:val="21"/>
                <w:szCs w:val="21"/>
                <w:lang w:eastAsia="zh-CN"/>
              </w:rPr>
              <w:t>升平储气库项目钻井工程，</w:t>
            </w:r>
            <w:r>
              <w:rPr>
                <w:rFonts w:hint="default" w:ascii="Times New Roman" w:hAnsi="宋体" w:eastAsia="宋体" w:cs="Times New Roman"/>
                <w:color w:val="auto"/>
                <w:sz w:val="21"/>
                <w:szCs w:val="21"/>
              </w:rPr>
              <w:t>满足空间布局要求</w:t>
            </w:r>
            <w:r>
              <w:rPr>
                <w:rFonts w:hint="eastAsia" w:hAnsi="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Merge w:val="continue"/>
            <w:vAlign w:val="center"/>
          </w:tcPr>
          <w:p>
            <w:pPr>
              <w:pStyle w:val="72"/>
              <w:keepNext w:val="0"/>
              <w:keepLines w:val="0"/>
              <w:suppressLineNumbers w:val="0"/>
              <w:bidi w:val="0"/>
              <w:spacing w:before="0" w:beforeAutospacing="0" w:afterAutospacing="0"/>
              <w:ind w:left="0" w:right="0"/>
              <w:rPr>
                <w:rFonts w:hint="eastAsia"/>
                <w:color w:val="auto"/>
                <w:lang w:eastAsia="zh-CN"/>
              </w:rPr>
            </w:pPr>
          </w:p>
        </w:tc>
        <w:tc>
          <w:tcPr>
            <w:tcW w:w="1123" w:type="dxa"/>
            <w:vAlign w:val="center"/>
          </w:tcPr>
          <w:p>
            <w:pPr>
              <w:pStyle w:val="72"/>
              <w:keepNext w:val="0"/>
              <w:keepLines w:val="0"/>
              <w:suppressLineNumbers w:val="0"/>
              <w:bidi w:val="0"/>
              <w:spacing w:before="0" w:beforeAutospacing="0" w:afterAutospacing="0"/>
              <w:ind w:left="0" w:right="0"/>
              <w:rPr>
                <w:rFonts w:hint="eastAsia" w:eastAsia="宋体"/>
                <w:color w:val="auto"/>
                <w:lang w:eastAsia="zh-CN"/>
              </w:rPr>
            </w:pPr>
            <w:r>
              <w:rPr>
                <w:rFonts w:hint="eastAsia"/>
                <w:color w:val="auto"/>
                <w:lang w:eastAsia="zh-CN"/>
              </w:rPr>
              <w:t>污染排放管控</w:t>
            </w:r>
          </w:p>
        </w:tc>
        <w:tc>
          <w:tcPr>
            <w:tcW w:w="5670" w:type="dxa"/>
            <w:vAlign w:val="center"/>
          </w:tcPr>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outlineLvl w:val="9"/>
              <w:rPr>
                <w:rFonts w:hint="eastAsia" w:eastAsia="宋体"/>
                <w:color w:val="auto"/>
                <w:lang w:eastAsia="zh-CN"/>
              </w:rPr>
            </w:pPr>
            <w:r>
              <w:rPr>
                <w:rFonts w:hint="eastAsia"/>
                <w:color w:val="auto"/>
              </w:rPr>
              <w:t>1</w:t>
            </w:r>
            <w:r>
              <w:rPr>
                <w:rFonts w:hint="eastAsia"/>
                <w:color w:val="auto"/>
                <w:lang w:eastAsia="zh-CN"/>
              </w:rPr>
              <w:t>、</w:t>
            </w:r>
            <w:r>
              <w:rPr>
                <w:rFonts w:hint="eastAsia"/>
                <w:color w:val="auto"/>
              </w:rPr>
              <w:t>相比于2017年，</w:t>
            </w:r>
            <w:r>
              <w:rPr>
                <w:rFonts w:hint="eastAsia"/>
                <w:color w:val="auto"/>
                <w:lang w:val="en-US" w:eastAsia="zh-CN"/>
              </w:rPr>
              <w:t>2025年和20</w:t>
            </w:r>
            <w:r>
              <w:rPr>
                <w:rFonts w:hint="eastAsia"/>
                <w:color w:val="auto"/>
              </w:rPr>
              <w:t>35年全市大气污染物二氧化税、氮氧化物、一次细颗粒物和</w:t>
            </w:r>
            <w:r>
              <w:rPr>
                <w:rFonts w:hint="eastAsia"/>
                <w:color w:val="auto"/>
                <w:lang w:val="en-US" w:eastAsia="zh-CN"/>
              </w:rPr>
              <w:t>V</w:t>
            </w:r>
            <w:r>
              <w:rPr>
                <w:rFonts w:hint="eastAsia"/>
                <w:color w:val="auto"/>
              </w:rPr>
              <w:t>OCs</w:t>
            </w:r>
            <w:r>
              <w:rPr>
                <w:rFonts w:hint="eastAsia"/>
                <w:color w:val="auto"/>
                <w:lang w:eastAsia="zh-CN"/>
              </w:rPr>
              <w:t>。</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outlineLvl w:val="9"/>
              <w:rPr>
                <w:rFonts w:hint="eastAsia"/>
                <w:color w:val="auto"/>
              </w:rPr>
            </w:pPr>
            <w:r>
              <w:rPr>
                <w:rFonts w:hint="eastAsia"/>
                <w:color w:val="auto"/>
              </w:rPr>
              <w:t>削减比例不低于省政府确定的削减比例。</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outlineLvl w:val="9"/>
              <w:rPr>
                <w:rFonts w:hint="eastAsia"/>
                <w:color w:val="auto"/>
              </w:rPr>
            </w:pPr>
            <w:r>
              <w:rPr>
                <w:rFonts w:hint="eastAsia"/>
                <w:color w:val="auto"/>
              </w:rPr>
              <w:t>2</w:t>
            </w:r>
            <w:r>
              <w:rPr>
                <w:rFonts w:hint="eastAsia"/>
                <w:color w:val="auto"/>
                <w:lang w:eastAsia="zh-CN"/>
              </w:rPr>
              <w:t>、</w:t>
            </w:r>
            <w:r>
              <w:rPr>
                <w:rFonts w:hint="eastAsia"/>
                <w:color w:val="auto"/>
              </w:rPr>
              <w:t>相比于2017年，2由25年和2035年全市水污染物化学需氧量和氨氮削减比例不低于省政府确定</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left"/>
              <w:textAlignment w:val="auto"/>
              <w:outlineLvl w:val="9"/>
              <w:rPr>
                <w:rFonts w:hint="eastAsia"/>
                <w:color w:val="auto"/>
              </w:rPr>
            </w:pPr>
            <w:r>
              <w:rPr>
                <w:rFonts w:hint="eastAsia"/>
                <w:color w:val="auto"/>
              </w:rPr>
              <w:t>的削减比例。</w:t>
            </w:r>
          </w:p>
        </w:tc>
        <w:tc>
          <w:tcPr>
            <w:tcW w:w="1382" w:type="dxa"/>
            <w:vMerge w:val="restart"/>
            <w:vAlign w:val="center"/>
          </w:tcPr>
          <w:p>
            <w:pPr>
              <w:pStyle w:val="72"/>
              <w:keepNext w:val="0"/>
              <w:keepLines w:val="0"/>
              <w:suppressLineNumbers w:val="0"/>
              <w:bidi w:val="0"/>
              <w:spacing w:before="0" w:beforeAutospacing="0" w:afterAutospacing="0"/>
              <w:ind w:left="0" w:right="0"/>
              <w:rPr>
                <w:rFonts w:hint="eastAsia" w:eastAsia="宋体"/>
                <w:color w:val="auto"/>
                <w:lang w:eastAsia="zh-CN"/>
              </w:rPr>
            </w:pPr>
            <w:r>
              <w:rPr>
                <w:rFonts w:hint="default"/>
                <w:color w:val="auto"/>
              </w:rPr>
              <w:t>本项目为</w:t>
            </w:r>
            <w:r>
              <w:rPr>
                <w:rFonts w:hint="eastAsia" w:hAnsi="宋体" w:cs="Times New Roman"/>
                <w:color w:val="auto"/>
                <w:sz w:val="21"/>
                <w:szCs w:val="21"/>
                <w:lang w:eastAsia="zh-CN"/>
              </w:rPr>
              <w:t>升平储气库项目钻井工程</w:t>
            </w:r>
            <w:r>
              <w:rPr>
                <w:rFonts w:hint="default"/>
                <w:color w:val="auto"/>
              </w:rPr>
              <w:t>，不直接排放废水，钻井期不新增总量，满足要求</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dxa"/>
            <w:vMerge w:val="continue"/>
            <w:vAlign w:val="center"/>
          </w:tcPr>
          <w:p>
            <w:pPr>
              <w:pStyle w:val="72"/>
              <w:keepNext w:val="0"/>
              <w:keepLines w:val="0"/>
              <w:suppressLineNumbers w:val="0"/>
              <w:bidi w:val="0"/>
              <w:spacing w:before="0" w:beforeAutospacing="0" w:afterAutospacing="0"/>
              <w:ind w:left="0" w:right="0"/>
              <w:rPr>
                <w:rFonts w:hint="default"/>
                <w:color w:val="auto"/>
              </w:rPr>
            </w:pPr>
          </w:p>
        </w:tc>
        <w:tc>
          <w:tcPr>
            <w:tcW w:w="1123" w:type="dxa"/>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资源利用效率要求</w:t>
            </w:r>
          </w:p>
        </w:tc>
        <w:tc>
          <w:tcPr>
            <w:tcW w:w="5670" w:type="dxa"/>
            <w:vAlign w:val="center"/>
          </w:tcPr>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color w:val="auto"/>
                <w:lang w:val="en-US" w:eastAsia="zh-CN"/>
              </w:rPr>
            </w:pPr>
            <w:r>
              <w:rPr>
                <w:rFonts w:hint="eastAsia"/>
                <w:color w:val="auto"/>
                <w:lang w:val="en-US" w:eastAsia="zh-CN"/>
              </w:rPr>
              <w:t>1、水资源：全市2030年用水总量控制指标不高于省政府确定的指标。</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color w:val="auto"/>
                <w:lang w:val="en-US" w:eastAsia="zh-CN"/>
              </w:rPr>
            </w:pPr>
            <w:r>
              <w:rPr>
                <w:rFonts w:hint="eastAsia"/>
                <w:color w:val="auto"/>
                <w:lang w:val="en-US" w:eastAsia="zh-CN"/>
              </w:rPr>
              <w:t>2、土地资源：</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color w:val="auto"/>
                <w:lang w:val="en-US" w:eastAsia="zh-CN"/>
              </w:rPr>
            </w:pPr>
            <w:r>
              <w:rPr>
                <w:rFonts w:hint="eastAsia"/>
                <w:color w:val="auto"/>
                <w:lang w:val="en-US" w:eastAsia="zh-CN"/>
              </w:rPr>
              <w:t>全市约25年及2035年建设屑地开发上线不高于省政府确定的指标，耕地资源保护下线不低于省政府确定的指标。</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eastAsia"/>
                <w:color w:val="auto"/>
                <w:lang w:val="en-US" w:eastAsia="zh-CN"/>
              </w:rPr>
            </w:pPr>
            <w:r>
              <w:rPr>
                <w:rFonts w:hint="eastAsia"/>
                <w:color w:val="auto"/>
                <w:lang w:val="en-US" w:eastAsia="zh-CN"/>
              </w:rPr>
              <w:t>3.能源：</w:t>
            </w:r>
          </w:p>
          <w:p>
            <w:pPr>
              <w:pStyle w:val="7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9"/>
              <w:rPr>
                <w:rFonts w:hint="default"/>
                <w:color w:val="auto"/>
              </w:rPr>
            </w:pPr>
            <w:r>
              <w:rPr>
                <w:rFonts w:hint="eastAsia"/>
                <w:color w:val="auto"/>
                <w:lang w:val="en-US" w:eastAsia="zh-CN"/>
              </w:rPr>
              <w:t>2025年和约35年，全市煤炭消费上线不高于省政府确定的指标。</w:t>
            </w:r>
          </w:p>
        </w:tc>
        <w:tc>
          <w:tcPr>
            <w:tcW w:w="1382" w:type="dxa"/>
            <w:vMerge w:val="continue"/>
            <w:vAlign w:val="center"/>
          </w:tcPr>
          <w:p>
            <w:pPr>
              <w:pStyle w:val="72"/>
              <w:keepNext w:val="0"/>
              <w:keepLines w:val="0"/>
              <w:suppressLineNumbers w:val="0"/>
              <w:bidi w:val="0"/>
              <w:spacing w:before="0" w:beforeAutospacing="0" w:afterAutospacing="0"/>
              <w:ind w:left="0" w:right="0"/>
              <w:rPr>
                <w:rFonts w:hint="default"/>
                <w:color w:val="auto"/>
              </w:rPr>
            </w:pPr>
          </w:p>
        </w:tc>
      </w:tr>
    </w:tbl>
    <w:p>
      <w:pPr>
        <w:pStyle w:val="7"/>
        <w:bidi w:val="0"/>
        <w:jc w:val="center"/>
        <w:rPr>
          <w:rFonts w:hint="eastAsia"/>
          <w:color w:val="auto"/>
        </w:rPr>
      </w:pPr>
      <w:r>
        <w:rPr>
          <w:color w:val="auto"/>
        </w:rPr>
        <w:t>本项目与</w:t>
      </w:r>
      <w:r>
        <w:rPr>
          <w:rFonts w:hint="eastAsia"/>
          <w:color w:val="auto"/>
          <w:lang w:eastAsia="zh-CN"/>
        </w:rPr>
        <w:t>安达市</w:t>
      </w:r>
      <w:r>
        <w:rPr>
          <w:rFonts w:hint="eastAsia"/>
          <w:color w:val="auto"/>
        </w:rPr>
        <w:t>管控要求符合性分析</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709"/>
        <w:gridCol w:w="4819"/>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01" w:type="dxa"/>
            <w:tcBorders>
              <w:top w:val="single" w:color="auto" w:sz="4" w:space="0"/>
              <w:left w:val="single" w:color="auto" w:sz="4" w:space="0"/>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环境管控单元名称</w:t>
            </w:r>
          </w:p>
        </w:tc>
        <w:tc>
          <w:tcPr>
            <w:tcW w:w="850" w:type="dxa"/>
            <w:tcBorders>
              <w:top w:val="single" w:color="auto" w:sz="4" w:space="0"/>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管控单元类别</w:t>
            </w:r>
          </w:p>
        </w:tc>
        <w:tc>
          <w:tcPr>
            <w:tcW w:w="5528" w:type="dxa"/>
            <w:gridSpan w:val="2"/>
            <w:tcBorders>
              <w:top w:val="single" w:color="auto" w:sz="4" w:space="0"/>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管控要求</w:t>
            </w:r>
          </w:p>
        </w:tc>
        <w:tc>
          <w:tcPr>
            <w:tcW w:w="1808" w:type="dxa"/>
            <w:tcBorders>
              <w:top w:val="single" w:color="auto" w:sz="4" w:space="0"/>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仿宋_GB2312" w:eastAsia="仿宋_GB2312"/>
                <w:color w:val="auto"/>
                <w:szCs w:val="21"/>
              </w:rPr>
              <w:t>安达市生态保护红线区</w:t>
            </w:r>
          </w:p>
        </w:tc>
        <w:tc>
          <w:tcPr>
            <w:tcW w:w="85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eastAsia" w:ascii="仿宋_GB2312" w:hAnsi="宋体" w:eastAsia="仿宋_GB2312"/>
                <w:color w:val="auto"/>
                <w:szCs w:val="21"/>
              </w:rPr>
              <w:t>优先保护单元</w:t>
            </w:r>
          </w:p>
        </w:tc>
        <w:tc>
          <w:tcPr>
            <w:tcW w:w="709" w:type="dxa"/>
            <w:tcBorders>
              <w:top w:val="single" w:color="auto" w:sz="4" w:space="0"/>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空间布局约束</w:t>
            </w:r>
          </w:p>
        </w:tc>
        <w:tc>
          <w:tcPr>
            <w:tcW w:w="4819" w:type="dxa"/>
            <w:tcBorders>
              <w:top w:val="single" w:color="auto" w:sz="4" w:space="0"/>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jc w:val="left"/>
              <w:rPr>
                <w:rFonts w:hint="eastAsia"/>
                <w:color w:val="auto"/>
              </w:rPr>
            </w:pPr>
            <w:r>
              <w:rPr>
                <w:rFonts w:hint="eastAsia"/>
                <w:color w:val="auto"/>
              </w:rPr>
              <w:t>1.区域执行本清单全省准入要求中“2.1总体要求”。</w:t>
            </w:r>
          </w:p>
          <w:p>
            <w:pPr>
              <w:pStyle w:val="72"/>
              <w:keepNext w:val="0"/>
              <w:keepLines w:val="0"/>
              <w:suppressLineNumbers w:val="0"/>
              <w:bidi w:val="0"/>
              <w:spacing w:before="0" w:beforeAutospacing="0" w:afterAutospacing="0"/>
              <w:ind w:left="0" w:right="0"/>
              <w:jc w:val="left"/>
              <w:rPr>
                <w:rFonts w:hint="eastAsia"/>
                <w:color w:val="auto"/>
              </w:rPr>
            </w:pPr>
            <w:r>
              <w:rPr>
                <w:rFonts w:hint="eastAsia"/>
                <w:color w:val="auto"/>
              </w:rPr>
              <w:t>2.水源涵养功能极重要区同时执行本清单全省准入要求中“2.2水源涵养生态保护红线区”准入要求。</w:t>
            </w:r>
          </w:p>
          <w:p>
            <w:pPr>
              <w:pStyle w:val="72"/>
              <w:keepNext w:val="0"/>
              <w:keepLines w:val="0"/>
              <w:suppressLineNumbers w:val="0"/>
              <w:bidi w:val="0"/>
              <w:spacing w:before="0" w:beforeAutospacing="0" w:afterAutospacing="0"/>
              <w:ind w:left="0" w:right="0"/>
              <w:jc w:val="left"/>
              <w:rPr>
                <w:rFonts w:hint="eastAsia"/>
                <w:color w:val="auto"/>
              </w:rPr>
            </w:pPr>
            <w:r>
              <w:rPr>
                <w:rFonts w:hint="eastAsia"/>
                <w:color w:val="auto"/>
              </w:rPr>
              <w:t>3.土地沙化极敏感区同时执行本清单全省准入要求中“2.6土地沙化生态保护红线区”准入要求。</w:t>
            </w:r>
          </w:p>
          <w:p>
            <w:pPr>
              <w:pStyle w:val="72"/>
              <w:keepNext w:val="0"/>
              <w:keepLines w:val="0"/>
              <w:suppressLineNumbers w:val="0"/>
              <w:bidi w:val="0"/>
              <w:spacing w:before="0" w:beforeAutospacing="0" w:afterAutospacing="0"/>
              <w:ind w:left="0" w:right="0"/>
              <w:jc w:val="left"/>
              <w:rPr>
                <w:rFonts w:hint="eastAsia"/>
                <w:color w:val="auto"/>
              </w:rPr>
            </w:pPr>
            <w:r>
              <w:rPr>
                <w:rFonts w:hint="eastAsia"/>
                <w:color w:val="auto"/>
              </w:rPr>
              <w:t>4.黑龙江东湖湿地省级自然保护区同时执行本清单全省准入要求中“4.1自然保护区”准入要求。</w:t>
            </w:r>
          </w:p>
          <w:p>
            <w:pPr>
              <w:pStyle w:val="72"/>
              <w:keepNext w:val="0"/>
              <w:keepLines w:val="0"/>
              <w:suppressLineNumbers w:val="0"/>
              <w:bidi w:val="0"/>
              <w:spacing w:before="0" w:beforeAutospacing="0" w:afterAutospacing="0"/>
              <w:ind w:left="0" w:right="0"/>
              <w:jc w:val="left"/>
              <w:rPr>
                <w:rFonts w:hint="eastAsia"/>
                <w:color w:val="auto"/>
              </w:rPr>
            </w:pPr>
            <w:r>
              <w:rPr>
                <w:rFonts w:hint="eastAsia"/>
                <w:color w:val="auto"/>
              </w:rPr>
              <w:t>5.安达古大湖国家湿地公园同时执行本清单全省准入要求中“4.6湿地公园”准入要求。</w:t>
            </w:r>
          </w:p>
        </w:tc>
        <w:tc>
          <w:tcPr>
            <w:tcW w:w="1808" w:type="dxa"/>
            <w:tcBorders>
              <w:top w:val="single" w:color="auto" w:sz="4" w:space="0"/>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eastAsia" w:eastAsia="宋体"/>
                <w:color w:val="auto"/>
                <w:lang w:eastAsia="zh-CN"/>
              </w:rPr>
            </w:pPr>
            <w:r>
              <w:rPr>
                <w:rFonts w:hint="default"/>
                <w:color w:val="auto"/>
              </w:rPr>
              <w:t>本</w:t>
            </w:r>
            <w:r>
              <w:rPr>
                <w:rFonts w:hint="eastAsia"/>
                <w:color w:val="auto"/>
              </w:rPr>
              <w:t>次拟钻井部分</w:t>
            </w:r>
            <w:r>
              <w:rPr>
                <w:rFonts w:hint="default"/>
                <w:color w:val="auto"/>
              </w:rPr>
              <w:t>位于黑龙江省</w:t>
            </w:r>
            <w:r>
              <w:rPr>
                <w:rFonts w:hint="eastAsia"/>
                <w:color w:val="auto"/>
                <w:lang w:eastAsia="zh-CN"/>
              </w:rPr>
              <w:t>安达</w:t>
            </w:r>
            <w:r>
              <w:rPr>
                <w:rFonts w:hint="default"/>
                <w:color w:val="auto"/>
              </w:rPr>
              <w:t>境内，不涉及管控要求所列的限制开发区、依法保护的生态空间、一般生态空间内的法定禁止开发区、水源涵养功能极重要区、土地沙化敏感区等生态保护红线区</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101" w:type="dxa"/>
            <w:vMerge w:val="restart"/>
            <w:tcBorders>
              <w:top w:val="single" w:color="auto" w:sz="4" w:space="0"/>
              <w:left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eastAsia"/>
                <w:color w:val="auto"/>
              </w:rPr>
            </w:pPr>
            <w:r>
              <w:rPr>
                <w:rFonts w:hint="eastAsia"/>
                <w:color w:val="auto"/>
              </w:rPr>
              <w:t>安达市</w:t>
            </w:r>
          </w:p>
          <w:p>
            <w:pPr>
              <w:pStyle w:val="72"/>
              <w:keepNext w:val="0"/>
              <w:keepLines w:val="0"/>
              <w:suppressLineNumbers w:val="0"/>
              <w:bidi w:val="0"/>
              <w:spacing w:before="0" w:beforeAutospacing="0" w:afterAutospacing="0"/>
              <w:ind w:left="0" w:right="0"/>
              <w:rPr>
                <w:rFonts w:hint="default"/>
                <w:color w:val="auto"/>
              </w:rPr>
            </w:pPr>
            <w:r>
              <w:rPr>
                <w:rFonts w:hint="eastAsia"/>
                <w:color w:val="auto"/>
              </w:rPr>
              <w:t>城镇空间</w:t>
            </w:r>
          </w:p>
        </w:tc>
        <w:tc>
          <w:tcPr>
            <w:tcW w:w="850" w:type="dxa"/>
            <w:vMerge w:val="restart"/>
            <w:tcBorders>
              <w:top w:val="single" w:color="auto" w:sz="4" w:space="0"/>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eastAsia"/>
                <w:color w:val="auto"/>
              </w:rPr>
              <w:t>重点管控单元</w:t>
            </w:r>
          </w:p>
        </w:tc>
        <w:tc>
          <w:tcPr>
            <w:tcW w:w="7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eastAsia" w:ascii="仿宋_GB2312" w:hAnsi="宋体" w:eastAsia="仿宋_GB2312"/>
                <w:color w:val="auto"/>
                <w:szCs w:val="21"/>
              </w:rPr>
              <w:t>空间布局约束</w:t>
            </w:r>
          </w:p>
        </w:tc>
        <w:tc>
          <w:tcPr>
            <w:tcW w:w="4819" w:type="dxa"/>
            <w:tcBorders>
              <w:top w:val="single" w:color="auto" w:sz="4" w:space="0"/>
              <w:left w:val="nil"/>
              <w:right w:val="single" w:color="auto" w:sz="4" w:space="0"/>
            </w:tcBorders>
            <w:vAlign w:val="top"/>
          </w:tcPr>
          <w:p>
            <w:pPr>
              <w:pStyle w:val="78"/>
              <w:keepNext w:val="0"/>
              <w:keepLines w:val="0"/>
              <w:suppressLineNumbers w:val="0"/>
              <w:tabs>
                <w:tab w:val="left" w:pos="265"/>
              </w:tabs>
              <w:spacing w:before="1" w:beforeAutospacing="0" w:after="0" w:afterAutospacing="0"/>
              <w:ind w:left="0" w:right="96"/>
              <w:jc w:val="both"/>
              <w:rPr>
                <w:rFonts w:hint="default"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1.执行本清单</w:t>
            </w:r>
            <w:r>
              <w:rPr>
                <w:rFonts w:hint="eastAsia" w:ascii="仿宋_GB2312" w:hAnsi="仿宋_GB2312" w:eastAsia="仿宋_GB2312" w:cs="仿宋_GB2312"/>
                <w:bCs/>
                <w:color w:val="auto"/>
                <w:sz w:val="21"/>
                <w:szCs w:val="21"/>
              </w:rPr>
              <w:t>全省准入要求</w:t>
            </w:r>
            <w:r>
              <w:rPr>
                <w:rFonts w:hint="eastAsia" w:ascii="仿宋_GB2312" w:hAnsi="仿宋_GB2312" w:eastAsia="仿宋_GB2312" w:cs="仿宋_GB2312"/>
                <w:color w:val="auto"/>
                <w:sz w:val="21"/>
                <w:szCs w:val="21"/>
              </w:rPr>
              <w:t>中</w:t>
            </w:r>
            <w:r>
              <w:rPr>
                <w:rFonts w:hint="eastAsia" w:ascii="仿宋_GB2312" w:hAnsi="仿宋_GB2312" w:eastAsia="仿宋_GB2312" w:cs="仿宋_GB2312"/>
                <w:b/>
                <w:bCs/>
                <w:color w:val="auto"/>
                <w:sz w:val="21"/>
                <w:szCs w:val="21"/>
              </w:rPr>
              <w:t>“5.2城镇生活空间重点管控单元”</w:t>
            </w:r>
            <w:r>
              <w:rPr>
                <w:rFonts w:hint="eastAsia" w:ascii="仿宋_GB2312" w:hAnsi="仿宋_GB2312" w:eastAsia="仿宋_GB2312" w:cs="仿宋_GB2312"/>
                <w:color w:val="auto"/>
                <w:sz w:val="21"/>
                <w:szCs w:val="21"/>
              </w:rPr>
              <w:t>准入要求。</w:t>
            </w:r>
          </w:p>
          <w:p>
            <w:pPr>
              <w:pStyle w:val="78"/>
              <w:keepNext w:val="0"/>
              <w:keepLines w:val="0"/>
              <w:suppressLineNumbers w:val="0"/>
              <w:tabs>
                <w:tab w:val="left" w:pos="265"/>
              </w:tabs>
              <w:spacing w:before="1" w:beforeAutospacing="0" w:after="0" w:afterAutospacing="0"/>
              <w:ind w:left="0" w:right="96" w:rightChars="0"/>
              <w:jc w:val="both"/>
              <w:rPr>
                <w:rFonts w:hint="default"/>
                <w:color w:val="auto"/>
              </w:rPr>
            </w:pPr>
            <w:r>
              <w:rPr>
                <w:rFonts w:hint="eastAsia" w:ascii="仿宋_GB2312" w:hAnsi="仿宋_GB2312" w:eastAsia="仿宋_GB2312" w:cs="仿宋_GB2312"/>
                <w:bCs/>
                <w:color w:val="auto"/>
                <w:sz w:val="21"/>
                <w:szCs w:val="21"/>
              </w:rPr>
              <w:t>2.水环境农业污染重点管控区同时执行本清单全省准入要求中</w:t>
            </w:r>
            <w:r>
              <w:rPr>
                <w:rFonts w:hint="eastAsia" w:ascii="仿宋_GB2312" w:hAnsi="仿宋_GB2312" w:eastAsia="仿宋_GB2312" w:cs="仿宋_GB2312"/>
                <w:b/>
                <w:bCs/>
                <w:color w:val="auto"/>
                <w:sz w:val="21"/>
                <w:szCs w:val="21"/>
              </w:rPr>
              <w:t>“5.5水环境农业污染重点管控区”</w:t>
            </w:r>
            <w:r>
              <w:rPr>
                <w:rFonts w:hint="eastAsia" w:ascii="仿宋_GB2312" w:hAnsi="仿宋_GB2312" w:eastAsia="仿宋_GB2312" w:cs="仿宋_GB2312"/>
                <w:bCs/>
                <w:color w:val="auto"/>
                <w:sz w:val="21"/>
                <w:szCs w:val="21"/>
              </w:rPr>
              <w:t>准入要求。</w:t>
            </w:r>
          </w:p>
        </w:tc>
        <w:tc>
          <w:tcPr>
            <w:tcW w:w="1808" w:type="dxa"/>
            <w:vMerge w:val="restart"/>
            <w:tcBorders>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ascii="Times New Roman" w:hAnsi="宋体" w:eastAsia="宋体" w:cs="Times New Roman"/>
                <w:color w:val="auto"/>
                <w:sz w:val="21"/>
                <w:szCs w:val="21"/>
              </w:rPr>
              <w:t>本项目为</w:t>
            </w:r>
            <w:r>
              <w:rPr>
                <w:rFonts w:hint="eastAsia" w:hAnsi="宋体" w:cs="Times New Roman"/>
                <w:color w:val="auto"/>
                <w:sz w:val="21"/>
                <w:szCs w:val="21"/>
                <w:lang w:eastAsia="zh-CN"/>
              </w:rPr>
              <w:t>升平储气库项目钻井工程</w:t>
            </w:r>
            <w:r>
              <w:rPr>
                <w:rFonts w:hint="default" w:ascii="Times New Roman" w:hAnsi="宋体" w:eastAsia="宋体" w:cs="Times New Roman"/>
                <w:color w:val="auto"/>
                <w:sz w:val="21"/>
                <w:szCs w:val="21"/>
              </w:rPr>
              <w:t>，不直接排放废水，钻井期不新增总量，满足要求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101" w:type="dxa"/>
            <w:vMerge w:val="continue"/>
            <w:tcBorders>
              <w:left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850" w:type="dxa"/>
            <w:vMerge w:val="continue"/>
            <w:tcBorders>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7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eastAsia" w:ascii="仿宋_GB2312" w:hAnsi="宋体" w:eastAsia="仿宋_GB2312"/>
                <w:color w:val="auto"/>
                <w:szCs w:val="21"/>
              </w:rPr>
              <w:t>污染物排放管控</w:t>
            </w:r>
          </w:p>
        </w:tc>
        <w:tc>
          <w:tcPr>
            <w:tcW w:w="4819" w:type="dxa"/>
            <w:tcBorders>
              <w:left w:val="nil"/>
              <w:right w:val="single" w:color="auto" w:sz="4" w:space="0"/>
            </w:tcBorders>
            <w:vAlign w:val="top"/>
          </w:tcPr>
          <w:p>
            <w:pPr>
              <w:keepNext w:val="0"/>
              <w:keepLines w:val="0"/>
              <w:suppressLineNumbers w:val="0"/>
              <w:spacing w:before="0" w:beforeAutospacing="0" w:after="0" w:afterAutospacing="0"/>
              <w:ind w:left="0" w:right="0"/>
              <w:rPr>
                <w:rFonts w:hint="default" w:ascii="仿宋_GB2312" w:hAnsi="仿宋_GB2312" w:eastAsia="仿宋_GB2312" w:cs="仿宋_GB2312"/>
                <w:color w:val="auto"/>
                <w:szCs w:val="21"/>
              </w:rPr>
            </w:pPr>
            <w:r>
              <w:rPr>
                <w:rFonts w:hint="eastAsia" w:ascii="仿宋_GB2312" w:hAnsi="仿宋_GB2312" w:eastAsia="仿宋_GB2312" w:cs="仿宋_GB2312"/>
                <w:color w:val="auto"/>
                <w:szCs w:val="21"/>
              </w:rPr>
              <w:t>1.区域内</w:t>
            </w:r>
            <w:r>
              <w:rPr>
                <w:rFonts w:hint="eastAsia" w:ascii="仿宋_GB2312" w:eastAsia="仿宋_GB2312"/>
                <w:color w:val="auto"/>
                <w:szCs w:val="21"/>
              </w:rPr>
              <w:t>新建、</w:t>
            </w:r>
            <w:r>
              <w:rPr>
                <w:rFonts w:hint="eastAsia" w:ascii="仿宋_GB2312" w:eastAsia="仿宋_GB2312"/>
                <w:color w:val="auto"/>
                <w:szCs w:val="21"/>
                <w:lang w:eastAsia="zh-CN"/>
              </w:rPr>
              <w:t>新建</w:t>
            </w:r>
            <w:r>
              <w:rPr>
                <w:rFonts w:hint="eastAsia" w:ascii="仿宋_GB2312" w:eastAsia="仿宋_GB2312"/>
                <w:color w:val="auto"/>
                <w:szCs w:val="21"/>
              </w:rPr>
              <w:t>项目废气污染物二氧化硫、氮氧化物、细颗粒物和VOCs排放总量应等量置换。</w:t>
            </w:r>
          </w:p>
          <w:p>
            <w:pPr>
              <w:keepNext w:val="0"/>
              <w:keepLines w:val="0"/>
              <w:suppressLineNumbers w:val="0"/>
              <w:spacing w:before="0" w:beforeAutospacing="0" w:after="0" w:afterAutospacing="0"/>
              <w:ind w:left="0" w:right="0"/>
              <w:rPr>
                <w:rFonts w:hint="default" w:ascii="仿宋_GB2312" w:hAnsi="仿宋_GB2312" w:eastAsia="仿宋_GB2312" w:cs="仿宋_GB2312"/>
                <w:color w:val="auto"/>
                <w:szCs w:val="21"/>
              </w:rPr>
            </w:pPr>
            <w:r>
              <w:rPr>
                <w:rFonts w:hint="eastAsia" w:ascii="仿宋_GB2312" w:hAnsi="仿宋_GB2312" w:eastAsia="仿宋_GB2312" w:cs="仿宋_GB2312"/>
                <w:color w:val="auto"/>
                <w:szCs w:val="21"/>
              </w:rPr>
              <w:t>2.执行本清单</w:t>
            </w:r>
            <w:r>
              <w:rPr>
                <w:rFonts w:hint="eastAsia" w:ascii="仿宋_GB2312" w:hAnsi="仿宋_GB2312" w:eastAsia="仿宋_GB2312" w:cs="仿宋_GB2312"/>
                <w:bCs/>
                <w:color w:val="auto"/>
                <w:szCs w:val="21"/>
              </w:rPr>
              <w:t>全省准入要求中</w:t>
            </w:r>
            <w:r>
              <w:rPr>
                <w:rFonts w:hint="eastAsia" w:ascii="仿宋_GB2312" w:hAnsi="仿宋_GB2312" w:eastAsia="仿宋_GB2312" w:cs="仿宋_GB2312"/>
                <w:b/>
                <w:bCs/>
                <w:color w:val="auto"/>
                <w:szCs w:val="21"/>
              </w:rPr>
              <w:t>“5.2城镇生活空间重点管控单元”</w:t>
            </w:r>
            <w:r>
              <w:rPr>
                <w:rFonts w:hint="eastAsia" w:ascii="仿宋_GB2312" w:hAnsi="仿宋_GB2312" w:eastAsia="仿宋_GB2312" w:cs="仿宋_GB2312"/>
                <w:color w:val="auto"/>
                <w:szCs w:val="21"/>
              </w:rPr>
              <w:t>准入要求。</w:t>
            </w:r>
          </w:p>
          <w:p>
            <w:pPr>
              <w:pStyle w:val="16"/>
              <w:keepNext w:val="0"/>
              <w:keepLines w:val="0"/>
              <w:suppressLineNumbers w:val="0"/>
              <w:spacing w:before="0" w:beforeAutospacing="0" w:afterAutospacing="0"/>
              <w:ind w:left="0" w:right="0"/>
              <w:rPr>
                <w:rFonts w:hint="default"/>
                <w:color w:val="auto"/>
              </w:rPr>
            </w:pPr>
            <w:r>
              <w:rPr>
                <w:rFonts w:hint="eastAsia" w:ascii="仿宋_GB2312" w:hAnsi="仿宋_GB2312" w:eastAsia="仿宋_GB2312" w:cs="仿宋_GB2312"/>
                <w:bCs/>
                <w:color w:val="auto"/>
                <w:sz w:val="21"/>
                <w:szCs w:val="21"/>
              </w:rPr>
              <w:t>3</w:t>
            </w:r>
            <w:r>
              <w:rPr>
                <w:rFonts w:hint="eastAsia" w:ascii="仿宋_GB2312" w:hAnsi="仿宋_GB2312" w:eastAsia="仿宋_GB2312" w:cs="仿宋_GB2312"/>
                <w:bCs/>
                <w:color w:val="auto"/>
                <w:kern w:val="0"/>
                <w:sz w:val="21"/>
                <w:szCs w:val="21"/>
              </w:rPr>
              <w:t>.水环境农业污染重点管控区同时执行本清单全省准入要求中</w:t>
            </w:r>
            <w:r>
              <w:rPr>
                <w:rFonts w:hint="eastAsia" w:ascii="仿宋_GB2312" w:hAnsi="仿宋_GB2312" w:eastAsia="仿宋_GB2312" w:cs="仿宋_GB2312"/>
                <w:b/>
                <w:bCs/>
                <w:color w:val="auto"/>
                <w:kern w:val="0"/>
                <w:sz w:val="21"/>
                <w:szCs w:val="21"/>
              </w:rPr>
              <w:t>“5.5水环境农业污染重点管控区”</w:t>
            </w:r>
            <w:r>
              <w:rPr>
                <w:rFonts w:hint="eastAsia" w:ascii="仿宋_GB2312" w:hAnsi="仿宋_GB2312" w:eastAsia="仿宋_GB2312" w:cs="仿宋_GB2312"/>
                <w:bCs/>
                <w:color w:val="auto"/>
                <w:kern w:val="0"/>
                <w:sz w:val="21"/>
                <w:szCs w:val="21"/>
              </w:rPr>
              <w:t>准入要求。</w:t>
            </w:r>
          </w:p>
        </w:tc>
        <w:tc>
          <w:tcPr>
            <w:tcW w:w="1808" w:type="dxa"/>
            <w:vMerge w:val="continue"/>
            <w:tcBorders>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101" w:type="dxa"/>
            <w:vMerge w:val="continue"/>
            <w:tcBorders>
              <w:left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850" w:type="dxa"/>
            <w:vMerge w:val="continue"/>
            <w:tcBorders>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7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eastAsia" w:ascii="仿宋_GB2312" w:hAnsi="仿宋_GB2312" w:eastAsia="仿宋_GB2312" w:cs="仿宋_GB2312"/>
                <w:color w:val="auto"/>
                <w:spacing w:val="-3"/>
                <w:szCs w:val="21"/>
              </w:rPr>
              <w:t>环境风险防控</w:t>
            </w:r>
          </w:p>
        </w:tc>
        <w:tc>
          <w:tcPr>
            <w:tcW w:w="4819" w:type="dxa"/>
            <w:tcBorders>
              <w:left w:val="nil"/>
              <w:right w:val="single" w:color="auto" w:sz="4" w:space="0"/>
            </w:tcBorders>
            <w:vAlign w:val="top"/>
          </w:tcPr>
          <w:p>
            <w:pPr>
              <w:keepNext w:val="0"/>
              <w:keepLines w:val="0"/>
              <w:suppressLineNumbers w:val="0"/>
              <w:spacing w:before="0" w:beforeAutospacing="0" w:after="0" w:afterAutospacing="0"/>
              <w:ind w:left="0" w:right="0"/>
              <w:rPr>
                <w:rFonts w:hint="default"/>
                <w:color w:val="auto"/>
              </w:rPr>
            </w:pPr>
            <w:r>
              <w:rPr>
                <w:rFonts w:hint="eastAsia" w:ascii="仿宋_GB2312" w:hAnsi="仿宋_GB2312" w:eastAsia="仿宋_GB2312" w:cs="仿宋_GB2312"/>
                <w:color w:val="auto"/>
                <w:szCs w:val="21"/>
              </w:rPr>
              <w:t>执行本清单</w:t>
            </w:r>
            <w:r>
              <w:rPr>
                <w:rFonts w:hint="eastAsia" w:ascii="仿宋_GB2312" w:hAnsi="仿宋_GB2312" w:eastAsia="仿宋_GB2312" w:cs="仿宋_GB2312"/>
                <w:bCs/>
                <w:color w:val="auto"/>
                <w:szCs w:val="21"/>
              </w:rPr>
              <w:t>全省准入要求</w:t>
            </w:r>
            <w:r>
              <w:rPr>
                <w:rFonts w:hint="eastAsia" w:ascii="仿宋_GB2312" w:hAnsi="仿宋_GB2312" w:eastAsia="仿宋_GB2312" w:cs="仿宋_GB2312"/>
                <w:color w:val="auto"/>
                <w:szCs w:val="21"/>
              </w:rPr>
              <w:t>中</w:t>
            </w:r>
            <w:r>
              <w:rPr>
                <w:rFonts w:hint="eastAsia" w:ascii="仿宋_GB2312" w:hAnsi="仿宋_GB2312" w:eastAsia="仿宋_GB2312" w:cs="仿宋_GB2312"/>
                <w:b/>
                <w:bCs/>
                <w:color w:val="auto"/>
                <w:szCs w:val="21"/>
              </w:rPr>
              <w:t>“5.2城镇生活空间重点管控单元”</w:t>
            </w:r>
            <w:r>
              <w:rPr>
                <w:rFonts w:hint="eastAsia" w:ascii="仿宋_GB2312" w:hAnsi="仿宋_GB2312" w:eastAsia="仿宋_GB2312" w:cs="仿宋_GB2312"/>
                <w:color w:val="auto"/>
                <w:szCs w:val="21"/>
              </w:rPr>
              <w:t>准入要求。</w:t>
            </w:r>
          </w:p>
        </w:tc>
        <w:tc>
          <w:tcPr>
            <w:tcW w:w="1808" w:type="dxa"/>
            <w:vMerge w:val="continue"/>
            <w:tcBorders>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101" w:type="dxa"/>
            <w:vMerge w:val="continue"/>
            <w:tcBorders>
              <w:left w:val="single" w:color="auto" w:sz="4" w:space="0"/>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850" w:type="dxa"/>
            <w:vMerge w:val="continue"/>
            <w:tcBorders>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7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eastAsia" w:ascii="仿宋_GB2312" w:hAnsi="仿宋_GB2312" w:eastAsia="仿宋_GB2312" w:cs="仿宋_GB2312"/>
                <w:color w:val="auto"/>
                <w:spacing w:val="-3"/>
                <w:szCs w:val="21"/>
              </w:rPr>
              <w:t>资源利用效率要求</w:t>
            </w:r>
          </w:p>
        </w:tc>
        <w:tc>
          <w:tcPr>
            <w:tcW w:w="4819" w:type="dxa"/>
            <w:tcBorders>
              <w:left w:val="nil"/>
              <w:bottom w:val="single" w:color="auto" w:sz="4" w:space="0"/>
              <w:right w:val="single" w:color="auto" w:sz="4" w:space="0"/>
            </w:tcBorders>
            <w:vAlign w:val="top"/>
          </w:tcPr>
          <w:p>
            <w:pPr>
              <w:keepNext w:val="0"/>
              <w:keepLines w:val="0"/>
              <w:suppressLineNumbers w:val="0"/>
              <w:spacing w:before="0" w:beforeAutospacing="0" w:after="0" w:afterAutospacing="0"/>
              <w:ind w:left="0" w:right="0"/>
              <w:rPr>
                <w:rFonts w:hint="default"/>
                <w:color w:val="auto"/>
              </w:rPr>
            </w:pPr>
            <w:r>
              <w:rPr>
                <w:rFonts w:hint="eastAsia" w:ascii="仿宋_GB2312" w:hAnsi="仿宋_GB2312" w:eastAsia="仿宋_GB2312" w:cs="仿宋_GB2312"/>
                <w:color w:val="auto"/>
                <w:szCs w:val="21"/>
              </w:rPr>
              <w:t>执行本清单</w:t>
            </w:r>
            <w:r>
              <w:rPr>
                <w:rFonts w:hint="eastAsia" w:ascii="仿宋_GB2312" w:hAnsi="仿宋_GB2312" w:eastAsia="仿宋_GB2312" w:cs="仿宋_GB2312"/>
                <w:bCs/>
                <w:color w:val="auto"/>
                <w:szCs w:val="21"/>
              </w:rPr>
              <w:t>全省准入要求</w:t>
            </w:r>
            <w:r>
              <w:rPr>
                <w:rFonts w:hint="eastAsia" w:ascii="仿宋_GB2312" w:hAnsi="仿宋_GB2312" w:eastAsia="仿宋_GB2312" w:cs="仿宋_GB2312"/>
                <w:color w:val="auto"/>
                <w:szCs w:val="21"/>
              </w:rPr>
              <w:t>中</w:t>
            </w:r>
            <w:r>
              <w:rPr>
                <w:rFonts w:hint="eastAsia" w:ascii="仿宋_GB2312" w:hAnsi="仿宋_GB2312" w:eastAsia="仿宋_GB2312" w:cs="仿宋_GB2312"/>
                <w:b/>
                <w:bCs/>
                <w:color w:val="auto"/>
                <w:szCs w:val="21"/>
              </w:rPr>
              <w:t>“5.2城镇生活空间重点管控单元”</w:t>
            </w:r>
            <w:r>
              <w:rPr>
                <w:rFonts w:hint="eastAsia" w:ascii="仿宋_GB2312" w:hAnsi="仿宋_GB2312" w:eastAsia="仿宋_GB2312" w:cs="仿宋_GB2312"/>
                <w:color w:val="auto"/>
                <w:szCs w:val="21"/>
              </w:rPr>
              <w:t>准入要求。</w:t>
            </w:r>
          </w:p>
        </w:tc>
        <w:tc>
          <w:tcPr>
            <w:tcW w:w="1808" w:type="dxa"/>
            <w:vMerge w:val="continue"/>
            <w:tcBorders>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101" w:type="dxa"/>
            <w:vMerge w:val="restart"/>
            <w:tcBorders>
              <w:top w:val="nil"/>
              <w:left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eastAsia"/>
                <w:color w:val="auto"/>
              </w:rPr>
              <w:t>安达市大气环境布局敏感区</w:t>
            </w:r>
          </w:p>
        </w:tc>
        <w:tc>
          <w:tcPr>
            <w:tcW w:w="850" w:type="dxa"/>
            <w:vMerge w:val="restart"/>
            <w:tcBorders>
              <w:top w:val="nil"/>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default"/>
                <w:color w:val="auto"/>
              </w:rPr>
              <w:t>重点管控单元</w:t>
            </w:r>
          </w:p>
        </w:tc>
        <w:tc>
          <w:tcPr>
            <w:tcW w:w="7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eastAsia" w:ascii="仿宋_GB2312" w:hAnsi="宋体" w:eastAsia="仿宋_GB2312"/>
                <w:color w:val="auto"/>
                <w:szCs w:val="21"/>
              </w:rPr>
              <w:t>空间布局约束</w:t>
            </w:r>
          </w:p>
        </w:tc>
        <w:tc>
          <w:tcPr>
            <w:tcW w:w="4819" w:type="dxa"/>
            <w:tcBorders>
              <w:top w:val="single" w:color="auto" w:sz="4" w:space="0"/>
              <w:left w:val="nil"/>
              <w:right w:val="single" w:color="auto" w:sz="4" w:space="0"/>
            </w:tcBorders>
            <w:vAlign w:val="center"/>
          </w:tcPr>
          <w:p>
            <w:pPr>
              <w:keepNext w:val="0"/>
              <w:keepLines w:val="0"/>
              <w:widowControl/>
              <w:suppressLineNumbers w:val="0"/>
              <w:spacing w:before="0" w:beforeAutospacing="0" w:after="0" w:afterAutospacing="0"/>
              <w:ind w:left="0" w:right="0"/>
              <w:rPr>
                <w:rFonts w:hint="default"/>
                <w:color w:val="auto"/>
              </w:rPr>
            </w:pPr>
            <w:r>
              <w:rPr>
                <w:rFonts w:hint="eastAsia" w:ascii="仿宋_GB2312" w:hAnsi="仿宋_GB2312" w:eastAsia="仿宋_GB2312"/>
                <w:color w:val="auto"/>
                <w:szCs w:val="21"/>
              </w:rPr>
              <w:t>区域内原则上禁止布局高污染项目。严控“两高”行业产能。严格执行钢铁、水泥、平板玻璃等行业产能置换实施办法。利用水泥窑协同处置城市生活垃圾、危险废弃物、电石渣等固废伴生水泥项目，必须依托现有新型干法水泥熟料生产线进行不扩产能改造。</w:t>
            </w:r>
          </w:p>
        </w:tc>
        <w:tc>
          <w:tcPr>
            <w:tcW w:w="1808" w:type="dxa"/>
            <w:vMerge w:val="restart"/>
            <w:tcBorders>
              <w:top w:val="single" w:color="auto" w:sz="4" w:space="0"/>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eastAsia"/>
                <w:color w:val="auto"/>
              </w:rPr>
              <w:t>本项目为</w:t>
            </w:r>
            <w:r>
              <w:rPr>
                <w:rFonts w:hint="eastAsia" w:hAnsi="宋体" w:cs="Times New Roman"/>
                <w:color w:val="auto"/>
                <w:sz w:val="21"/>
                <w:szCs w:val="21"/>
                <w:lang w:eastAsia="zh-CN"/>
              </w:rPr>
              <w:t>升平储气库项目钻井工程</w:t>
            </w:r>
            <w:r>
              <w:rPr>
                <w:rFonts w:hint="eastAsia"/>
                <w:color w:val="auto"/>
              </w:rPr>
              <w:t>，不属于高</w:t>
            </w:r>
            <w:r>
              <w:rPr>
                <w:rFonts w:hint="eastAsia"/>
                <w:color w:val="auto"/>
                <w:lang w:eastAsia="zh-CN"/>
              </w:rPr>
              <w:t>污染</w:t>
            </w:r>
            <w:r>
              <w:rPr>
                <w:rFonts w:hint="eastAsia"/>
                <w:color w:val="auto"/>
              </w:rPr>
              <w:t>项目，符合产业政策，满足要求</w:t>
            </w:r>
            <w:r>
              <w:rPr>
                <w:rFonts w:hint="default"/>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101" w:type="dxa"/>
            <w:vMerge w:val="continue"/>
            <w:tcBorders>
              <w:left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850" w:type="dxa"/>
            <w:vMerge w:val="continue"/>
            <w:tcBorders>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7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auto"/>
              </w:rPr>
            </w:pPr>
            <w:r>
              <w:rPr>
                <w:rFonts w:hint="eastAsia" w:ascii="仿宋_GB2312" w:hAnsi="宋体" w:eastAsia="仿宋_GB2312"/>
                <w:color w:val="auto"/>
                <w:szCs w:val="21"/>
              </w:rPr>
              <w:t>污染物排放管控</w:t>
            </w:r>
          </w:p>
        </w:tc>
        <w:tc>
          <w:tcPr>
            <w:tcW w:w="4819" w:type="dxa"/>
            <w:tcBorders>
              <w:left w:val="nil"/>
              <w:right w:val="single" w:color="auto" w:sz="4" w:space="0"/>
            </w:tcBorders>
            <w:vAlign w:val="center"/>
          </w:tcPr>
          <w:p>
            <w:pPr>
              <w:pStyle w:val="78"/>
              <w:keepNext w:val="0"/>
              <w:keepLines w:val="0"/>
              <w:suppressLineNumbers w:val="0"/>
              <w:tabs>
                <w:tab w:val="left" w:pos="265"/>
              </w:tabs>
              <w:spacing w:before="1" w:beforeAutospacing="0" w:after="0" w:afterAutospacing="0"/>
              <w:ind w:left="0" w:right="96"/>
              <w:jc w:val="both"/>
              <w:rPr>
                <w:rFonts w:hint="default" w:ascii="仿宋_GB2312" w:hAnsi="Times New Roman" w:eastAsia="仿宋_GB2312" w:cs="Times New Roman"/>
                <w:color w:val="auto"/>
                <w:spacing w:val="-3"/>
                <w:sz w:val="21"/>
                <w:szCs w:val="21"/>
              </w:rPr>
            </w:pPr>
            <w:r>
              <w:rPr>
                <w:rFonts w:hint="eastAsia" w:ascii="仿宋_GB2312" w:hAnsi="Times New Roman" w:eastAsia="仿宋_GB2312" w:cs="Times New Roman"/>
                <w:color w:val="auto"/>
                <w:spacing w:val="-3"/>
                <w:sz w:val="21"/>
                <w:szCs w:val="21"/>
                <w:lang w:val="en-US"/>
              </w:rPr>
              <w:t>1.推广使用电、天然气等清洁能源。</w:t>
            </w:r>
          </w:p>
          <w:p>
            <w:pPr>
              <w:pStyle w:val="78"/>
              <w:keepNext w:val="0"/>
              <w:keepLines w:val="0"/>
              <w:suppressLineNumbers w:val="0"/>
              <w:tabs>
                <w:tab w:val="left" w:pos="265"/>
              </w:tabs>
              <w:spacing w:before="1" w:beforeAutospacing="0" w:after="0" w:afterAutospacing="0"/>
              <w:ind w:left="0" w:right="96"/>
              <w:jc w:val="both"/>
              <w:rPr>
                <w:rFonts w:hint="default" w:ascii="仿宋_GB2312" w:hAnsi="Times New Roman" w:eastAsia="仿宋_GB2312" w:cs="Times New Roman"/>
                <w:color w:val="auto"/>
                <w:spacing w:val="-3"/>
                <w:sz w:val="21"/>
                <w:szCs w:val="21"/>
              </w:rPr>
            </w:pPr>
            <w:r>
              <w:rPr>
                <w:rFonts w:hint="eastAsia" w:ascii="仿宋_GB2312" w:hAnsi="Times New Roman" w:eastAsia="仿宋_GB2312" w:cs="Times New Roman"/>
                <w:color w:val="auto"/>
                <w:spacing w:val="-3"/>
                <w:sz w:val="21"/>
                <w:szCs w:val="21"/>
                <w:lang w:val="en-US"/>
              </w:rPr>
              <w:t>2.提升环境管理水平，减少污染物排放。</w:t>
            </w:r>
          </w:p>
          <w:p>
            <w:pPr>
              <w:keepNext w:val="0"/>
              <w:keepLines w:val="0"/>
              <w:widowControl/>
              <w:suppressLineNumbers w:val="0"/>
              <w:spacing w:before="0" w:beforeAutospacing="0" w:after="0" w:afterAutospacing="0"/>
              <w:ind w:left="0" w:right="0"/>
              <w:rPr>
                <w:rFonts w:hint="default"/>
                <w:color w:val="auto"/>
              </w:rPr>
            </w:pPr>
            <w:r>
              <w:rPr>
                <w:rFonts w:hint="eastAsia" w:ascii="仿宋_GB2312" w:eastAsia="仿宋_GB2312" w:cs="Times New Roman"/>
                <w:color w:val="auto"/>
                <w:spacing w:val="-3"/>
                <w:szCs w:val="21"/>
              </w:rPr>
              <w:t>3.支持企业开展能效提升、清洁生产、工业节水等绿色化升级改造，实施重点行业和企业循环化改造，推动资源循环再生利用，降低能源消耗和污染物排放量。</w:t>
            </w:r>
          </w:p>
        </w:tc>
        <w:tc>
          <w:tcPr>
            <w:tcW w:w="1808" w:type="dxa"/>
            <w:vMerge w:val="continue"/>
            <w:tcBorders>
              <w:left w:val="nil"/>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1101" w:type="dxa"/>
            <w:vMerge w:val="continue"/>
            <w:tcBorders>
              <w:left w:val="single" w:color="auto" w:sz="4" w:space="0"/>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850" w:type="dxa"/>
            <w:vMerge w:val="continue"/>
            <w:tcBorders>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c>
          <w:tcPr>
            <w:tcW w:w="70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_GB2312" w:hAnsi="宋体" w:eastAsia="仿宋_GB2312"/>
                <w:color w:val="auto"/>
                <w:szCs w:val="21"/>
              </w:rPr>
            </w:pPr>
            <w:r>
              <w:rPr>
                <w:rFonts w:hint="eastAsia" w:ascii="仿宋_GB2312" w:hAnsi="宋体" w:eastAsia="仿宋_GB2312"/>
                <w:color w:val="auto"/>
                <w:szCs w:val="21"/>
              </w:rPr>
              <w:t>环境风</w:t>
            </w:r>
          </w:p>
          <w:p>
            <w:pPr>
              <w:keepNext w:val="0"/>
              <w:keepLines w:val="0"/>
              <w:suppressLineNumbers w:val="0"/>
              <w:spacing w:before="0" w:beforeAutospacing="0" w:after="0" w:afterAutospacing="0"/>
              <w:ind w:left="0" w:right="0"/>
              <w:rPr>
                <w:rFonts w:hint="default"/>
                <w:color w:val="auto"/>
              </w:rPr>
            </w:pPr>
            <w:r>
              <w:rPr>
                <w:rFonts w:hint="eastAsia" w:ascii="仿宋_GB2312" w:hAnsi="宋体" w:eastAsia="仿宋_GB2312"/>
                <w:color w:val="auto"/>
                <w:szCs w:val="21"/>
              </w:rPr>
              <w:t>防控</w:t>
            </w:r>
          </w:p>
        </w:tc>
        <w:tc>
          <w:tcPr>
            <w:tcW w:w="4819" w:type="dxa"/>
            <w:tcBorders>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color w:val="auto"/>
              </w:rPr>
            </w:pPr>
            <w:r>
              <w:rPr>
                <w:rFonts w:hint="eastAsia" w:ascii="仿宋_GB2312" w:hAnsi="仿宋_GB2312" w:eastAsia="仿宋_GB2312"/>
                <w:color w:val="auto"/>
                <w:szCs w:val="21"/>
              </w:rPr>
              <w:t>严格执行相关行业企业布局选址要求，禁止在商住、学校、医疗、养老机构、人口密集区和公共服务设施等周边新建有色金属冶炼、化工等行业企业。</w:t>
            </w:r>
          </w:p>
        </w:tc>
        <w:tc>
          <w:tcPr>
            <w:tcW w:w="1808" w:type="dxa"/>
            <w:vMerge w:val="continue"/>
            <w:tcBorders>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color w:val="auto"/>
              </w:rPr>
            </w:pPr>
            <w:r>
              <w:rPr>
                <w:rFonts w:hint="eastAsia" w:ascii="仿宋_GB2312" w:eastAsia="仿宋_GB2312"/>
                <w:color w:val="auto"/>
                <w:szCs w:val="21"/>
              </w:rPr>
              <w:t>安达市</w:t>
            </w:r>
            <w:r>
              <w:rPr>
                <w:rFonts w:hint="eastAsia" w:ascii="仿宋_GB2312" w:hAnsi="仿宋_GB2312" w:eastAsia="仿宋_GB2312" w:cs="仿宋_GB2312"/>
                <w:color w:val="auto"/>
                <w:kern w:val="0"/>
                <w:szCs w:val="21"/>
              </w:rPr>
              <w:t>永久基本农田</w:t>
            </w:r>
          </w:p>
        </w:tc>
        <w:tc>
          <w:tcPr>
            <w:tcW w:w="85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color w:val="auto"/>
              </w:rPr>
            </w:pPr>
            <w:r>
              <w:rPr>
                <w:rFonts w:hint="eastAsia" w:ascii="仿宋_GB2312" w:hAnsi="仿宋_GB2312" w:eastAsia="仿宋_GB2312" w:cs="仿宋_GB2312"/>
                <w:color w:val="auto"/>
                <w:szCs w:val="21"/>
              </w:rPr>
              <w:t>一般管控单元</w:t>
            </w:r>
          </w:p>
        </w:tc>
        <w:tc>
          <w:tcPr>
            <w:tcW w:w="70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default"/>
                <w:color w:val="auto"/>
              </w:rPr>
            </w:pPr>
            <w:r>
              <w:rPr>
                <w:rFonts w:hint="eastAsia" w:ascii="仿宋_GB2312" w:hAnsi="仿宋_GB2312" w:eastAsia="仿宋_GB2312"/>
                <w:color w:val="auto"/>
                <w:szCs w:val="21"/>
              </w:rPr>
              <w:t>资源利用效率要求</w:t>
            </w:r>
          </w:p>
        </w:tc>
        <w:tc>
          <w:tcPr>
            <w:tcW w:w="4819"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rPr>
                <w:rFonts w:hint="eastAsia"/>
                <w:color w:val="auto"/>
              </w:rPr>
            </w:pPr>
            <w:r>
              <w:rPr>
                <w:rFonts w:hint="eastAsia" w:ascii="仿宋_GB2312" w:hAnsi="仿宋_GB2312" w:eastAsia="仿宋_GB2312" w:cs="Times New Roman"/>
                <w:color w:val="auto"/>
                <w:szCs w:val="21"/>
              </w:rPr>
              <w:t>执行本清单</w:t>
            </w:r>
            <w:r>
              <w:rPr>
                <w:rFonts w:hint="eastAsia" w:ascii="仿宋_GB2312" w:hAnsi="仿宋_GB2312" w:eastAsia="仿宋_GB2312" w:cs="Times New Roman"/>
                <w:b/>
                <w:bCs/>
                <w:color w:val="auto"/>
                <w:szCs w:val="21"/>
              </w:rPr>
              <w:t>全省准入要求</w:t>
            </w:r>
            <w:r>
              <w:rPr>
                <w:rFonts w:hint="eastAsia" w:ascii="仿宋_GB2312" w:hAnsi="仿宋_GB2312" w:eastAsia="仿宋_GB2312" w:cs="Times New Roman"/>
                <w:color w:val="auto"/>
                <w:szCs w:val="21"/>
              </w:rPr>
              <w:t>中</w:t>
            </w:r>
            <w:r>
              <w:rPr>
                <w:rFonts w:hint="eastAsia" w:ascii="仿宋_GB2312" w:hAnsi="仿宋_GB2312" w:eastAsia="仿宋_GB2312" w:cs="Times New Roman"/>
                <w:b/>
                <w:color w:val="auto"/>
                <w:szCs w:val="21"/>
              </w:rPr>
              <w:t>“6.3永久基本农田</w:t>
            </w:r>
            <w:r>
              <w:rPr>
                <w:rFonts w:hint="eastAsia" w:ascii="仿宋_GB2312" w:hAnsi="仿宋_GB2312" w:eastAsia="仿宋_GB2312" w:cs="Times New Roman"/>
                <w:color w:val="auto"/>
                <w:szCs w:val="21"/>
              </w:rPr>
              <w:t>”准入</w:t>
            </w:r>
            <w:r>
              <w:rPr>
                <w:rFonts w:hint="eastAsia" w:ascii="仿宋_GB2312" w:hAnsi="仿宋_GB2312" w:eastAsia="仿宋_GB2312"/>
                <w:color w:val="auto"/>
                <w:szCs w:val="21"/>
              </w:rPr>
              <w:t>要求。</w:t>
            </w:r>
            <w:r>
              <w:rPr>
                <w:rFonts w:hint="eastAsia" w:ascii="仿宋_GB2312" w:hAnsi="仿宋_GB2312" w:eastAsia="仿宋_GB2312" w:cs="Times New Roman"/>
                <w:color w:val="auto"/>
                <w:szCs w:val="21"/>
              </w:rPr>
              <w:t>位于优先保护单元和重点管控单元内永久基本农田也同时执行此要求。</w:t>
            </w:r>
          </w:p>
        </w:tc>
        <w:tc>
          <w:tcPr>
            <w:tcW w:w="1808" w:type="dxa"/>
            <w:tcBorders>
              <w:top w:val="single" w:color="auto" w:sz="4" w:space="0"/>
              <w:left w:val="nil"/>
              <w:bottom w:val="single" w:color="auto" w:sz="4" w:space="0"/>
              <w:right w:val="single" w:color="auto" w:sz="4" w:space="0"/>
            </w:tcBorders>
            <w:vAlign w:val="center"/>
          </w:tcPr>
          <w:p>
            <w:pPr>
              <w:pStyle w:val="72"/>
              <w:keepNext w:val="0"/>
              <w:keepLines w:val="0"/>
              <w:suppressLineNumbers w:val="0"/>
              <w:bidi w:val="0"/>
              <w:spacing w:before="0" w:beforeAutospacing="0" w:afterAutospacing="0"/>
              <w:ind w:left="0" w:right="0"/>
              <w:rPr>
                <w:rFonts w:hint="default"/>
                <w:color w:val="auto"/>
              </w:rPr>
            </w:pPr>
            <w:r>
              <w:rPr>
                <w:rFonts w:hint="eastAsia"/>
                <w:color w:val="auto"/>
              </w:rPr>
              <w:t>本项目按照</w:t>
            </w:r>
            <w:r>
              <w:rPr>
                <w:rFonts w:hint="default"/>
                <w:color w:val="auto"/>
              </w:rPr>
              <w:t>法律要求办理占地手续</w:t>
            </w:r>
          </w:p>
        </w:tc>
      </w:tr>
    </w:tbl>
    <w:p>
      <w:pPr>
        <w:pStyle w:val="6"/>
        <w:spacing w:before="156" w:after="156"/>
        <w:rPr>
          <w:color w:val="auto"/>
        </w:rPr>
      </w:pPr>
      <w:r>
        <w:rPr>
          <w:rFonts w:hint="eastAsia"/>
          <w:color w:val="auto"/>
        </w:rPr>
        <w:t>生态保护红线对照符合性</w:t>
      </w:r>
    </w:p>
    <w:p>
      <w:pPr>
        <w:pStyle w:val="33"/>
        <w:rPr>
          <w:rFonts w:hint="eastAsia"/>
          <w:color w:val="auto"/>
        </w:rPr>
      </w:pPr>
      <w:r>
        <w:rPr>
          <w:rFonts w:hint="eastAsia"/>
          <w:color w:val="auto"/>
        </w:rPr>
        <w:t>根据《黑龙江省生态保护红线划定实施方案》，生态保护红线主要包括：水源涵养功能区、水土保持功能区、防风固沙功能区、生物多样性维护区、重要生态敏感区、重要生态脆弱区、关键生态系统保护区、重点森林保护区、重点湿地保护区、重点草原保护区、国土安全保护区、重点水域保护区。</w:t>
      </w:r>
    </w:p>
    <w:p>
      <w:pPr>
        <w:pStyle w:val="33"/>
        <w:rPr>
          <w:color w:val="auto"/>
        </w:rPr>
      </w:pPr>
      <w:r>
        <w:rPr>
          <w:rFonts w:hAnsi="宋体"/>
          <w:snapToGrid w:val="0"/>
          <w:color w:val="auto"/>
          <w:sz w:val="28"/>
          <w:szCs w:val="28"/>
        </w:rPr>
        <w:t>本工程位于黑龙江省</w:t>
      </w:r>
      <w:r>
        <w:rPr>
          <w:rFonts w:hAnsi="宋体"/>
          <w:color w:val="auto"/>
          <w:sz w:val="28"/>
          <w:szCs w:val="28"/>
        </w:rPr>
        <w:t>绥化市</w:t>
      </w:r>
      <w:r>
        <w:rPr>
          <w:rFonts w:hint="eastAsia" w:hAnsi="宋体"/>
          <w:snapToGrid w:val="0"/>
          <w:color w:val="auto"/>
          <w:sz w:val="28"/>
          <w:szCs w:val="28"/>
        </w:rPr>
        <w:t>安达</w:t>
      </w:r>
      <w:r>
        <w:rPr>
          <w:rFonts w:hAnsi="宋体"/>
          <w:snapToGrid w:val="0"/>
          <w:color w:val="auto"/>
          <w:sz w:val="28"/>
          <w:szCs w:val="28"/>
        </w:rPr>
        <w:t>市境</w:t>
      </w:r>
      <w:r>
        <w:rPr>
          <w:rFonts w:hAnsi="宋体"/>
          <w:color w:val="auto"/>
          <w:sz w:val="28"/>
          <w:szCs w:val="28"/>
        </w:rPr>
        <w:t>内，对照绥化市生态保护红线分布图（见</w:t>
      </w:r>
      <w:r>
        <w:rPr>
          <w:rFonts w:hint="eastAsia" w:hAnsi="宋体"/>
          <w:color w:val="auto"/>
          <w:sz w:val="28"/>
          <w:szCs w:val="28"/>
          <w:lang w:eastAsia="zh-CN"/>
        </w:rPr>
        <w:t>附</w:t>
      </w:r>
      <w:r>
        <w:rPr>
          <w:rFonts w:hAnsi="宋体"/>
          <w:color w:val="auto"/>
          <w:sz w:val="28"/>
          <w:szCs w:val="28"/>
        </w:rPr>
        <w:t>图</w:t>
      </w:r>
      <w:r>
        <w:rPr>
          <w:color w:val="auto"/>
          <w:sz w:val="28"/>
          <w:szCs w:val="28"/>
        </w:rPr>
        <w:t>1.4-</w:t>
      </w:r>
      <w:r>
        <w:rPr>
          <w:rFonts w:hint="eastAsia"/>
          <w:color w:val="auto"/>
          <w:sz w:val="28"/>
          <w:szCs w:val="28"/>
          <w:lang w:val="en-US" w:eastAsia="zh-CN"/>
        </w:rPr>
        <w:t>3</w:t>
      </w:r>
      <w:r>
        <w:rPr>
          <w:rFonts w:hAnsi="宋体"/>
          <w:color w:val="auto"/>
          <w:sz w:val="28"/>
          <w:szCs w:val="28"/>
        </w:rPr>
        <w:t>）</w:t>
      </w:r>
      <w:r>
        <w:rPr>
          <w:rFonts w:hAnsi="宋体"/>
          <w:bCs/>
          <w:color w:val="auto"/>
          <w:sz w:val="28"/>
          <w:szCs w:val="28"/>
        </w:rPr>
        <w:t>，</w:t>
      </w:r>
      <w:r>
        <w:rPr>
          <w:rFonts w:hAnsi="宋体"/>
          <w:color w:val="auto"/>
          <w:sz w:val="28"/>
          <w:szCs w:val="28"/>
        </w:rPr>
        <w:t>本项目不在绥化市生态红线范围</w:t>
      </w:r>
      <w:r>
        <w:rPr>
          <w:rFonts w:hAnsi="宋体"/>
          <w:bCs/>
          <w:color w:val="auto"/>
          <w:sz w:val="28"/>
          <w:szCs w:val="28"/>
        </w:rPr>
        <w:t>内，因此项目建设符合生态保护红线要求</w:t>
      </w:r>
      <w:r>
        <w:rPr>
          <w:rFonts w:hint="eastAsia"/>
          <w:color w:val="auto"/>
        </w:rPr>
        <w:t>。</w:t>
      </w:r>
    </w:p>
    <w:p>
      <w:pPr>
        <w:pStyle w:val="6"/>
        <w:spacing w:before="156" w:after="156"/>
        <w:rPr>
          <w:color w:val="auto"/>
        </w:rPr>
      </w:pPr>
      <w:r>
        <w:rPr>
          <w:rFonts w:hint="eastAsia"/>
          <w:color w:val="auto"/>
        </w:rPr>
        <w:t>环境质量底线对照符合性</w:t>
      </w:r>
    </w:p>
    <w:p>
      <w:pPr>
        <w:pStyle w:val="33"/>
        <w:rPr>
          <w:rFonts w:hint="eastAsia"/>
          <w:color w:val="auto"/>
        </w:rPr>
      </w:pPr>
      <w:r>
        <w:rPr>
          <w:rFonts w:hint="eastAsia"/>
          <w:color w:val="auto"/>
        </w:rPr>
        <w:t>1）空气环境：</w:t>
      </w:r>
      <w:r>
        <w:rPr>
          <w:rFonts w:hint="eastAsia"/>
          <w:color w:val="auto"/>
          <w:lang w:eastAsia="zh-CN"/>
        </w:rPr>
        <w:t>根据《</w:t>
      </w:r>
      <w:r>
        <w:rPr>
          <w:rFonts w:hint="eastAsia"/>
          <w:color w:val="auto"/>
        </w:rPr>
        <w:t>2020年绥化市环境质量状况》数据，绥化市环境空气为非达标区，超标因子为PM</w:t>
      </w:r>
      <w:r>
        <w:rPr>
          <w:rFonts w:hint="eastAsia"/>
          <w:color w:val="auto"/>
          <w:vertAlign w:val="subscript"/>
        </w:rPr>
        <w:t>2.5</w:t>
      </w:r>
      <w:r>
        <w:rPr>
          <w:rFonts w:hint="eastAsia"/>
          <w:color w:val="auto"/>
        </w:rPr>
        <w:t>，其他基本污染污染物各项指标均能满足《环境空气质量标准》（GB3095-2012）二级标准要求；非甲烷总烃满足《大气污染物综合排放标准详解》标准要求。</w:t>
      </w:r>
    </w:p>
    <w:p>
      <w:pPr>
        <w:pStyle w:val="33"/>
        <w:rPr>
          <w:rFonts w:hint="eastAsia"/>
          <w:color w:val="auto"/>
        </w:rPr>
      </w:pPr>
      <w:r>
        <w:rPr>
          <w:rFonts w:hint="eastAsia"/>
          <w:color w:val="auto"/>
        </w:rPr>
        <w:t>本工程施工期对大气环境的影响主要来自钻井时柴油机和施工车辆排放的尾气、放空火炬燃烧废气以及道路、运输车辆产生的扬尘，由于这些影响都是暂时性的，施工一结束就随之消失，通过落实相应的预防措施，对周围空气环境产生的影响较小。</w:t>
      </w:r>
    </w:p>
    <w:p>
      <w:pPr>
        <w:pStyle w:val="33"/>
        <w:rPr>
          <w:rFonts w:hint="eastAsia"/>
          <w:color w:val="auto"/>
        </w:rPr>
      </w:pPr>
      <w:r>
        <w:rPr>
          <w:rFonts w:hint="eastAsia"/>
          <w:color w:val="auto"/>
          <w:lang w:val="en-US" w:eastAsia="zh-CN"/>
        </w:rPr>
        <w:t>2</w:t>
      </w:r>
      <w:r>
        <w:rPr>
          <w:rFonts w:hint="eastAsia"/>
          <w:color w:val="auto"/>
        </w:rPr>
        <w:t>）土壤环境：</w:t>
      </w:r>
      <w:r>
        <w:rPr>
          <w:rFonts w:hAnsi="宋体"/>
          <w:color w:val="auto"/>
          <w:sz w:val="28"/>
          <w:szCs w:val="28"/>
        </w:rPr>
        <w:t>本项目评价范围内土壤敏感保护目标主要为耕地</w:t>
      </w:r>
      <w:r>
        <w:rPr>
          <w:rFonts w:hint="eastAsia" w:hAnsi="宋体"/>
          <w:color w:val="auto"/>
          <w:sz w:val="28"/>
          <w:szCs w:val="28"/>
          <w:lang w:eastAsia="zh-CN"/>
        </w:rPr>
        <w:t>，</w:t>
      </w:r>
      <w:r>
        <w:rPr>
          <w:rFonts w:hint="eastAsia"/>
          <w:color w:val="auto"/>
        </w:rPr>
        <w:t>项目所在土壤环境各项指标均可达到《土壤环境质量  建设用地土壤污染风险管控标准（试行）》（GB36600-2018）表1建设用地土壤污染风险筛选值以及《土壤环境质量  农用地土壤污染风险管控标准（试行）》（GB15618-2018）表1中农用地土壤污染风险筛选值。本项目建成后不会改变周边土壤环境质量质量现状，对土壤环境影响较小。</w:t>
      </w:r>
    </w:p>
    <w:p>
      <w:pPr>
        <w:pStyle w:val="33"/>
        <w:rPr>
          <w:rFonts w:hint="eastAsia"/>
          <w:color w:val="auto"/>
        </w:rPr>
      </w:pPr>
      <w:r>
        <w:rPr>
          <w:rFonts w:hAnsi="宋体"/>
          <w:color w:val="auto"/>
          <w:sz w:val="28"/>
          <w:szCs w:val="28"/>
        </w:rPr>
        <w:t>因此，本工程建设符合环境质量底线要求。</w:t>
      </w:r>
    </w:p>
    <w:p>
      <w:pPr>
        <w:pStyle w:val="6"/>
        <w:spacing w:before="156" w:after="156"/>
        <w:rPr>
          <w:color w:val="auto"/>
        </w:rPr>
      </w:pPr>
      <w:r>
        <w:rPr>
          <w:rFonts w:hint="eastAsia"/>
          <w:color w:val="auto"/>
        </w:rPr>
        <w:t>资源利用上线对照符合性</w:t>
      </w:r>
    </w:p>
    <w:p>
      <w:pPr>
        <w:pStyle w:val="2"/>
        <w:spacing w:line="480" w:lineRule="exact"/>
        <w:ind w:firstLine="621" w:firstLineChars="222"/>
        <w:rPr>
          <w:color w:val="auto"/>
          <w:sz w:val="28"/>
          <w:szCs w:val="28"/>
        </w:rPr>
      </w:pPr>
      <w:r>
        <w:rPr>
          <w:rFonts w:hAnsi="宋体"/>
          <w:color w:val="auto"/>
          <w:sz w:val="28"/>
          <w:szCs w:val="28"/>
        </w:rPr>
        <w:t>资源利用上线是指按照自然资源资产</w:t>
      </w:r>
      <w:r>
        <w:rPr>
          <w:color w:val="auto"/>
          <w:sz w:val="28"/>
          <w:szCs w:val="28"/>
        </w:rPr>
        <w:t>“</w:t>
      </w:r>
      <w:r>
        <w:rPr>
          <w:rFonts w:hAnsi="宋体"/>
          <w:color w:val="auto"/>
          <w:sz w:val="28"/>
          <w:szCs w:val="28"/>
        </w:rPr>
        <w:t>只能增值、不能贬值</w:t>
      </w:r>
      <w:r>
        <w:rPr>
          <w:color w:val="auto"/>
          <w:sz w:val="28"/>
          <w:szCs w:val="28"/>
        </w:rPr>
        <w:t>”</w:t>
      </w:r>
      <w:r>
        <w:rPr>
          <w:rFonts w:hAnsi="宋体"/>
          <w:color w:val="auto"/>
          <w:sz w:val="28"/>
          <w:szCs w:val="28"/>
        </w:rPr>
        <w:t>的原则，以保障生态安全和改善环境质量为目的，利用自然资源资产负债表，结合自然资源开发管控，提出的分区域分阶段的资源开发利用总量、强度、效率等上线管控要求。</w:t>
      </w:r>
    </w:p>
    <w:p>
      <w:pPr>
        <w:spacing w:line="480" w:lineRule="exact"/>
        <w:ind w:firstLine="621" w:firstLineChars="222"/>
        <w:rPr>
          <w:color w:val="auto"/>
          <w:sz w:val="28"/>
          <w:szCs w:val="28"/>
        </w:rPr>
      </w:pPr>
      <w:r>
        <w:rPr>
          <w:rFonts w:hAnsi="宋体"/>
          <w:color w:val="auto"/>
          <w:sz w:val="28"/>
          <w:szCs w:val="28"/>
        </w:rPr>
        <w:t>本项目位于绥化市土地资源利用上线一般管控区，项目占用基本农田，根据《基本农田保护条例》，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w:t>
      </w:r>
    </w:p>
    <w:p>
      <w:pPr>
        <w:pStyle w:val="33"/>
        <w:rPr>
          <w:color w:val="auto"/>
        </w:rPr>
      </w:pPr>
      <w:r>
        <w:rPr>
          <w:rFonts w:hint="eastAsia" w:hAnsi="宋体"/>
          <w:color w:val="auto"/>
          <w:sz w:val="28"/>
          <w:szCs w:val="28"/>
        </w:rPr>
        <w:t>本项目为油田钻井建设项目，钻井动力采用柴油钻机钻井。不消费煤炭能源，符合大庆市能源管控要求；项目建设不开采地下水，符合大庆市水资源管控要求；本工程在选址和布局上根据“地下决定地上，地下顾及地上”的原则，采用环境影响最小的布局方案，尽可能减少对土地的占用，土地资源消耗符合要求。因此，本项目建设符合资源利用上线要求</w:t>
      </w:r>
      <w:r>
        <w:rPr>
          <w:rFonts w:hint="eastAsia"/>
          <w:color w:val="auto"/>
        </w:rPr>
        <w:t>。</w:t>
      </w:r>
    </w:p>
    <w:p>
      <w:pPr>
        <w:pStyle w:val="6"/>
        <w:spacing w:before="156" w:after="156"/>
        <w:rPr>
          <w:color w:val="auto"/>
        </w:rPr>
      </w:pPr>
      <w:r>
        <w:rPr>
          <w:rFonts w:hint="eastAsia"/>
          <w:color w:val="auto"/>
        </w:rPr>
        <w:t>环境准入负面清单对照符合性</w:t>
      </w:r>
    </w:p>
    <w:p>
      <w:pPr>
        <w:pStyle w:val="33"/>
        <w:rPr>
          <w:rFonts w:hint="eastAsia"/>
          <w:color w:val="auto"/>
        </w:rPr>
      </w:pPr>
      <w:r>
        <w:rPr>
          <w:rFonts w:hint="eastAsia"/>
          <w:color w:val="auto"/>
        </w:rPr>
        <w:t>天然气是优质高效、绿色清洁的低碳能源。本项目建成后可</w:t>
      </w:r>
      <w:r>
        <w:rPr>
          <w:rFonts w:hint="eastAsia"/>
          <w:color w:val="auto"/>
          <w:lang w:eastAsia="zh-CN"/>
        </w:rPr>
        <w:t>满足黑、吉、蒙东地区的调峰需求</w:t>
      </w:r>
      <w:r>
        <w:rPr>
          <w:rFonts w:hint="eastAsia"/>
          <w:color w:val="auto"/>
        </w:rPr>
        <w:t>，</w:t>
      </w:r>
      <w:r>
        <w:rPr>
          <w:rFonts w:hint="eastAsia"/>
          <w:color w:val="auto"/>
          <w:lang w:eastAsia="zh-CN"/>
        </w:rPr>
        <w:t>实现调峰保供、战略储备等功能</w:t>
      </w:r>
      <w:r>
        <w:rPr>
          <w:rFonts w:hint="eastAsia"/>
          <w:color w:val="auto"/>
        </w:rPr>
        <w:t>，减少燃煤污染，对改善周边城市的大气环境具有积极作用，本项目不属于《黑龙江省重点生态功能区产业准入负面清单（试行版）》限制类、禁止类产业。</w:t>
      </w:r>
    </w:p>
    <w:p>
      <w:pPr>
        <w:pStyle w:val="2"/>
        <w:spacing w:line="480" w:lineRule="exact"/>
        <w:rPr>
          <w:color w:val="auto"/>
          <w:sz w:val="28"/>
          <w:szCs w:val="28"/>
        </w:rPr>
      </w:pPr>
      <w:r>
        <w:rPr>
          <w:rFonts w:hAnsi="宋体"/>
          <w:color w:val="auto"/>
          <w:sz w:val="28"/>
          <w:szCs w:val="28"/>
        </w:rPr>
        <w:t>生态环境准入清单是指基于环境管控单元，统筹考虑生态保护红线、环境质量底线、资源利用上线的管控要求，提出的空间布局、污染物排放、环境风险、资源开发利用等方面禁止和限制的环境准入要求。</w:t>
      </w:r>
    </w:p>
    <w:p>
      <w:pPr>
        <w:spacing w:line="480" w:lineRule="exact"/>
        <w:ind w:firstLine="621" w:firstLineChars="222"/>
        <w:rPr>
          <w:rFonts w:hint="eastAsia" w:hAnsi="宋体"/>
          <w:color w:val="auto"/>
          <w:sz w:val="28"/>
          <w:szCs w:val="28"/>
        </w:rPr>
      </w:pPr>
      <w:r>
        <w:rPr>
          <w:rFonts w:hAnsi="宋体"/>
          <w:color w:val="auto"/>
          <w:sz w:val="28"/>
          <w:szCs w:val="28"/>
        </w:rPr>
        <w:t>根据《绥化市人民政府关于实施</w:t>
      </w:r>
      <w:r>
        <w:rPr>
          <w:color w:val="auto"/>
          <w:sz w:val="28"/>
          <w:szCs w:val="28"/>
        </w:rPr>
        <w:t>“</w:t>
      </w:r>
      <w:r>
        <w:rPr>
          <w:rFonts w:hAnsi="宋体"/>
          <w:color w:val="auto"/>
          <w:sz w:val="28"/>
          <w:szCs w:val="28"/>
        </w:rPr>
        <w:t>三线一单</w:t>
      </w:r>
      <w:r>
        <w:rPr>
          <w:color w:val="auto"/>
          <w:sz w:val="28"/>
          <w:szCs w:val="28"/>
        </w:rPr>
        <w:t>”</w:t>
      </w:r>
      <w:r>
        <w:rPr>
          <w:rFonts w:hAnsi="宋体"/>
          <w:color w:val="auto"/>
          <w:sz w:val="28"/>
          <w:szCs w:val="28"/>
        </w:rPr>
        <w:t>生态环境分区管控的意见》（绥政发〔</w:t>
      </w:r>
      <w:r>
        <w:rPr>
          <w:color w:val="auto"/>
          <w:sz w:val="28"/>
          <w:szCs w:val="28"/>
        </w:rPr>
        <w:t>2021</w:t>
      </w:r>
      <w:r>
        <w:rPr>
          <w:rFonts w:hAnsi="宋体"/>
          <w:color w:val="auto"/>
          <w:sz w:val="28"/>
          <w:szCs w:val="28"/>
        </w:rPr>
        <w:t>〕</w:t>
      </w:r>
      <w:r>
        <w:rPr>
          <w:color w:val="auto"/>
          <w:sz w:val="28"/>
          <w:szCs w:val="28"/>
        </w:rPr>
        <w:t>10</w:t>
      </w:r>
      <w:r>
        <w:rPr>
          <w:rFonts w:hAnsi="宋体"/>
          <w:color w:val="auto"/>
          <w:sz w:val="28"/>
          <w:szCs w:val="28"/>
        </w:rPr>
        <w:t>号），本项目位于绥化市划定的</w:t>
      </w:r>
      <w:r>
        <w:rPr>
          <w:color w:val="auto"/>
          <w:sz w:val="28"/>
          <w:szCs w:val="28"/>
        </w:rPr>
        <w:t>20</w:t>
      </w:r>
      <w:r>
        <w:rPr>
          <w:rFonts w:hAnsi="宋体"/>
          <w:color w:val="auto"/>
          <w:sz w:val="28"/>
          <w:szCs w:val="28"/>
        </w:rPr>
        <w:t>个优先保护单元、</w:t>
      </w:r>
      <w:r>
        <w:rPr>
          <w:color w:val="auto"/>
          <w:sz w:val="28"/>
          <w:szCs w:val="28"/>
        </w:rPr>
        <w:t>38</w:t>
      </w:r>
      <w:r>
        <w:rPr>
          <w:rFonts w:hAnsi="宋体"/>
          <w:color w:val="auto"/>
          <w:sz w:val="28"/>
          <w:szCs w:val="28"/>
        </w:rPr>
        <w:t>个重点管控单元、</w:t>
      </w:r>
      <w:r>
        <w:rPr>
          <w:color w:val="auto"/>
          <w:sz w:val="28"/>
          <w:szCs w:val="28"/>
        </w:rPr>
        <w:t>20</w:t>
      </w:r>
      <w:r>
        <w:rPr>
          <w:rFonts w:hAnsi="宋体"/>
          <w:color w:val="auto"/>
          <w:sz w:val="28"/>
          <w:szCs w:val="28"/>
        </w:rPr>
        <w:t>个一般管控单元中的一般管控单元</w:t>
      </w:r>
      <w:r>
        <w:rPr>
          <w:rFonts w:hint="eastAsia" w:hAnsi="宋体"/>
          <w:color w:val="auto"/>
          <w:sz w:val="28"/>
          <w:szCs w:val="28"/>
        </w:rPr>
        <w:t>，其准入符合性分析见表1.4-</w:t>
      </w:r>
      <w:r>
        <w:rPr>
          <w:rFonts w:hint="eastAsia" w:hAnsi="宋体"/>
          <w:color w:val="auto"/>
          <w:sz w:val="28"/>
          <w:szCs w:val="28"/>
          <w:lang w:val="en-US" w:eastAsia="zh-CN"/>
        </w:rPr>
        <w:t>12</w:t>
      </w:r>
      <w:r>
        <w:rPr>
          <w:rFonts w:hAnsi="宋体"/>
          <w:color w:val="auto"/>
          <w:sz w:val="28"/>
          <w:szCs w:val="28"/>
        </w:rPr>
        <w:t>。</w:t>
      </w:r>
    </w:p>
    <w:p>
      <w:pPr>
        <w:pStyle w:val="7"/>
        <w:bidi w:val="0"/>
        <w:rPr>
          <w:rFonts w:hint="eastAsia"/>
          <w:color w:val="auto"/>
        </w:rPr>
      </w:pPr>
      <w:r>
        <w:rPr>
          <w:color w:val="auto"/>
        </w:rPr>
        <w:t>生态环境准入</w:t>
      </w:r>
      <w:r>
        <w:rPr>
          <w:rFonts w:hint="eastAsia"/>
          <w:color w:val="auto"/>
        </w:rPr>
        <w:t>符合性分析</w:t>
      </w:r>
    </w:p>
    <w:tbl>
      <w:tblPr>
        <w:tblStyle w:val="35"/>
        <w:tblW w:w="8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807"/>
        <w:gridCol w:w="807"/>
        <w:gridCol w:w="555"/>
        <w:gridCol w:w="3651"/>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环境管控单元编号</w:t>
            </w:r>
          </w:p>
        </w:tc>
        <w:tc>
          <w:tcPr>
            <w:tcW w:w="807" w:type="dxa"/>
            <w:vAlign w:val="top"/>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环境管控单元名称</w:t>
            </w:r>
          </w:p>
        </w:tc>
        <w:tc>
          <w:tcPr>
            <w:tcW w:w="807" w:type="dxa"/>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管控单元类别</w:t>
            </w:r>
          </w:p>
        </w:tc>
        <w:tc>
          <w:tcPr>
            <w:tcW w:w="4206" w:type="dxa"/>
            <w:gridSpan w:val="2"/>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管控要求</w:t>
            </w:r>
          </w:p>
        </w:tc>
        <w:tc>
          <w:tcPr>
            <w:tcW w:w="1598" w:type="dxa"/>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ZH23128130001</w:t>
            </w:r>
          </w:p>
        </w:tc>
        <w:tc>
          <w:tcPr>
            <w:tcW w:w="807" w:type="dxa"/>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安达市永久基本农田</w:t>
            </w:r>
          </w:p>
        </w:tc>
        <w:tc>
          <w:tcPr>
            <w:tcW w:w="807" w:type="dxa"/>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一般管控单元</w:t>
            </w:r>
          </w:p>
        </w:tc>
        <w:tc>
          <w:tcPr>
            <w:tcW w:w="555" w:type="dxa"/>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rPr>
              <w:t>资源利用效率要求</w:t>
            </w:r>
          </w:p>
        </w:tc>
        <w:tc>
          <w:tcPr>
            <w:tcW w:w="3651" w:type="dxa"/>
            <w:vAlign w:val="top"/>
          </w:tcPr>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eastAsia" w:hAnsi="宋体"/>
                <w:color w:val="auto"/>
                <w:sz w:val="18"/>
                <w:szCs w:val="18"/>
              </w:rPr>
              <w:t>1.永久基本农田一经划定，任何单位和个人不得擅自占用或改变用途。一般建设项目不得占用永久基本农田。</w:t>
            </w:r>
          </w:p>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eastAsia" w:hAnsi="宋体"/>
                <w:color w:val="auto"/>
                <w:sz w:val="18"/>
                <w:szCs w:val="18"/>
              </w:rPr>
              <w:t>2.在永久基本农田集中区域，不得新建在可能造成土壤污染的建设项目；已经建成的，应当限期关闭拆除。</w:t>
            </w:r>
          </w:p>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eastAsia" w:hAnsi="宋体"/>
                <w:color w:val="auto"/>
                <w:sz w:val="18"/>
                <w:szCs w:val="18"/>
              </w:rPr>
              <w:t>3.禁止任何单位和个人在基本农田保护区内建窑、建房、建坟、挖砂、采石、采矿、取土、堆固体废弃物或者进行其他破坏基本农田的活动。</w:t>
            </w:r>
          </w:p>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eastAsia" w:hAnsi="宋体"/>
                <w:color w:val="auto"/>
                <w:sz w:val="18"/>
                <w:szCs w:val="18"/>
              </w:rPr>
              <w:t>4.禁止任何单位和个人占用基本农田发展林果业和挖塘养鱼。</w:t>
            </w:r>
          </w:p>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eastAsia" w:hAnsi="宋体"/>
                <w:color w:val="auto"/>
                <w:sz w:val="18"/>
                <w:szCs w:val="18"/>
              </w:rPr>
              <w:t>5.永久基本农田内不得种植破坏耕作层难以恢复的杨树、按树、构树等林木，不得种植草坪、草皮等用于绿化装饰的植物，不得种植其他破坏耕作层的植物。</w:t>
            </w:r>
          </w:p>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eastAsia" w:hAnsi="宋体"/>
                <w:color w:val="auto"/>
                <w:sz w:val="18"/>
                <w:szCs w:val="18"/>
              </w:rPr>
              <w:t>6.禁止任何单位和个人破坏永久基本农田耕作层。</w:t>
            </w:r>
          </w:p>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eastAsia" w:hAnsi="宋体"/>
                <w:color w:val="auto"/>
                <w:sz w:val="18"/>
                <w:szCs w:val="18"/>
              </w:rPr>
              <w:t>7.禁止以设施农用地为名违规占用永久基本农田建设休闲旅游、仓储厂房等设施。</w:t>
            </w:r>
          </w:p>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eastAsia" w:hAnsi="宋体"/>
                <w:color w:val="auto"/>
                <w:sz w:val="18"/>
                <w:szCs w:val="18"/>
              </w:rPr>
              <w:t>8.禁止向农用地排放重金属或者其他有毒有害物质含量超标的污水、污泥，以及可能造成土壤污染的清淤底泥、尾矿、矿渣等。</w:t>
            </w:r>
          </w:p>
        </w:tc>
        <w:tc>
          <w:tcPr>
            <w:tcW w:w="1598" w:type="dxa"/>
            <w:vAlign w:val="top"/>
          </w:tcPr>
          <w:p>
            <w:pPr>
              <w:keepNext w:val="0"/>
              <w:keepLines w:val="0"/>
              <w:suppressLineNumbers w:val="0"/>
              <w:spacing w:before="0" w:beforeAutospacing="0" w:after="0" w:afterAutospacing="0" w:line="240" w:lineRule="exact"/>
              <w:ind w:left="0" w:right="0"/>
              <w:rPr>
                <w:rFonts w:hint="eastAsia" w:hAnsi="宋体"/>
                <w:color w:val="auto"/>
                <w:sz w:val="18"/>
                <w:szCs w:val="18"/>
              </w:rPr>
            </w:pPr>
            <w:r>
              <w:rPr>
                <w:rFonts w:hint="default" w:hAnsi="宋体"/>
                <w:color w:val="auto"/>
                <w:sz w:val="18"/>
                <w:szCs w:val="18"/>
              </w:rPr>
              <w:t>本工程属国家能源设施重点建设项目，根据地下储层特性，地质设计要求，工程无法避让基本农田，已按有关土地管理办法的要求，逐级上报土地管理部门批准。本工程总体布局采用环境影响最小的布局方案，尽可能减少占地和损耗，符合</w:t>
            </w:r>
            <w:r>
              <w:rPr>
                <w:rFonts w:hint="eastAsia" w:hAnsi="宋体"/>
                <w:color w:val="auto"/>
                <w:sz w:val="18"/>
                <w:szCs w:val="18"/>
              </w:rPr>
              <w:t>要求。</w:t>
            </w:r>
          </w:p>
        </w:tc>
      </w:tr>
    </w:tbl>
    <w:p>
      <w:pPr>
        <w:pStyle w:val="5"/>
        <w:spacing w:before="156" w:after="156"/>
        <w:rPr>
          <w:color w:val="auto"/>
        </w:rPr>
      </w:pPr>
      <w:r>
        <w:rPr>
          <w:color w:val="auto"/>
        </w:rPr>
        <w:t>项目选址合理性判定</w:t>
      </w:r>
    </w:p>
    <w:p>
      <w:pPr>
        <w:pStyle w:val="83"/>
        <w:bidi w:val="0"/>
        <w:rPr>
          <w:color w:val="auto"/>
        </w:rPr>
      </w:pPr>
      <w:r>
        <w:rPr>
          <w:rFonts w:hint="eastAsia"/>
          <w:color w:val="auto"/>
        </w:rPr>
        <w:t>本工程在选址时充分考虑了“地下决定地上，地下顾及地上”的原则，除占用永久基本农田外，不涉及自然保护区、风景名胜区、饮用水水源保护区、水土流失重点预防区和重点治理区等环境敏感区，不在生态红线内。依据《基本农田保护条例》中规定：国家能源、交通、水利、军事设施等重点建设项目选址确实无法避开基本农田保护区，需要占用基本农田，涉及农用地转用或者征用土地的必须经国务院批准。本工程属国家能源设施重点建设项目，根据地下储层特性，地质设计要求，工程无法避让基本农田，已按有关土地管理办法的要求，逐级上报土地管理部门批准。本工程总体布局采用环境影响最小的布局方案，尽可能减少占地和损耗。通过环境影响分析可知，本工程建设实施后周围环境质量能满足相关标准要求，对周围的环境影响均在可接受的范围内。因此，本工程选址在环境保护方面较合理。</w:t>
      </w:r>
    </w:p>
    <w:p>
      <w:pPr>
        <w:pStyle w:val="4"/>
        <w:numPr>
          <w:ilvl w:val="0"/>
          <w:numId w:val="0"/>
        </w:numPr>
        <w:spacing w:before="156" w:after="156"/>
        <w:rPr>
          <w:color w:val="auto"/>
        </w:rPr>
      </w:pPr>
      <w:bookmarkStart w:id="60" w:name="_Toc23499"/>
      <w:bookmarkStart w:id="61" w:name="_Toc4893"/>
      <w:bookmarkStart w:id="62" w:name="_Toc29616"/>
      <w:bookmarkStart w:id="63" w:name="_Toc22002"/>
      <w:bookmarkStart w:id="64" w:name="_Toc49174388"/>
      <w:bookmarkStart w:id="65" w:name="_Toc49174707"/>
      <w:bookmarkStart w:id="66" w:name="_Toc20719"/>
      <w:bookmarkStart w:id="67" w:name="_Toc49174944"/>
      <w:bookmarkStart w:id="68" w:name="_Toc49174598"/>
      <w:bookmarkStart w:id="69" w:name="_Toc9966"/>
      <w:bookmarkStart w:id="70" w:name="_Toc22578"/>
      <w:bookmarkStart w:id="71" w:name="_Toc2657"/>
      <w:bookmarkStart w:id="72" w:name="_Toc49174769"/>
      <w:bookmarkStart w:id="73" w:name="_Toc27792"/>
      <w:r>
        <w:rPr>
          <w:color w:val="auto"/>
        </w:rPr>
        <w:t>1.5关注的主要环境问题</w:t>
      </w:r>
      <w:bookmarkEnd w:id="60"/>
      <w:bookmarkEnd w:id="61"/>
      <w:bookmarkEnd w:id="62"/>
      <w:r>
        <w:rPr>
          <w:color w:val="auto"/>
        </w:rPr>
        <w:t>及环境影响</w:t>
      </w:r>
      <w:bookmarkEnd w:id="63"/>
      <w:bookmarkEnd w:id="64"/>
      <w:bookmarkEnd w:id="65"/>
      <w:bookmarkEnd w:id="66"/>
      <w:bookmarkEnd w:id="67"/>
      <w:bookmarkEnd w:id="68"/>
      <w:bookmarkEnd w:id="69"/>
      <w:bookmarkEnd w:id="70"/>
      <w:bookmarkEnd w:id="71"/>
      <w:bookmarkEnd w:id="72"/>
      <w:bookmarkEnd w:id="73"/>
    </w:p>
    <w:p>
      <w:pPr>
        <w:pStyle w:val="83"/>
        <w:bidi w:val="0"/>
        <w:rPr>
          <w:color w:val="auto"/>
        </w:rPr>
      </w:pPr>
      <w:r>
        <w:rPr>
          <w:color w:val="auto"/>
        </w:rPr>
        <w:t>本项目为</w:t>
      </w:r>
      <w:r>
        <w:rPr>
          <w:rFonts w:hint="eastAsia"/>
          <w:color w:val="auto"/>
        </w:rPr>
        <w:t>油田</w:t>
      </w:r>
      <w:r>
        <w:rPr>
          <w:color w:val="auto"/>
        </w:rPr>
        <w:t>开采项目，环境影响主要来源于钻井等工艺过程，环境影响包括施工期污染物排放造成的环境污染影响和占地及施工造成的生态影响。根据现状调查，本</w:t>
      </w:r>
      <w:r>
        <w:rPr>
          <w:rFonts w:hint="eastAsia"/>
          <w:color w:val="auto"/>
        </w:rPr>
        <w:t>工程除涉及永久基本农田外</w:t>
      </w:r>
      <w:r>
        <w:rPr>
          <w:color w:val="auto"/>
        </w:rPr>
        <w:t>未在自然保护区、风景名胜区等环境敏感区域内。</w:t>
      </w:r>
      <w:r>
        <w:rPr>
          <w:rFonts w:hint="eastAsia"/>
          <w:color w:val="auto"/>
        </w:rPr>
        <w:t>主要环境问题为</w:t>
      </w:r>
      <w:r>
        <w:rPr>
          <w:color w:val="auto"/>
        </w:rPr>
        <w:t>施工过程的各项污染物产生以及可能发生的风险对区域环境产生的影响、施工过程中产生的生态环境</w:t>
      </w:r>
      <w:r>
        <w:rPr>
          <w:rFonts w:hint="eastAsia"/>
          <w:color w:val="auto"/>
        </w:rPr>
        <w:t>影响</w:t>
      </w:r>
      <w:r>
        <w:rPr>
          <w:color w:val="auto"/>
        </w:rPr>
        <w:t>以及生态恢复措施。</w:t>
      </w:r>
    </w:p>
    <w:p>
      <w:pPr>
        <w:pStyle w:val="83"/>
        <w:bidi w:val="0"/>
        <w:rPr>
          <w:color w:val="auto"/>
        </w:rPr>
      </w:pPr>
      <w:r>
        <w:rPr>
          <w:rFonts w:hint="eastAsia"/>
          <w:color w:val="auto"/>
        </w:rPr>
        <w:t>（</w:t>
      </w:r>
      <w:r>
        <w:rPr>
          <w:color w:val="auto"/>
        </w:rPr>
        <w:t>1）环境空气</w:t>
      </w:r>
    </w:p>
    <w:p>
      <w:pPr>
        <w:pStyle w:val="83"/>
        <w:bidi w:val="0"/>
        <w:rPr>
          <w:rFonts w:hint="eastAsia"/>
          <w:color w:val="auto"/>
        </w:rPr>
      </w:pPr>
      <w:r>
        <w:rPr>
          <w:color w:val="auto"/>
        </w:rPr>
        <w:t>本工程施工期对空气环境的影响主要是施工活动产生的扬尘、车辆尾气、柴油机烟气</w:t>
      </w:r>
      <w:r>
        <w:rPr>
          <w:rFonts w:hint="eastAsia"/>
          <w:color w:val="auto"/>
        </w:rPr>
        <w:t>、放空火炬燃烧废气</w:t>
      </w:r>
      <w:r>
        <w:rPr>
          <w:color w:val="auto"/>
        </w:rPr>
        <w:t>。</w:t>
      </w:r>
    </w:p>
    <w:p>
      <w:pPr>
        <w:pStyle w:val="83"/>
        <w:bidi w:val="0"/>
        <w:rPr>
          <w:color w:val="auto"/>
        </w:rPr>
      </w:pPr>
      <w:r>
        <w:rPr>
          <w:color w:val="auto"/>
        </w:rPr>
        <w:t>由于这些影响都是暂时性的，施工一结束就随之消失，通过</w:t>
      </w:r>
      <w:r>
        <w:rPr>
          <w:rFonts w:hint="eastAsia"/>
          <w:color w:val="auto"/>
        </w:rPr>
        <w:t>采取</w:t>
      </w:r>
      <w:r>
        <w:rPr>
          <w:color w:val="auto"/>
        </w:rPr>
        <w:t>相应的防</w:t>
      </w:r>
      <w:r>
        <w:rPr>
          <w:rFonts w:hint="eastAsia"/>
          <w:color w:val="auto"/>
        </w:rPr>
        <w:t>治</w:t>
      </w:r>
      <w:r>
        <w:rPr>
          <w:color w:val="auto"/>
        </w:rPr>
        <w:t>措施，</w:t>
      </w:r>
      <w:r>
        <w:rPr>
          <w:rFonts w:hint="eastAsia"/>
          <w:color w:val="auto"/>
        </w:rPr>
        <w:t>本</w:t>
      </w:r>
      <w:r>
        <w:rPr>
          <w:color w:val="auto"/>
        </w:rPr>
        <w:t>项目建设对环境空气质量影响很小，施工期大气污染防治措施可行。</w:t>
      </w:r>
    </w:p>
    <w:p>
      <w:pPr>
        <w:pStyle w:val="83"/>
        <w:bidi w:val="0"/>
        <w:rPr>
          <w:color w:val="auto"/>
        </w:rPr>
      </w:pPr>
      <w:r>
        <w:rPr>
          <w:rFonts w:hint="eastAsia"/>
          <w:color w:val="auto"/>
        </w:rPr>
        <w:t>（</w:t>
      </w:r>
      <w:r>
        <w:rPr>
          <w:color w:val="auto"/>
        </w:rPr>
        <w:t>2）水环境</w:t>
      </w:r>
    </w:p>
    <w:p>
      <w:pPr>
        <w:pStyle w:val="83"/>
        <w:bidi w:val="0"/>
        <w:rPr>
          <w:rFonts w:hint="eastAsia"/>
          <w:color w:val="auto"/>
        </w:rPr>
      </w:pPr>
      <w:r>
        <w:rPr>
          <w:color w:val="auto"/>
        </w:rPr>
        <w:t>本工程施工期可能对地下水产生的影响主要为</w:t>
      </w:r>
      <w:r>
        <w:rPr>
          <w:rFonts w:hint="eastAsia"/>
          <w:color w:val="auto"/>
        </w:rPr>
        <w:t>生活污水</w:t>
      </w:r>
      <w:r>
        <w:rPr>
          <w:color w:val="auto"/>
        </w:rPr>
        <w:t>、</w:t>
      </w:r>
      <w:r>
        <w:rPr>
          <w:rFonts w:hint="eastAsia"/>
          <w:color w:val="auto"/>
        </w:rPr>
        <w:t>钻井废水</w:t>
      </w:r>
      <w:r>
        <w:rPr>
          <w:color w:val="auto"/>
        </w:rPr>
        <w:t>等污染物。</w:t>
      </w:r>
    </w:p>
    <w:p>
      <w:pPr>
        <w:pStyle w:val="83"/>
        <w:bidi w:val="0"/>
        <w:rPr>
          <w:rFonts w:hint="eastAsia"/>
          <w:color w:val="auto"/>
        </w:rPr>
      </w:pPr>
      <w:r>
        <w:rPr>
          <w:color w:val="auto"/>
        </w:rPr>
        <w:t>生活污水进入施工营地设置的污水池，施工结束后进行卫生处理，场地进行平整；钻井废水</w:t>
      </w:r>
      <w:r>
        <w:rPr>
          <w:rFonts w:hint="eastAsia"/>
          <w:color w:val="auto"/>
        </w:rPr>
        <w:t>执行泥浆不落地收集处理工艺，废弃泥浆在井场进行固液分离处理。分离出的液相处理达标后循环利用，分离出的固相废弃物，就近拉运至大庆市采油八厂废弃钻井液集中处理站统一处理，泥饼统一收集后转运至大庆油田采油八厂指定地点，作为油田铺路、铺垫井场等综合利用。</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r>
        <w:rPr>
          <w:rFonts w:hint="eastAsia"/>
          <w:color w:val="auto"/>
        </w:rPr>
        <w:t>不排入外环境。本工程各类废水均能得到合理妥善处置，对区域地表水环境基本不产生影响。</w:t>
      </w:r>
    </w:p>
    <w:p>
      <w:pPr>
        <w:pStyle w:val="83"/>
        <w:bidi w:val="0"/>
        <w:rPr>
          <w:rFonts w:hint="eastAsia"/>
          <w:color w:val="auto"/>
        </w:rPr>
      </w:pPr>
      <w:r>
        <w:rPr>
          <w:rFonts w:hint="eastAsia"/>
          <w:color w:val="auto"/>
        </w:rPr>
        <w:t>本工程采取严格的分区防渗和地下水定期监测等措施，正常状况下污染物下渗的可能性较小，不会对地下水环境产生污染影响。非正常状况下，根据影响分析结果可知，钻井液漏失及柴油储罐泄漏不会对下游居民点水井造成影响，本工程对地下水环境影响可以接受。</w:t>
      </w:r>
    </w:p>
    <w:p>
      <w:pPr>
        <w:pStyle w:val="83"/>
        <w:bidi w:val="0"/>
        <w:rPr>
          <w:color w:val="auto"/>
        </w:rPr>
      </w:pPr>
      <w:r>
        <w:rPr>
          <w:rFonts w:hint="eastAsia"/>
          <w:color w:val="auto"/>
        </w:rPr>
        <w:t>（3</w:t>
      </w:r>
      <w:r>
        <w:rPr>
          <w:color w:val="auto"/>
        </w:rPr>
        <w:t>）声环境</w:t>
      </w:r>
    </w:p>
    <w:p>
      <w:pPr>
        <w:pStyle w:val="83"/>
        <w:bidi w:val="0"/>
        <w:rPr>
          <w:color w:val="auto"/>
        </w:rPr>
      </w:pPr>
      <w:r>
        <w:rPr>
          <w:color w:val="auto"/>
        </w:rPr>
        <w:t>本工程施工期对声环境的影响主要为地面建设施工机械、车辆运行产生的噪声。</w:t>
      </w:r>
      <w:r>
        <w:rPr>
          <w:rFonts w:hint="eastAsia"/>
          <w:color w:val="auto"/>
        </w:rPr>
        <w:t>采取对钻井井场合理布局，合理安排施工进度，采用低噪声设备，注意对设备的维护和保养，加强施工管理等措施，</w:t>
      </w:r>
      <w:r>
        <w:rPr>
          <w:color w:val="auto"/>
        </w:rPr>
        <w:t>能够确保施工场界噪声满足《建筑施工场界环境噪声排放标准》（GB12523-2011）要求，不会对声环境产生较大影响</w:t>
      </w:r>
      <w:r>
        <w:rPr>
          <w:rFonts w:hint="eastAsia"/>
          <w:color w:val="auto"/>
        </w:rPr>
        <w:t>。</w:t>
      </w:r>
    </w:p>
    <w:p>
      <w:pPr>
        <w:pStyle w:val="83"/>
        <w:bidi w:val="0"/>
        <w:rPr>
          <w:color w:val="auto"/>
        </w:rPr>
      </w:pPr>
      <w:r>
        <w:rPr>
          <w:rFonts w:hint="eastAsia"/>
          <w:color w:val="auto"/>
        </w:rPr>
        <w:t>（4</w:t>
      </w:r>
      <w:r>
        <w:rPr>
          <w:color w:val="auto"/>
        </w:rPr>
        <w:t>）生态环境</w:t>
      </w:r>
    </w:p>
    <w:p>
      <w:pPr>
        <w:pStyle w:val="83"/>
        <w:bidi w:val="0"/>
        <w:rPr>
          <w:color w:val="auto"/>
        </w:rPr>
      </w:pPr>
      <w:r>
        <w:rPr>
          <w:color w:val="auto"/>
        </w:rPr>
        <w:t>本工程钻井施工等将发生的永久和临时占地，以及因机械设备、车辆的碾压、人员的践踏等活动将会对地表植被造成一定程度的破坏。临时占地暂时改变了土地利用形式，使区域的生产能力受到暂时性影响。</w:t>
      </w:r>
      <w:r>
        <w:rPr>
          <w:rFonts w:hint="eastAsia"/>
          <w:color w:val="auto"/>
        </w:rPr>
        <w:t>本工程所工区域所占均为基本农田，工程开发会对地表植被造成一定程度的破坏，将使开发区域内的第一生产者的生物量有一定程度的下降，同时工程建设活动会增加一定占地对地表植被造成破坏，在短期内出现局部裸地，土壤层次、结构发生了改变，若不及时恢复，由于水土流失加剧增加了土地沙化的可能性。在采取对临时占地进行及时恢复，</w:t>
      </w:r>
      <w:r>
        <w:rPr>
          <w:color w:val="auto"/>
        </w:rPr>
        <w:t>工程严格执行占地标准，严格规范在占地内的施工建设和运行期井场作业活动，限制施工、作业范围和时限，尽量减少对耕地的占用，并对占地进行了补偿，将工程对基本农田损失降至最小。在采取必要的保护措施后，可以最大程度减小对生态环境的不利影响，加快生态环境的恢复。</w:t>
      </w:r>
      <w:r>
        <w:rPr>
          <w:rFonts w:hint="eastAsia"/>
          <w:color w:val="auto"/>
        </w:rPr>
        <w:t>对生态环境的影响可接受。</w:t>
      </w:r>
    </w:p>
    <w:p>
      <w:pPr>
        <w:pStyle w:val="83"/>
        <w:bidi w:val="0"/>
        <w:rPr>
          <w:color w:val="auto"/>
        </w:rPr>
      </w:pPr>
      <w:r>
        <w:rPr>
          <w:color w:val="auto"/>
        </w:rPr>
        <w:t>（5）土壤环境</w:t>
      </w:r>
    </w:p>
    <w:p>
      <w:pPr>
        <w:pStyle w:val="83"/>
        <w:bidi w:val="0"/>
        <w:rPr>
          <w:rFonts w:hint="eastAsia"/>
          <w:color w:val="auto"/>
        </w:rPr>
      </w:pPr>
      <w:r>
        <w:rPr>
          <w:color w:val="auto"/>
        </w:rPr>
        <w:t>本项目对土壤环境的影响主要表现在钻井过程发生井喷及柴油罐泄漏事故时泄漏的石油烃可能对土壤环境造成污染，可对土壤的化学、生物性质等方面造成影响。</w:t>
      </w:r>
    </w:p>
    <w:p>
      <w:pPr>
        <w:pStyle w:val="83"/>
        <w:bidi w:val="0"/>
        <w:rPr>
          <w:color w:val="auto"/>
        </w:rPr>
      </w:pPr>
      <w:r>
        <w:rPr>
          <w:color w:val="auto"/>
        </w:rPr>
        <w:t>本工程对土壤的影响主要集中在井场附近。针对工程可能发生的土壤污染，按照“源头控制、末端防治、污染监控、应急响应”相结合的原则，从污染物的产生、入渗、扩散、应急响应全阶段进行控制。通过类比分析可知企业在项目实施之后能够较好的落实污染防治措施，因此，油田开发对土壤环境影响较小，根据项目分布情况，各场地布置土壤跟踪监测点，定期对重点影响区及土壤环境敏感点附近土壤环境进行监测。</w:t>
      </w:r>
    </w:p>
    <w:p>
      <w:pPr>
        <w:pStyle w:val="83"/>
        <w:bidi w:val="0"/>
        <w:rPr>
          <w:color w:val="auto"/>
        </w:rPr>
      </w:pPr>
      <w:r>
        <w:rPr>
          <w:rFonts w:hint="eastAsia"/>
          <w:color w:val="auto"/>
        </w:rPr>
        <w:t>（6</w:t>
      </w:r>
      <w:r>
        <w:rPr>
          <w:color w:val="auto"/>
        </w:rPr>
        <w:t>）固体废物</w:t>
      </w:r>
    </w:p>
    <w:p>
      <w:pPr>
        <w:pStyle w:val="83"/>
        <w:bidi w:val="0"/>
        <w:rPr>
          <w:rFonts w:hint="eastAsia"/>
          <w:color w:val="auto"/>
          <w:lang w:eastAsia="zh-CN"/>
        </w:rPr>
      </w:pPr>
      <w:r>
        <w:rPr>
          <w:color w:val="auto"/>
        </w:rPr>
        <w:t>本工程施工期产生的固体废物</w:t>
      </w:r>
      <w:r>
        <w:rPr>
          <w:rFonts w:hint="eastAsia"/>
          <w:color w:val="auto"/>
        </w:rPr>
        <w:t>为</w:t>
      </w:r>
      <w:r>
        <w:rPr>
          <w:rFonts w:hint="eastAsia"/>
          <w:color w:val="auto"/>
          <w:lang w:val="en-US" w:eastAsia="zh-CN"/>
        </w:rPr>
        <w:t>废弃水基</w:t>
      </w:r>
      <w:r>
        <w:rPr>
          <w:color w:val="auto"/>
        </w:rPr>
        <w:t>钻井液</w:t>
      </w:r>
      <w:r>
        <w:rPr>
          <w:rFonts w:hint="eastAsia"/>
          <w:color w:val="auto"/>
          <w:lang w:val="en-US" w:eastAsia="zh-CN"/>
        </w:rPr>
        <w:t>及</w:t>
      </w:r>
      <w:r>
        <w:rPr>
          <w:color w:val="auto"/>
        </w:rPr>
        <w:t>钻井岩屑、</w:t>
      </w:r>
      <w:r>
        <w:rPr>
          <w:rFonts w:hint="eastAsia"/>
          <w:color w:val="auto"/>
          <w:lang w:val="en-US" w:eastAsia="zh-CN"/>
        </w:rPr>
        <w:t>废弃油基</w:t>
      </w:r>
      <w:r>
        <w:rPr>
          <w:color w:val="auto"/>
        </w:rPr>
        <w:t>钻井液</w:t>
      </w:r>
      <w:r>
        <w:rPr>
          <w:rFonts w:hint="eastAsia"/>
          <w:color w:val="auto"/>
          <w:lang w:val="en-US" w:eastAsia="zh-CN"/>
        </w:rPr>
        <w:t>及</w:t>
      </w:r>
      <w:r>
        <w:rPr>
          <w:color w:val="auto"/>
        </w:rPr>
        <w:t>钻井岩屑、废包装袋及破损的废防渗布及生活垃圾等。废弃钻井液、钻井岩屑</w:t>
      </w:r>
      <w:r>
        <w:rPr>
          <w:rFonts w:hint="eastAsia"/>
          <w:color w:val="auto"/>
        </w:rPr>
        <w:t>执行泥浆不落地收集处理工艺，废弃</w:t>
      </w:r>
      <w:r>
        <w:rPr>
          <w:rFonts w:hint="eastAsia"/>
          <w:color w:val="auto"/>
          <w:lang w:val="en-US" w:eastAsia="zh-CN"/>
        </w:rPr>
        <w:t>水基</w:t>
      </w:r>
      <w:r>
        <w:rPr>
          <w:rFonts w:hint="eastAsia"/>
          <w:color w:val="auto"/>
        </w:rPr>
        <w:t>泥浆在井场进行固液分离处理。分离出的液相处理达标后循环利用，分离出的固相废弃物，就近拉运至大庆市采油八厂废弃钻井液集中处理站统一处理，泥饼统一收集后转运至大庆油田采油八厂指定地点，作为油田铺路、铺垫井场等综合利用</w:t>
      </w:r>
      <w:r>
        <w:rPr>
          <w:rFonts w:hint="eastAsia"/>
          <w:color w:val="auto"/>
          <w:lang w:eastAsia="zh-CN"/>
        </w:rPr>
        <w:t>，</w:t>
      </w:r>
      <w:r>
        <w:rPr>
          <w:rFonts w:hint="eastAsia"/>
          <w:color w:val="auto"/>
        </w:rPr>
        <w:t>不排入外环境</w:t>
      </w:r>
      <w:r>
        <w:rPr>
          <w:rFonts w:hint="eastAsia"/>
          <w:color w:val="auto"/>
          <w:lang w:eastAsia="zh-CN"/>
        </w:rPr>
        <w:t>；</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r>
        <w:rPr>
          <w:rFonts w:hint="eastAsia"/>
          <w:color w:val="auto"/>
        </w:rPr>
        <w:t>施工人员产生的生活垃圾统一收集后交当地环卫部门处理</w:t>
      </w:r>
      <w:r>
        <w:rPr>
          <w:color w:val="auto"/>
        </w:rPr>
        <w:t>；一般固废包装袋统一收集后</w:t>
      </w:r>
      <w:r>
        <w:rPr>
          <w:rFonts w:hint="eastAsia"/>
          <w:color w:val="auto"/>
        </w:rPr>
        <w:t>送大庆市岗源环保科技有限责任公司</w:t>
      </w:r>
      <w:r>
        <w:rPr>
          <w:color w:val="auto"/>
        </w:rPr>
        <w:t>工业</w:t>
      </w:r>
      <w:r>
        <w:rPr>
          <w:rFonts w:hint="eastAsia"/>
          <w:color w:val="auto"/>
        </w:rPr>
        <w:t>废弃物处置中心</w:t>
      </w:r>
      <w:r>
        <w:rPr>
          <w:color w:val="auto"/>
        </w:rPr>
        <w:t>处置。</w:t>
      </w:r>
      <w:r>
        <w:rPr>
          <w:rFonts w:hint="eastAsia"/>
          <w:color w:val="auto"/>
        </w:rPr>
        <w:t>本项目产生的氢氧化钾</w:t>
      </w:r>
      <w:r>
        <w:rPr>
          <w:rFonts w:hint="eastAsia"/>
          <w:color w:val="auto"/>
          <w:lang w:eastAsia="zh-CN"/>
        </w:rPr>
        <w:t>包装袋</w:t>
      </w:r>
      <w:r>
        <w:rPr>
          <w:rFonts w:hint="eastAsia"/>
          <w:color w:val="auto"/>
        </w:rPr>
        <w:t>属于危险废物，委托有资质单位处理</w:t>
      </w:r>
      <w:r>
        <w:rPr>
          <w:rFonts w:hint="eastAsia"/>
          <w:color w:val="auto"/>
          <w:lang w:eastAsia="zh-CN"/>
        </w:rPr>
        <w:t>。</w:t>
      </w:r>
      <w:r>
        <w:rPr>
          <w:rFonts w:hint="eastAsia"/>
          <w:color w:val="auto"/>
          <w:lang w:val="en-US" w:eastAsia="zh-CN"/>
        </w:rPr>
        <w:t>沾油废弃防渗布送大庆中林绿源生物环保有限公司处理。</w:t>
      </w:r>
    </w:p>
    <w:p>
      <w:pPr>
        <w:pStyle w:val="83"/>
        <w:bidi w:val="0"/>
        <w:rPr>
          <w:color w:val="auto"/>
        </w:rPr>
      </w:pPr>
      <w:r>
        <w:rPr>
          <w:rFonts w:hint="eastAsia"/>
          <w:color w:val="auto"/>
        </w:rPr>
        <w:t>（7</w:t>
      </w:r>
      <w:r>
        <w:rPr>
          <w:color w:val="auto"/>
        </w:rPr>
        <w:t>）环境风险</w:t>
      </w:r>
    </w:p>
    <w:p>
      <w:pPr>
        <w:pStyle w:val="83"/>
        <w:bidi w:val="0"/>
        <w:rPr>
          <w:color w:val="auto"/>
        </w:rPr>
      </w:pPr>
      <w:r>
        <w:rPr>
          <w:color w:val="auto"/>
        </w:rPr>
        <w:t>本工程的主要环境风险是柴油储罐泄漏和火灾爆炸，对区域内的环境空气和生态环境等有潜在危害性。</w:t>
      </w:r>
      <w:r>
        <w:rPr>
          <w:rFonts w:hint="eastAsia"/>
          <w:color w:val="auto"/>
        </w:rPr>
        <w:t>加强钻井施工过程中的井控管理，落实套损、井漏、防火、防爆、防油气泄漏等风险防范措施，制定应急预案，加强管理和生产组织协调，避免环境风险事件发生。</w:t>
      </w:r>
    </w:p>
    <w:p>
      <w:pPr>
        <w:pStyle w:val="4"/>
        <w:numPr>
          <w:ilvl w:val="0"/>
          <w:numId w:val="0"/>
        </w:numPr>
        <w:spacing w:before="156" w:after="156"/>
        <w:rPr>
          <w:color w:val="auto"/>
        </w:rPr>
      </w:pPr>
      <w:bookmarkStart w:id="74" w:name="_Toc25890"/>
      <w:bookmarkStart w:id="75" w:name="_Toc24102"/>
      <w:bookmarkStart w:id="76" w:name="_Toc23189"/>
      <w:bookmarkStart w:id="77" w:name="_Toc49174389"/>
      <w:bookmarkStart w:id="78" w:name="_Toc11849"/>
      <w:bookmarkStart w:id="79" w:name="_Toc6544"/>
      <w:bookmarkStart w:id="80" w:name="_Toc49174708"/>
      <w:bookmarkStart w:id="81" w:name="_Toc28643"/>
      <w:bookmarkStart w:id="82" w:name="_Toc49174770"/>
      <w:bookmarkStart w:id="83" w:name="_Toc28749"/>
      <w:bookmarkStart w:id="84" w:name="_Toc49174599"/>
      <w:bookmarkStart w:id="85" w:name="_Toc10155"/>
      <w:bookmarkStart w:id="86" w:name="_Toc49174945"/>
      <w:bookmarkStart w:id="87" w:name="_Toc6745"/>
      <w:bookmarkStart w:id="88" w:name="_Toc20875"/>
      <w:r>
        <w:rPr>
          <w:color w:val="auto"/>
        </w:rPr>
        <w:t>1.6环境影响评价的主要结论</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pPr>
        <w:pStyle w:val="83"/>
        <w:bidi w:val="0"/>
        <w:rPr>
          <w:color w:val="auto"/>
        </w:rPr>
      </w:pPr>
      <w:r>
        <w:rPr>
          <w:color w:val="auto"/>
        </w:rPr>
        <w:t>根据《产业结构调整指导目录（2019年本）》</w:t>
      </w:r>
      <w:r>
        <w:rPr>
          <w:rFonts w:hint="eastAsia"/>
          <w:color w:val="auto"/>
        </w:rPr>
        <w:t>（2021年12月30日）</w:t>
      </w:r>
      <w:r>
        <w:rPr>
          <w:color w:val="auto"/>
        </w:rPr>
        <w:t>，石油、天然气勘探及开采属于鼓励类项目，本工程符合国家产业政策。</w:t>
      </w:r>
    </w:p>
    <w:p>
      <w:pPr>
        <w:pStyle w:val="83"/>
        <w:bidi w:val="0"/>
        <w:rPr>
          <w:color w:val="auto"/>
        </w:rPr>
      </w:pPr>
      <w:r>
        <w:rPr>
          <w:color w:val="auto"/>
        </w:rPr>
        <w:t>本报告书较为详细地论述了建设项目环境概况、主要环境问题、主要环境影响和拟采取的环保措施。主要结论为：</w:t>
      </w:r>
      <w:r>
        <w:rPr>
          <w:rFonts w:hint="eastAsia"/>
          <w:color w:val="auto"/>
          <w:lang w:eastAsia="zh-CN"/>
        </w:rPr>
        <w:t>大庆升平储气库</w:t>
      </w:r>
      <w:r>
        <w:rPr>
          <w:color w:val="auto"/>
        </w:rPr>
        <w:t>钻井</w:t>
      </w:r>
      <w:r>
        <w:rPr>
          <w:rFonts w:hint="eastAsia"/>
          <w:color w:val="auto"/>
        </w:rPr>
        <w:t>工程</w:t>
      </w:r>
      <w:r>
        <w:rPr>
          <w:color w:val="auto"/>
        </w:rPr>
        <w:t>符合国家产业政策和当地经济发展规划，公众认同性较好。只要在建设过程中认真落实各项污染防治措施、生态保护措施和风险防范措施后，各项污染物能够做到达标排放，其生态破坏可降至最低，环境风险可以接受，从环境保护角度看，本项目建设是可行的。</w:t>
      </w:r>
    </w:p>
    <w:p>
      <w:pPr>
        <w:pStyle w:val="83"/>
        <w:bidi w:val="0"/>
        <w:rPr>
          <w:color w:val="auto"/>
        </w:rPr>
        <w:sectPr>
          <w:headerReference r:id="rId5" w:type="default"/>
          <w:footerReference r:id="rId6" w:type="default"/>
          <w:pgSz w:w="11850" w:h="16783"/>
          <w:pgMar w:top="1361" w:right="1417" w:bottom="1361" w:left="1417" w:header="851" w:footer="992" w:gutter="0"/>
          <w:pgNumType w:start="1"/>
          <w:cols w:space="720" w:num="1"/>
          <w:docGrid w:type="lines" w:linePitch="312" w:charSpace="0"/>
        </w:sectPr>
      </w:pPr>
    </w:p>
    <w:p>
      <w:pPr>
        <w:pStyle w:val="3"/>
        <w:spacing w:before="312" w:after="312"/>
        <w:rPr>
          <w:color w:val="auto"/>
        </w:rPr>
      </w:pPr>
      <w:bookmarkStart w:id="89" w:name="_Toc49174390"/>
      <w:bookmarkStart w:id="90" w:name="_Toc49174600"/>
      <w:bookmarkStart w:id="91" w:name="_Toc2145"/>
      <w:bookmarkStart w:id="92" w:name="_Toc49174709"/>
      <w:bookmarkStart w:id="93" w:name="_Toc49174479"/>
      <w:bookmarkStart w:id="94" w:name="_Toc25589"/>
      <w:bookmarkStart w:id="95" w:name="_Toc49174443"/>
      <w:bookmarkStart w:id="96" w:name="_Toc49174946"/>
      <w:bookmarkStart w:id="97" w:name="_Toc49174771"/>
      <w:r>
        <w:rPr>
          <w:color w:val="auto"/>
        </w:rPr>
        <w:t>总  则</w:t>
      </w:r>
      <w:bookmarkEnd w:id="89"/>
      <w:bookmarkEnd w:id="90"/>
      <w:bookmarkEnd w:id="91"/>
      <w:bookmarkEnd w:id="92"/>
      <w:bookmarkEnd w:id="93"/>
      <w:bookmarkEnd w:id="94"/>
      <w:bookmarkEnd w:id="95"/>
      <w:bookmarkEnd w:id="96"/>
      <w:bookmarkEnd w:id="97"/>
    </w:p>
    <w:p>
      <w:pPr>
        <w:pStyle w:val="4"/>
        <w:spacing w:before="156" w:after="156"/>
        <w:rPr>
          <w:color w:val="auto"/>
        </w:rPr>
      </w:pPr>
      <w:bookmarkStart w:id="98" w:name="_Toc49174710"/>
      <w:bookmarkStart w:id="99" w:name="_Toc9512"/>
      <w:bookmarkStart w:id="100" w:name="_Toc26182"/>
      <w:bookmarkStart w:id="101" w:name="_Toc6239"/>
      <w:bookmarkStart w:id="102" w:name="_Toc21978"/>
      <w:bookmarkStart w:id="103" w:name="_Toc49174601"/>
      <w:bookmarkStart w:id="104" w:name="_Toc49174947"/>
      <w:bookmarkStart w:id="105" w:name="_Toc23099"/>
      <w:bookmarkStart w:id="106" w:name="_Toc49174772"/>
      <w:bookmarkStart w:id="107" w:name="_Toc49174391"/>
      <w:bookmarkStart w:id="108" w:name="_Toc9149"/>
      <w:bookmarkStart w:id="109" w:name="_Toc86985559"/>
      <w:bookmarkStart w:id="110" w:name="_Toc104003461"/>
      <w:bookmarkStart w:id="111" w:name="_Toc78774981"/>
      <w:bookmarkStart w:id="112" w:name="_Toc92780866"/>
      <w:bookmarkStart w:id="113" w:name="_Toc92810066"/>
      <w:bookmarkStart w:id="114" w:name="_Toc89160754"/>
      <w:bookmarkStart w:id="115" w:name="_Toc87277992"/>
      <w:bookmarkStart w:id="116" w:name="_Toc77923714"/>
      <w:r>
        <w:rPr>
          <w:rFonts w:eastAsia="宋体"/>
          <w:color w:val="auto"/>
        </w:rPr>
        <w:t>编制依据</w:t>
      </w:r>
      <w:bookmarkEnd w:id="98"/>
      <w:bookmarkEnd w:id="99"/>
      <w:bookmarkEnd w:id="100"/>
      <w:bookmarkEnd w:id="101"/>
      <w:bookmarkEnd w:id="102"/>
      <w:bookmarkEnd w:id="103"/>
      <w:bookmarkEnd w:id="104"/>
      <w:bookmarkEnd w:id="105"/>
      <w:bookmarkEnd w:id="106"/>
      <w:bookmarkEnd w:id="107"/>
      <w:bookmarkEnd w:id="108"/>
    </w:p>
    <w:bookmarkEnd w:id="109"/>
    <w:bookmarkEnd w:id="110"/>
    <w:bookmarkEnd w:id="111"/>
    <w:bookmarkEnd w:id="112"/>
    <w:bookmarkEnd w:id="113"/>
    <w:bookmarkEnd w:id="114"/>
    <w:bookmarkEnd w:id="115"/>
    <w:bookmarkEnd w:id="116"/>
    <w:p>
      <w:pPr>
        <w:pStyle w:val="5"/>
        <w:spacing w:before="159" w:beforeLines="50" w:after="159" w:afterLines="50" w:line="480" w:lineRule="exact"/>
        <w:rPr>
          <w:b w:val="0"/>
          <w:snapToGrid w:val="0"/>
          <w:color w:val="auto"/>
          <w:kern w:val="0"/>
          <w:sz w:val="28"/>
          <w:szCs w:val="28"/>
        </w:rPr>
      </w:pPr>
      <w:r>
        <w:rPr>
          <w:rFonts w:hAnsi="宋体"/>
          <w:b w:val="0"/>
          <w:snapToGrid w:val="0"/>
          <w:color w:val="auto"/>
          <w:kern w:val="0"/>
          <w:sz w:val="28"/>
          <w:szCs w:val="28"/>
        </w:rPr>
        <w:t>环境保护相关法律</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）《中华人民共和国环境保护法》（</w:t>
      </w:r>
      <w:r>
        <w:rPr>
          <w:color w:val="auto"/>
          <w:sz w:val="28"/>
          <w:szCs w:val="28"/>
        </w:rPr>
        <w:t>2015.01.01</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）《中华人民共和国环境影响评价法》（</w:t>
      </w:r>
      <w:r>
        <w:rPr>
          <w:color w:val="auto"/>
          <w:sz w:val="28"/>
          <w:szCs w:val="28"/>
        </w:rPr>
        <w:t>2018.12.29</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3</w:t>
      </w:r>
      <w:r>
        <w:rPr>
          <w:rFonts w:hAnsi="宋体"/>
          <w:color w:val="auto"/>
          <w:sz w:val="28"/>
          <w:szCs w:val="28"/>
        </w:rPr>
        <w:t>）《中华人民共和国土壤污染防治法》（</w:t>
      </w:r>
      <w:r>
        <w:rPr>
          <w:color w:val="auto"/>
          <w:sz w:val="28"/>
          <w:szCs w:val="28"/>
        </w:rPr>
        <w:t>2019.01.01</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4</w:t>
      </w:r>
      <w:r>
        <w:rPr>
          <w:rFonts w:hAnsi="宋体"/>
          <w:color w:val="auto"/>
          <w:sz w:val="28"/>
          <w:szCs w:val="28"/>
        </w:rPr>
        <w:t>）《中华人民共和国大气污染防治法》（</w:t>
      </w:r>
      <w:r>
        <w:rPr>
          <w:color w:val="auto"/>
          <w:sz w:val="28"/>
          <w:szCs w:val="28"/>
        </w:rPr>
        <w:t>2018.10.26</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5</w:t>
      </w:r>
      <w:r>
        <w:rPr>
          <w:rFonts w:hAnsi="宋体"/>
          <w:color w:val="auto"/>
          <w:sz w:val="28"/>
          <w:szCs w:val="28"/>
        </w:rPr>
        <w:t>）《中华人民共和国水污染防治法》（</w:t>
      </w:r>
      <w:r>
        <w:rPr>
          <w:color w:val="auto"/>
          <w:sz w:val="28"/>
          <w:szCs w:val="28"/>
        </w:rPr>
        <w:t>2018.01.01</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6</w:t>
      </w:r>
      <w:r>
        <w:rPr>
          <w:rFonts w:hAnsi="宋体"/>
          <w:color w:val="auto"/>
          <w:sz w:val="28"/>
          <w:szCs w:val="28"/>
        </w:rPr>
        <w:t>）《中华人民共和国环境噪声污染防治法》（</w:t>
      </w:r>
      <w:r>
        <w:rPr>
          <w:color w:val="auto"/>
          <w:sz w:val="28"/>
          <w:szCs w:val="28"/>
        </w:rPr>
        <w:t>2018.12.29</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7</w:t>
      </w:r>
      <w:r>
        <w:rPr>
          <w:rFonts w:hAnsi="宋体"/>
          <w:color w:val="auto"/>
          <w:sz w:val="28"/>
          <w:szCs w:val="28"/>
        </w:rPr>
        <w:t>）《</w:t>
      </w:r>
      <w:bookmarkStart w:id="117" w:name="OLE_LINK19"/>
      <w:bookmarkStart w:id="118" w:name="OLE_LINK18"/>
      <w:r>
        <w:rPr>
          <w:rFonts w:hAnsi="宋体"/>
          <w:color w:val="auto"/>
          <w:sz w:val="28"/>
          <w:szCs w:val="28"/>
        </w:rPr>
        <w:t>中华人民共和国固体废物污染环境防治法</w:t>
      </w:r>
      <w:bookmarkEnd w:id="117"/>
      <w:bookmarkEnd w:id="118"/>
      <w:r>
        <w:rPr>
          <w:rFonts w:hAnsi="宋体"/>
          <w:color w:val="auto"/>
          <w:sz w:val="28"/>
          <w:szCs w:val="28"/>
        </w:rPr>
        <w:t>》（</w:t>
      </w:r>
      <w:r>
        <w:rPr>
          <w:color w:val="auto"/>
          <w:sz w:val="28"/>
          <w:szCs w:val="28"/>
        </w:rPr>
        <w:t>2020.4.29</w:t>
      </w:r>
      <w:r>
        <w:rPr>
          <w:rFonts w:hAnsi="宋体"/>
          <w:color w:val="auto"/>
          <w:sz w:val="28"/>
          <w:szCs w:val="28"/>
        </w:rPr>
        <w:t>）。</w:t>
      </w:r>
    </w:p>
    <w:p>
      <w:pPr>
        <w:snapToGrid w:val="0"/>
        <w:spacing w:line="500" w:lineRule="exact"/>
        <w:ind w:firstLine="560" w:firstLineChars="200"/>
        <w:rPr>
          <w:color w:val="auto"/>
          <w:sz w:val="28"/>
          <w:szCs w:val="28"/>
        </w:rPr>
      </w:pPr>
      <w:r>
        <w:rPr>
          <w:rFonts w:hAnsi="宋体"/>
          <w:snapToGrid w:val="0"/>
          <w:color w:val="auto"/>
          <w:kern w:val="0"/>
          <w:sz w:val="28"/>
          <w:szCs w:val="28"/>
        </w:rPr>
        <w:t>（</w:t>
      </w:r>
      <w:r>
        <w:rPr>
          <w:snapToGrid w:val="0"/>
          <w:color w:val="auto"/>
          <w:kern w:val="0"/>
          <w:sz w:val="28"/>
          <w:szCs w:val="28"/>
        </w:rPr>
        <w:t>8</w:t>
      </w:r>
      <w:r>
        <w:rPr>
          <w:rFonts w:hAnsi="宋体"/>
          <w:snapToGrid w:val="0"/>
          <w:color w:val="auto"/>
          <w:kern w:val="0"/>
          <w:sz w:val="28"/>
          <w:szCs w:val="28"/>
        </w:rPr>
        <w:t>）</w:t>
      </w:r>
      <w:r>
        <w:rPr>
          <w:rFonts w:hAnsi="宋体"/>
          <w:color w:val="auto"/>
          <w:sz w:val="28"/>
          <w:szCs w:val="28"/>
        </w:rPr>
        <w:t>《</w:t>
      </w:r>
      <w:r>
        <w:rPr>
          <w:rFonts w:hAnsi="宋体"/>
          <w:color w:val="auto"/>
          <w:sz w:val="28"/>
          <w:szCs w:val="28"/>
          <w:shd w:val="clear" w:color="auto" w:fill="FFFFFF"/>
        </w:rPr>
        <w:t>中华人民共和国水土保持法</w:t>
      </w:r>
      <w:r>
        <w:rPr>
          <w:rFonts w:hAnsi="宋体"/>
          <w:color w:val="auto"/>
          <w:sz w:val="28"/>
          <w:szCs w:val="28"/>
        </w:rPr>
        <w:t>》（</w:t>
      </w:r>
      <w:r>
        <w:rPr>
          <w:color w:val="auto"/>
          <w:sz w:val="28"/>
          <w:szCs w:val="28"/>
        </w:rPr>
        <w:t>2011.03.01</w:t>
      </w:r>
      <w:r>
        <w:rPr>
          <w:rFonts w:hAnsi="宋体"/>
          <w:color w:val="auto"/>
          <w:sz w:val="28"/>
          <w:szCs w:val="28"/>
        </w:rPr>
        <w:t>）。</w:t>
      </w:r>
    </w:p>
    <w:p>
      <w:pPr>
        <w:snapToGrid w:val="0"/>
        <w:spacing w:line="500" w:lineRule="exact"/>
        <w:ind w:firstLine="560" w:firstLineChars="200"/>
        <w:rPr>
          <w:color w:val="auto"/>
          <w:sz w:val="28"/>
          <w:szCs w:val="28"/>
          <w:shd w:val="clear" w:color="auto" w:fill="FFFFFF"/>
        </w:rPr>
      </w:pPr>
      <w:r>
        <w:rPr>
          <w:rFonts w:hAnsi="宋体"/>
          <w:color w:val="auto"/>
          <w:sz w:val="28"/>
          <w:szCs w:val="28"/>
          <w:shd w:val="clear" w:color="auto" w:fill="FFFFFF"/>
        </w:rPr>
        <w:t>（</w:t>
      </w:r>
      <w:r>
        <w:rPr>
          <w:color w:val="auto"/>
          <w:sz w:val="28"/>
          <w:szCs w:val="28"/>
          <w:shd w:val="clear" w:color="auto" w:fill="FFFFFF"/>
        </w:rPr>
        <w:t>9</w:t>
      </w:r>
      <w:r>
        <w:rPr>
          <w:rFonts w:hAnsi="宋体"/>
          <w:color w:val="auto"/>
          <w:sz w:val="28"/>
          <w:szCs w:val="28"/>
          <w:shd w:val="clear" w:color="auto" w:fill="FFFFFF"/>
        </w:rPr>
        <w:t>）《中华人民共和国防沙治沙法》（</w:t>
      </w:r>
      <w:r>
        <w:rPr>
          <w:color w:val="auto"/>
          <w:sz w:val="28"/>
          <w:szCs w:val="28"/>
          <w:shd w:val="clear" w:color="auto" w:fill="FFFFFF"/>
        </w:rPr>
        <w:t>2018.10.26</w:t>
      </w:r>
      <w:r>
        <w:rPr>
          <w:rFonts w:hAnsi="宋体"/>
          <w:color w:val="auto"/>
          <w:sz w:val="28"/>
          <w:szCs w:val="28"/>
          <w:shd w:val="clear" w:color="auto" w:fill="FFFFFF"/>
        </w:rPr>
        <w:t>）；</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10</w:t>
      </w:r>
      <w:r>
        <w:rPr>
          <w:rFonts w:hAnsi="宋体"/>
          <w:color w:val="auto"/>
          <w:sz w:val="28"/>
          <w:szCs w:val="28"/>
        </w:rPr>
        <w:t>）《中华人民共和国草原法》（</w:t>
      </w:r>
      <w:r>
        <w:rPr>
          <w:color w:val="auto"/>
          <w:sz w:val="28"/>
          <w:szCs w:val="28"/>
        </w:rPr>
        <w:t>2021.4.29</w:t>
      </w:r>
      <w:r>
        <w:rPr>
          <w:rFonts w:hAnsi="宋体"/>
          <w:color w:val="auto"/>
          <w:sz w:val="28"/>
          <w:szCs w:val="28"/>
        </w:rPr>
        <w:t>）；</w:t>
      </w:r>
    </w:p>
    <w:p>
      <w:pPr>
        <w:snapToGrid w:val="0"/>
        <w:spacing w:line="500" w:lineRule="exact"/>
        <w:ind w:firstLine="560" w:firstLineChars="200"/>
        <w:rPr>
          <w:color w:val="auto"/>
          <w:sz w:val="28"/>
          <w:szCs w:val="28"/>
          <w:shd w:val="clear" w:color="auto" w:fill="FFFFFF"/>
        </w:rPr>
      </w:pPr>
      <w:r>
        <w:rPr>
          <w:rFonts w:hAnsi="宋体"/>
          <w:color w:val="auto"/>
          <w:sz w:val="28"/>
          <w:szCs w:val="28"/>
        </w:rPr>
        <w:t>（</w:t>
      </w:r>
      <w:r>
        <w:rPr>
          <w:color w:val="auto"/>
          <w:sz w:val="28"/>
          <w:szCs w:val="28"/>
        </w:rPr>
        <w:t>11</w:t>
      </w:r>
      <w:r>
        <w:rPr>
          <w:rFonts w:hAnsi="宋体"/>
          <w:color w:val="auto"/>
          <w:sz w:val="28"/>
          <w:szCs w:val="28"/>
        </w:rPr>
        <w:t>）《中华人民共和国土地管理法》（</w:t>
      </w:r>
      <w:r>
        <w:rPr>
          <w:color w:val="auto"/>
          <w:sz w:val="28"/>
          <w:szCs w:val="28"/>
        </w:rPr>
        <w:t>2020.1.1</w:t>
      </w:r>
      <w:r>
        <w:rPr>
          <w:rFonts w:hAnsi="宋体"/>
          <w:color w:val="auto"/>
          <w:sz w:val="28"/>
          <w:szCs w:val="28"/>
        </w:rPr>
        <w:t>）。</w:t>
      </w:r>
    </w:p>
    <w:p>
      <w:pPr>
        <w:pStyle w:val="5"/>
        <w:spacing w:before="159" w:beforeLines="50" w:after="159" w:afterLines="50" w:line="480" w:lineRule="exact"/>
        <w:rPr>
          <w:b w:val="0"/>
          <w:snapToGrid w:val="0"/>
          <w:color w:val="auto"/>
          <w:kern w:val="0"/>
          <w:sz w:val="28"/>
          <w:szCs w:val="28"/>
        </w:rPr>
      </w:pPr>
      <w:r>
        <w:rPr>
          <w:rFonts w:hAnsi="宋体"/>
          <w:b w:val="0"/>
          <w:snapToGrid w:val="0"/>
          <w:color w:val="auto"/>
          <w:kern w:val="0"/>
          <w:sz w:val="28"/>
          <w:szCs w:val="28"/>
        </w:rPr>
        <w:t>环境保护相关法规</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）《建设项目环境保护</w:t>
      </w:r>
      <w:r>
        <w:rPr>
          <w:color w:val="auto"/>
        </w:rPr>
        <w:fldChar w:fldCharType="begin"/>
      </w:r>
      <w:r>
        <w:rPr>
          <w:color w:val="auto"/>
        </w:rPr>
        <w:instrText xml:space="preserve"> HYPERLINK "http://baike.baidu.com/view/18841.htm" \t "_blank" </w:instrText>
      </w:r>
      <w:r>
        <w:rPr>
          <w:color w:val="auto"/>
        </w:rPr>
        <w:fldChar w:fldCharType="separate"/>
      </w:r>
      <w:r>
        <w:rPr>
          <w:rFonts w:hAnsi="宋体"/>
          <w:color w:val="auto"/>
          <w:sz w:val="28"/>
          <w:szCs w:val="28"/>
        </w:rPr>
        <w:t>管理</w:t>
      </w:r>
      <w:r>
        <w:rPr>
          <w:color w:val="auto"/>
          <w:sz w:val="28"/>
          <w:szCs w:val="28"/>
        </w:rPr>
        <w:fldChar w:fldCharType="end"/>
      </w:r>
      <w:r>
        <w:rPr>
          <w:rFonts w:hAnsi="宋体"/>
          <w:color w:val="auto"/>
          <w:sz w:val="28"/>
          <w:szCs w:val="28"/>
        </w:rPr>
        <w:t>条例》（</w:t>
      </w:r>
      <w:r>
        <w:rPr>
          <w:color w:val="auto"/>
          <w:sz w:val="28"/>
          <w:szCs w:val="28"/>
        </w:rPr>
        <w:t>2017.10.01</w:t>
      </w:r>
      <w:r>
        <w:rPr>
          <w:rFonts w:hAnsi="宋体"/>
          <w:color w:val="auto"/>
          <w:sz w:val="28"/>
          <w:szCs w:val="28"/>
        </w:rPr>
        <w:t>）；</w:t>
      </w:r>
    </w:p>
    <w:p>
      <w:pPr>
        <w:snapToGrid w:val="0"/>
        <w:spacing w:line="500" w:lineRule="exact"/>
        <w:ind w:firstLine="560" w:firstLineChars="200"/>
        <w:rPr>
          <w:snapToGrid w:val="0"/>
          <w:color w:val="auto"/>
          <w:kern w:val="0"/>
          <w:sz w:val="28"/>
          <w:szCs w:val="28"/>
        </w:rPr>
      </w:pPr>
      <w:r>
        <w:rPr>
          <w:rFonts w:hAnsi="宋体"/>
          <w:color w:val="auto"/>
          <w:sz w:val="28"/>
          <w:szCs w:val="28"/>
        </w:rPr>
        <w:t>（</w:t>
      </w:r>
      <w:r>
        <w:rPr>
          <w:color w:val="auto"/>
          <w:sz w:val="28"/>
          <w:szCs w:val="28"/>
        </w:rPr>
        <w:t>2</w:t>
      </w:r>
      <w:r>
        <w:rPr>
          <w:rFonts w:hAnsi="宋体"/>
          <w:color w:val="auto"/>
          <w:sz w:val="28"/>
          <w:szCs w:val="28"/>
        </w:rPr>
        <w:t>）《土地复垦条例》（</w:t>
      </w:r>
      <w:r>
        <w:rPr>
          <w:snapToGrid w:val="0"/>
          <w:color w:val="auto"/>
          <w:kern w:val="0"/>
          <w:sz w:val="28"/>
          <w:szCs w:val="28"/>
        </w:rPr>
        <w:t>2011.03.05</w:t>
      </w:r>
      <w:r>
        <w:rPr>
          <w:rFonts w:hAnsi="宋体"/>
          <w:snapToGrid w:val="0"/>
          <w:color w:val="auto"/>
          <w:kern w:val="0"/>
          <w:sz w:val="28"/>
          <w:szCs w:val="28"/>
        </w:rPr>
        <w:t>）；</w:t>
      </w:r>
    </w:p>
    <w:p>
      <w:pPr>
        <w:snapToGrid w:val="0"/>
        <w:spacing w:line="500" w:lineRule="exact"/>
        <w:ind w:firstLine="560" w:firstLineChars="200"/>
        <w:rPr>
          <w:color w:val="auto"/>
          <w:sz w:val="28"/>
          <w:szCs w:val="28"/>
        </w:rPr>
      </w:pPr>
      <w:r>
        <w:rPr>
          <w:rFonts w:hAnsi="宋体"/>
          <w:snapToGrid w:val="0"/>
          <w:color w:val="auto"/>
          <w:kern w:val="0"/>
          <w:sz w:val="28"/>
          <w:szCs w:val="28"/>
        </w:rPr>
        <w:t>（</w:t>
      </w:r>
      <w:r>
        <w:rPr>
          <w:snapToGrid w:val="0"/>
          <w:color w:val="auto"/>
          <w:kern w:val="0"/>
          <w:sz w:val="28"/>
          <w:szCs w:val="28"/>
        </w:rPr>
        <w:t>3</w:t>
      </w:r>
      <w:r>
        <w:rPr>
          <w:rFonts w:hAnsi="宋体"/>
          <w:snapToGrid w:val="0"/>
          <w:color w:val="auto"/>
          <w:kern w:val="0"/>
          <w:sz w:val="28"/>
          <w:szCs w:val="28"/>
        </w:rPr>
        <w:t>）《基本农田保护条例》</w:t>
      </w:r>
      <w:r>
        <w:rPr>
          <w:rFonts w:hAnsi="宋体"/>
          <w:color w:val="auto"/>
          <w:sz w:val="28"/>
          <w:szCs w:val="28"/>
        </w:rPr>
        <w:t>（</w:t>
      </w:r>
      <w:r>
        <w:rPr>
          <w:snapToGrid w:val="0"/>
          <w:color w:val="auto"/>
          <w:kern w:val="0"/>
          <w:sz w:val="28"/>
          <w:szCs w:val="28"/>
        </w:rPr>
        <w:t>1999.1.1</w:t>
      </w:r>
      <w:r>
        <w:rPr>
          <w:rFonts w:hAnsi="宋体"/>
          <w:snapToGrid w:val="0"/>
          <w:color w:val="auto"/>
          <w:kern w:val="0"/>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4</w:t>
      </w:r>
      <w:r>
        <w:rPr>
          <w:rFonts w:hAnsi="宋体"/>
          <w:color w:val="auto"/>
          <w:sz w:val="28"/>
          <w:szCs w:val="28"/>
        </w:rPr>
        <w:t>）《黑龙江省环境保护条例》（</w:t>
      </w:r>
      <w:r>
        <w:rPr>
          <w:color w:val="auto"/>
          <w:sz w:val="28"/>
          <w:szCs w:val="28"/>
        </w:rPr>
        <w:t>2018.06.28</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5</w:t>
      </w:r>
      <w:r>
        <w:rPr>
          <w:rFonts w:hAnsi="宋体"/>
          <w:color w:val="auto"/>
          <w:sz w:val="28"/>
          <w:szCs w:val="28"/>
        </w:rPr>
        <w:t>）《黑龙江省石油天然气勘探开发环境保护条例》（</w:t>
      </w:r>
      <w:r>
        <w:rPr>
          <w:color w:val="auto"/>
          <w:sz w:val="28"/>
          <w:szCs w:val="28"/>
        </w:rPr>
        <w:t>2018.04.26</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6</w:t>
      </w:r>
      <w:r>
        <w:rPr>
          <w:rFonts w:hAnsi="宋体"/>
          <w:color w:val="auto"/>
          <w:sz w:val="28"/>
          <w:szCs w:val="28"/>
        </w:rPr>
        <w:t>）《黑龙江省大气污染防治条例》（</w:t>
      </w:r>
      <w:r>
        <w:rPr>
          <w:color w:val="auto"/>
          <w:sz w:val="28"/>
          <w:szCs w:val="28"/>
        </w:rPr>
        <w:t>2018.12.27</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7</w:t>
      </w:r>
      <w:r>
        <w:rPr>
          <w:rFonts w:hAnsi="宋体"/>
          <w:color w:val="auto"/>
          <w:sz w:val="28"/>
          <w:szCs w:val="28"/>
        </w:rPr>
        <w:t>）《中华人民共和国水土保持法实施条例》（</w:t>
      </w:r>
      <w:r>
        <w:rPr>
          <w:color w:val="auto"/>
          <w:sz w:val="28"/>
          <w:szCs w:val="28"/>
        </w:rPr>
        <w:t>2011.01.08</w:t>
      </w:r>
      <w:r>
        <w:rPr>
          <w:rFonts w:hAnsi="宋体"/>
          <w:color w:val="auto"/>
          <w:sz w:val="28"/>
          <w:szCs w:val="28"/>
        </w:rPr>
        <w:t>）；</w:t>
      </w:r>
    </w:p>
    <w:p>
      <w:pPr>
        <w:pStyle w:val="82"/>
        <w:snapToGrid w:val="0"/>
        <w:spacing w:line="500" w:lineRule="exact"/>
        <w:ind w:firstLine="560" w:firstLineChars="200"/>
        <w:rPr>
          <w:snapToGrid/>
          <w:color w:val="auto"/>
          <w:kern w:val="2"/>
          <w:sz w:val="28"/>
          <w:szCs w:val="28"/>
        </w:rPr>
      </w:pPr>
      <w:r>
        <w:rPr>
          <w:rFonts w:hAnsi="宋体"/>
          <w:snapToGrid/>
          <w:color w:val="auto"/>
          <w:kern w:val="2"/>
          <w:sz w:val="28"/>
          <w:szCs w:val="28"/>
        </w:rPr>
        <w:t>（</w:t>
      </w:r>
      <w:r>
        <w:rPr>
          <w:snapToGrid/>
          <w:color w:val="auto"/>
          <w:kern w:val="2"/>
          <w:sz w:val="28"/>
          <w:szCs w:val="28"/>
        </w:rPr>
        <w:t>8</w:t>
      </w:r>
      <w:r>
        <w:rPr>
          <w:rFonts w:hAnsi="宋体"/>
          <w:snapToGrid/>
          <w:color w:val="auto"/>
          <w:kern w:val="2"/>
          <w:sz w:val="28"/>
          <w:szCs w:val="28"/>
        </w:rPr>
        <w:t>）《黑龙江省防沙治沙条例》（</w:t>
      </w:r>
      <w:r>
        <w:rPr>
          <w:snapToGrid/>
          <w:color w:val="auto"/>
          <w:kern w:val="2"/>
          <w:sz w:val="28"/>
          <w:szCs w:val="28"/>
        </w:rPr>
        <w:t>2018.06.28</w:t>
      </w:r>
      <w:r>
        <w:rPr>
          <w:rFonts w:hAnsi="宋体"/>
          <w:snapToGrid/>
          <w:color w:val="auto"/>
          <w:kern w:val="2"/>
          <w:sz w:val="28"/>
          <w:szCs w:val="28"/>
        </w:rPr>
        <w:t>）；</w:t>
      </w:r>
    </w:p>
    <w:p>
      <w:pPr>
        <w:pStyle w:val="82"/>
        <w:snapToGrid w:val="0"/>
        <w:spacing w:line="500" w:lineRule="exact"/>
        <w:ind w:firstLine="560" w:firstLineChars="200"/>
        <w:rPr>
          <w:rFonts w:hint="eastAsia" w:hAnsi="宋体"/>
          <w:snapToGrid/>
          <w:color w:val="auto"/>
          <w:kern w:val="2"/>
          <w:sz w:val="28"/>
          <w:szCs w:val="28"/>
        </w:rPr>
      </w:pPr>
      <w:r>
        <w:rPr>
          <w:rFonts w:hAnsi="宋体"/>
          <w:snapToGrid/>
          <w:color w:val="auto"/>
          <w:kern w:val="2"/>
          <w:sz w:val="28"/>
          <w:szCs w:val="28"/>
        </w:rPr>
        <w:t>（</w:t>
      </w:r>
      <w:r>
        <w:rPr>
          <w:snapToGrid/>
          <w:color w:val="auto"/>
          <w:kern w:val="2"/>
          <w:sz w:val="28"/>
          <w:szCs w:val="28"/>
        </w:rPr>
        <w:t>9</w:t>
      </w:r>
      <w:r>
        <w:rPr>
          <w:rFonts w:hAnsi="宋体"/>
          <w:snapToGrid/>
          <w:color w:val="auto"/>
          <w:kern w:val="2"/>
          <w:sz w:val="28"/>
          <w:szCs w:val="28"/>
        </w:rPr>
        <w:t>）《黑龙江省草原条例》（</w:t>
      </w:r>
      <w:r>
        <w:rPr>
          <w:snapToGrid/>
          <w:color w:val="auto"/>
          <w:kern w:val="2"/>
          <w:sz w:val="28"/>
          <w:szCs w:val="28"/>
        </w:rPr>
        <w:t>2018.06.28</w:t>
      </w:r>
      <w:r>
        <w:rPr>
          <w:rFonts w:hAnsi="宋体"/>
          <w:snapToGrid/>
          <w:color w:val="auto"/>
          <w:kern w:val="2"/>
          <w:sz w:val="28"/>
          <w:szCs w:val="28"/>
        </w:rPr>
        <w:t>）。</w:t>
      </w:r>
    </w:p>
    <w:p>
      <w:pPr>
        <w:pStyle w:val="82"/>
        <w:snapToGrid w:val="0"/>
        <w:spacing w:line="500" w:lineRule="exact"/>
        <w:ind w:firstLine="560" w:firstLineChars="200"/>
        <w:rPr>
          <w:rFonts w:hint="eastAsia" w:hAnsi="宋体"/>
          <w:snapToGrid/>
          <w:color w:val="auto"/>
          <w:kern w:val="2"/>
          <w:sz w:val="28"/>
          <w:szCs w:val="28"/>
        </w:rPr>
      </w:pPr>
      <w:r>
        <w:rPr>
          <w:rFonts w:hint="eastAsia" w:hAnsi="宋体"/>
          <w:snapToGrid/>
          <w:color w:val="auto"/>
          <w:kern w:val="2"/>
          <w:sz w:val="28"/>
          <w:szCs w:val="28"/>
        </w:rPr>
        <w:t>（10）</w:t>
      </w:r>
      <w:r>
        <w:rPr>
          <w:rFonts w:hAnsi="宋体"/>
          <w:snapToGrid/>
          <w:color w:val="auto"/>
          <w:kern w:val="2"/>
          <w:sz w:val="28"/>
          <w:szCs w:val="28"/>
        </w:rPr>
        <w:t>《地下水管理条例》（</w:t>
      </w:r>
      <w:r>
        <w:rPr>
          <w:snapToGrid/>
          <w:color w:val="auto"/>
          <w:kern w:val="2"/>
          <w:sz w:val="28"/>
          <w:szCs w:val="28"/>
        </w:rPr>
        <w:t>20</w:t>
      </w:r>
      <w:r>
        <w:rPr>
          <w:rFonts w:hint="eastAsia"/>
          <w:snapToGrid/>
          <w:color w:val="auto"/>
          <w:kern w:val="2"/>
          <w:sz w:val="28"/>
          <w:szCs w:val="28"/>
        </w:rPr>
        <w:t>21</w:t>
      </w:r>
      <w:r>
        <w:rPr>
          <w:snapToGrid/>
          <w:color w:val="auto"/>
          <w:kern w:val="2"/>
          <w:sz w:val="28"/>
          <w:szCs w:val="28"/>
        </w:rPr>
        <w:t>.</w:t>
      </w:r>
      <w:r>
        <w:rPr>
          <w:rFonts w:hint="eastAsia"/>
          <w:snapToGrid/>
          <w:color w:val="auto"/>
          <w:kern w:val="2"/>
          <w:sz w:val="28"/>
          <w:szCs w:val="28"/>
        </w:rPr>
        <w:t>12</w:t>
      </w:r>
      <w:r>
        <w:rPr>
          <w:snapToGrid/>
          <w:color w:val="auto"/>
          <w:kern w:val="2"/>
          <w:sz w:val="28"/>
          <w:szCs w:val="28"/>
        </w:rPr>
        <w:t>.</w:t>
      </w:r>
      <w:r>
        <w:rPr>
          <w:rFonts w:hint="eastAsia"/>
          <w:snapToGrid/>
          <w:color w:val="auto"/>
          <w:kern w:val="2"/>
          <w:sz w:val="28"/>
          <w:szCs w:val="28"/>
        </w:rPr>
        <w:t>1</w:t>
      </w:r>
      <w:r>
        <w:rPr>
          <w:rFonts w:hAnsi="宋体"/>
          <w:snapToGrid/>
          <w:color w:val="auto"/>
          <w:kern w:val="2"/>
          <w:sz w:val="28"/>
          <w:szCs w:val="28"/>
        </w:rPr>
        <w:t>）</w:t>
      </w:r>
      <w:r>
        <w:rPr>
          <w:rFonts w:hint="eastAsia" w:hAnsi="宋体"/>
          <w:snapToGrid/>
          <w:color w:val="auto"/>
          <w:kern w:val="2"/>
          <w:sz w:val="28"/>
          <w:szCs w:val="28"/>
        </w:rPr>
        <w:t>；</w:t>
      </w:r>
    </w:p>
    <w:p>
      <w:pPr>
        <w:pStyle w:val="82"/>
        <w:snapToGrid w:val="0"/>
        <w:spacing w:line="500" w:lineRule="exact"/>
        <w:ind w:firstLine="560" w:firstLineChars="200"/>
        <w:rPr>
          <w:rFonts w:hint="eastAsia" w:hAnsi="宋体"/>
          <w:snapToGrid/>
          <w:color w:val="auto"/>
          <w:kern w:val="2"/>
          <w:sz w:val="28"/>
          <w:szCs w:val="28"/>
        </w:rPr>
      </w:pPr>
      <w:r>
        <w:rPr>
          <w:rFonts w:hint="eastAsia" w:hAnsi="宋体"/>
          <w:snapToGrid/>
          <w:color w:val="auto"/>
          <w:kern w:val="2"/>
          <w:sz w:val="28"/>
          <w:szCs w:val="28"/>
        </w:rPr>
        <w:t>（11）</w:t>
      </w:r>
      <w:r>
        <w:rPr>
          <w:rFonts w:hAnsi="宋体"/>
          <w:snapToGrid/>
          <w:color w:val="auto"/>
          <w:kern w:val="2"/>
          <w:sz w:val="28"/>
          <w:szCs w:val="28"/>
        </w:rPr>
        <w:t>《关于强化管控落实最严格耕地保护制度的通知》（</w:t>
      </w:r>
      <w:r>
        <w:rPr>
          <w:snapToGrid/>
          <w:color w:val="auto"/>
          <w:kern w:val="2"/>
          <w:sz w:val="28"/>
          <w:szCs w:val="28"/>
        </w:rPr>
        <w:t>20</w:t>
      </w:r>
      <w:r>
        <w:rPr>
          <w:rFonts w:hint="eastAsia"/>
          <w:snapToGrid/>
          <w:color w:val="auto"/>
          <w:kern w:val="2"/>
          <w:sz w:val="28"/>
          <w:szCs w:val="28"/>
        </w:rPr>
        <w:t>14.2.13</w:t>
      </w:r>
      <w:r>
        <w:rPr>
          <w:rFonts w:hAnsi="宋体"/>
          <w:snapToGrid/>
          <w:color w:val="auto"/>
          <w:kern w:val="2"/>
          <w:sz w:val="28"/>
          <w:szCs w:val="28"/>
        </w:rPr>
        <w:t>）</w:t>
      </w:r>
      <w:r>
        <w:rPr>
          <w:rFonts w:hint="eastAsia" w:hAnsi="宋体"/>
          <w:snapToGrid/>
          <w:color w:val="auto"/>
          <w:kern w:val="2"/>
          <w:sz w:val="28"/>
          <w:szCs w:val="28"/>
        </w:rPr>
        <w:t>；</w:t>
      </w:r>
    </w:p>
    <w:p>
      <w:pPr>
        <w:pStyle w:val="82"/>
        <w:snapToGrid w:val="0"/>
        <w:spacing w:line="500" w:lineRule="exact"/>
        <w:ind w:firstLine="560" w:firstLineChars="200"/>
        <w:rPr>
          <w:rFonts w:hint="eastAsia" w:hAnsi="宋体"/>
          <w:snapToGrid/>
          <w:color w:val="auto"/>
          <w:kern w:val="2"/>
          <w:sz w:val="28"/>
          <w:szCs w:val="28"/>
        </w:rPr>
      </w:pPr>
      <w:r>
        <w:rPr>
          <w:rFonts w:hint="eastAsia" w:hAnsi="宋体"/>
          <w:snapToGrid/>
          <w:color w:val="auto"/>
          <w:kern w:val="2"/>
          <w:sz w:val="28"/>
          <w:szCs w:val="28"/>
        </w:rPr>
        <w:t>（12）</w:t>
      </w:r>
      <w:r>
        <w:rPr>
          <w:rFonts w:hAnsi="宋体"/>
          <w:snapToGrid/>
          <w:color w:val="auto"/>
          <w:kern w:val="2"/>
          <w:sz w:val="28"/>
          <w:szCs w:val="28"/>
        </w:rPr>
        <w:t>《黑龙江省十四五黑土地保护规划》（</w:t>
      </w:r>
      <w:r>
        <w:rPr>
          <w:rFonts w:hint="eastAsia" w:hAnsi="宋体"/>
          <w:snapToGrid/>
          <w:color w:val="auto"/>
          <w:kern w:val="2"/>
          <w:sz w:val="28"/>
          <w:szCs w:val="28"/>
        </w:rPr>
        <w:t>2121.12.31</w:t>
      </w:r>
      <w:r>
        <w:rPr>
          <w:rFonts w:hAnsi="宋体"/>
          <w:snapToGrid/>
          <w:color w:val="auto"/>
          <w:kern w:val="2"/>
          <w:sz w:val="28"/>
          <w:szCs w:val="28"/>
        </w:rPr>
        <w:t>）</w:t>
      </w:r>
      <w:r>
        <w:rPr>
          <w:rFonts w:hint="eastAsia" w:hAnsi="宋体"/>
          <w:snapToGrid/>
          <w:color w:val="auto"/>
          <w:kern w:val="2"/>
          <w:sz w:val="28"/>
          <w:szCs w:val="28"/>
        </w:rPr>
        <w:t>；</w:t>
      </w:r>
    </w:p>
    <w:p>
      <w:pPr>
        <w:pStyle w:val="82"/>
        <w:snapToGrid w:val="0"/>
        <w:spacing w:line="500" w:lineRule="exact"/>
        <w:ind w:firstLine="560" w:firstLineChars="200"/>
        <w:rPr>
          <w:rFonts w:hint="eastAsia" w:hAnsi="宋体"/>
          <w:snapToGrid/>
          <w:color w:val="auto"/>
          <w:kern w:val="2"/>
          <w:sz w:val="28"/>
          <w:szCs w:val="28"/>
        </w:rPr>
      </w:pPr>
      <w:r>
        <w:rPr>
          <w:rFonts w:hint="eastAsia" w:hAnsi="宋体"/>
          <w:snapToGrid/>
          <w:color w:val="auto"/>
          <w:kern w:val="2"/>
          <w:sz w:val="28"/>
          <w:szCs w:val="28"/>
        </w:rPr>
        <w:t>（13）</w:t>
      </w:r>
      <w:r>
        <w:rPr>
          <w:rFonts w:hAnsi="宋体"/>
          <w:snapToGrid/>
          <w:color w:val="auto"/>
          <w:kern w:val="2"/>
          <w:sz w:val="28"/>
          <w:szCs w:val="28"/>
        </w:rPr>
        <w:t>《</w:t>
      </w:r>
      <w:r>
        <w:rPr>
          <w:rFonts w:hint="eastAsia" w:hAnsi="宋体"/>
          <w:snapToGrid/>
          <w:color w:val="auto"/>
          <w:kern w:val="2"/>
          <w:sz w:val="28"/>
          <w:szCs w:val="28"/>
        </w:rPr>
        <w:t>黑龙江省耕地保护条例</w:t>
      </w:r>
      <w:r>
        <w:rPr>
          <w:rFonts w:hAnsi="宋体"/>
          <w:snapToGrid/>
          <w:color w:val="auto"/>
          <w:kern w:val="2"/>
          <w:sz w:val="28"/>
          <w:szCs w:val="28"/>
        </w:rPr>
        <w:t>》（</w:t>
      </w:r>
      <w:r>
        <w:rPr>
          <w:rFonts w:hint="eastAsia" w:hAnsi="宋体"/>
          <w:snapToGrid/>
          <w:color w:val="auto"/>
          <w:kern w:val="2"/>
          <w:sz w:val="28"/>
          <w:szCs w:val="28"/>
        </w:rPr>
        <w:t>2022.1.1</w:t>
      </w:r>
      <w:r>
        <w:rPr>
          <w:rFonts w:hAnsi="宋体"/>
          <w:snapToGrid/>
          <w:color w:val="auto"/>
          <w:kern w:val="2"/>
          <w:sz w:val="28"/>
          <w:szCs w:val="28"/>
        </w:rPr>
        <w:t>）</w:t>
      </w:r>
      <w:r>
        <w:rPr>
          <w:rFonts w:hint="eastAsia" w:hAnsi="宋体"/>
          <w:snapToGrid/>
          <w:color w:val="auto"/>
          <w:kern w:val="2"/>
          <w:sz w:val="28"/>
          <w:szCs w:val="28"/>
        </w:rPr>
        <w:t>；</w:t>
      </w:r>
    </w:p>
    <w:p>
      <w:pPr>
        <w:pStyle w:val="82"/>
        <w:snapToGrid w:val="0"/>
        <w:spacing w:line="500" w:lineRule="exact"/>
        <w:ind w:firstLine="560" w:firstLineChars="200"/>
        <w:rPr>
          <w:rFonts w:hint="eastAsia" w:hAnsi="宋体"/>
          <w:snapToGrid/>
          <w:color w:val="auto"/>
          <w:kern w:val="2"/>
          <w:sz w:val="28"/>
          <w:szCs w:val="28"/>
        </w:rPr>
      </w:pPr>
      <w:r>
        <w:rPr>
          <w:rFonts w:hint="eastAsia" w:hAnsi="宋体"/>
          <w:snapToGrid/>
          <w:color w:val="auto"/>
          <w:kern w:val="2"/>
          <w:sz w:val="28"/>
          <w:szCs w:val="28"/>
        </w:rPr>
        <w:t>（14）</w:t>
      </w:r>
      <w:r>
        <w:rPr>
          <w:rFonts w:hAnsi="宋体"/>
          <w:snapToGrid/>
          <w:color w:val="auto"/>
          <w:kern w:val="2"/>
          <w:sz w:val="28"/>
          <w:szCs w:val="28"/>
        </w:rPr>
        <w:t>《黑龙江省“十四五”生态环境保护规划》</w:t>
      </w:r>
      <w:r>
        <w:rPr>
          <w:rFonts w:hint="eastAsia" w:hAnsi="宋体"/>
          <w:snapToGrid/>
          <w:color w:val="auto"/>
          <w:kern w:val="2"/>
          <w:sz w:val="28"/>
          <w:szCs w:val="28"/>
        </w:rPr>
        <w:t>（2021.12.29）。</w:t>
      </w:r>
    </w:p>
    <w:p>
      <w:pPr>
        <w:pStyle w:val="5"/>
        <w:spacing w:before="159" w:beforeLines="50" w:after="159" w:afterLines="50" w:line="480" w:lineRule="exact"/>
        <w:rPr>
          <w:b w:val="0"/>
          <w:snapToGrid w:val="0"/>
          <w:color w:val="auto"/>
          <w:kern w:val="0"/>
          <w:sz w:val="28"/>
          <w:szCs w:val="28"/>
        </w:rPr>
      </w:pPr>
      <w:r>
        <w:rPr>
          <w:rFonts w:hAnsi="宋体"/>
          <w:b w:val="0"/>
          <w:snapToGrid w:val="0"/>
          <w:color w:val="auto"/>
          <w:kern w:val="0"/>
          <w:sz w:val="28"/>
          <w:szCs w:val="28"/>
        </w:rPr>
        <w:t>环境保护相关部门规章及规范性文件</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）《建设项目环境影响评价分类管理名录》（</w:t>
      </w:r>
      <w:r>
        <w:rPr>
          <w:color w:val="auto"/>
          <w:sz w:val="28"/>
          <w:szCs w:val="28"/>
        </w:rPr>
        <w:t>2021</w:t>
      </w:r>
      <w:r>
        <w:rPr>
          <w:rFonts w:hAnsi="宋体"/>
          <w:color w:val="auto"/>
          <w:sz w:val="28"/>
          <w:szCs w:val="28"/>
        </w:rPr>
        <w:t>年版）；</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）《国务院关于印发大气污染防治行动计划的通知》（</w:t>
      </w:r>
      <w:r>
        <w:rPr>
          <w:color w:val="auto"/>
          <w:sz w:val="28"/>
          <w:szCs w:val="28"/>
        </w:rPr>
        <w:t>2013.09.10</w:t>
      </w:r>
      <w:r>
        <w:rPr>
          <w:rFonts w:hAnsi="宋体"/>
          <w:color w:val="auto"/>
          <w:sz w:val="28"/>
          <w:szCs w:val="28"/>
        </w:rPr>
        <w:t>）；</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3</w:t>
      </w:r>
      <w:r>
        <w:rPr>
          <w:rFonts w:hAnsi="宋体"/>
          <w:color w:val="auto"/>
          <w:sz w:val="28"/>
          <w:szCs w:val="28"/>
        </w:rPr>
        <w:t>）《国务院关于印发水污染防治行动计划的通知》（</w:t>
      </w:r>
      <w:r>
        <w:rPr>
          <w:color w:val="auto"/>
          <w:sz w:val="28"/>
          <w:szCs w:val="28"/>
        </w:rPr>
        <w:t>2015.04.02</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4</w:t>
      </w:r>
      <w:r>
        <w:rPr>
          <w:rFonts w:hAnsi="宋体"/>
          <w:color w:val="auto"/>
          <w:sz w:val="28"/>
          <w:szCs w:val="28"/>
        </w:rPr>
        <w:t>）《国务院关于印发土壤污染防治行动计划的通知》（</w:t>
      </w:r>
      <w:r>
        <w:rPr>
          <w:color w:val="auto"/>
          <w:sz w:val="28"/>
          <w:szCs w:val="28"/>
        </w:rPr>
        <w:t>2016.05.28</w:t>
      </w:r>
      <w:r>
        <w:rPr>
          <w:rFonts w:hAnsi="宋体"/>
          <w:color w:val="auto"/>
          <w:sz w:val="28"/>
          <w:szCs w:val="28"/>
        </w:rPr>
        <w:t>）；</w:t>
      </w:r>
    </w:p>
    <w:p>
      <w:pPr>
        <w:snapToGrid w:val="0"/>
        <w:spacing w:line="500" w:lineRule="exact"/>
        <w:ind w:firstLine="560" w:firstLineChars="200"/>
        <w:rPr>
          <w:color w:val="auto"/>
          <w:sz w:val="28"/>
        </w:rPr>
      </w:pPr>
      <w:r>
        <w:rPr>
          <w:rFonts w:hAnsi="宋体"/>
          <w:color w:val="auto"/>
          <w:sz w:val="28"/>
        </w:rPr>
        <w:t>（</w:t>
      </w:r>
      <w:r>
        <w:rPr>
          <w:color w:val="auto"/>
          <w:sz w:val="28"/>
        </w:rPr>
        <w:t>5</w:t>
      </w:r>
      <w:r>
        <w:rPr>
          <w:rFonts w:hAnsi="宋体"/>
          <w:color w:val="auto"/>
          <w:sz w:val="28"/>
        </w:rPr>
        <w:t>）《产业结构调整指导目录（</w:t>
      </w:r>
      <w:r>
        <w:rPr>
          <w:color w:val="auto"/>
          <w:sz w:val="28"/>
        </w:rPr>
        <w:t>2019</w:t>
      </w:r>
      <w:r>
        <w:rPr>
          <w:rFonts w:hAnsi="宋体"/>
          <w:color w:val="auto"/>
          <w:sz w:val="28"/>
        </w:rPr>
        <w:t>年本）》</w:t>
      </w:r>
      <w:r>
        <w:rPr>
          <w:rFonts w:hint="eastAsia"/>
          <w:color w:val="auto"/>
          <w:sz w:val="28"/>
          <w:szCs w:val="28"/>
        </w:rPr>
        <w:t>（2021年12月30日）</w:t>
      </w:r>
      <w:r>
        <w:rPr>
          <w:rFonts w:hAnsi="宋体"/>
          <w:color w:val="auto"/>
          <w:sz w:val="28"/>
        </w:rPr>
        <w:t>；</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6</w:t>
      </w:r>
      <w:r>
        <w:rPr>
          <w:rFonts w:hAnsi="宋体"/>
          <w:color w:val="auto"/>
          <w:sz w:val="28"/>
          <w:szCs w:val="28"/>
        </w:rPr>
        <w:t>）《国家危险废物名录》（</w:t>
      </w:r>
      <w:r>
        <w:rPr>
          <w:color w:val="auto"/>
          <w:sz w:val="28"/>
          <w:szCs w:val="28"/>
        </w:rPr>
        <w:t>2021</w:t>
      </w:r>
      <w:r>
        <w:rPr>
          <w:rFonts w:hAnsi="宋体"/>
          <w:color w:val="auto"/>
          <w:sz w:val="28"/>
          <w:szCs w:val="28"/>
        </w:rPr>
        <w:t>年版）；</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7</w:t>
      </w:r>
      <w:r>
        <w:rPr>
          <w:rFonts w:hAnsi="宋体"/>
          <w:color w:val="auto"/>
          <w:sz w:val="28"/>
          <w:szCs w:val="28"/>
        </w:rPr>
        <w:t>）《关于进一步加强环境影响评价管理防范环境风险的通知》（</w:t>
      </w:r>
      <w:r>
        <w:rPr>
          <w:color w:val="auto"/>
          <w:sz w:val="28"/>
          <w:szCs w:val="28"/>
        </w:rPr>
        <w:t>2012.07.03</w:t>
      </w:r>
      <w:r>
        <w:rPr>
          <w:rFonts w:hAnsi="宋体"/>
          <w:color w:val="auto"/>
          <w:sz w:val="28"/>
          <w:szCs w:val="28"/>
        </w:rPr>
        <w:t>）；</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8</w:t>
      </w:r>
      <w:r>
        <w:rPr>
          <w:rFonts w:hAnsi="宋体"/>
          <w:color w:val="auto"/>
          <w:sz w:val="28"/>
          <w:szCs w:val="28"/>
        </w:rPr>
        <w:t>）《关于切实加强风险防范严格环境影响评价管理的通知》（</w:t>
      </w:r>
      <w:r>
        <w:rPr>
          <w:color w:val="auto"/>
          <w:sz w:val="28"/>
          <w:szCs w:val="28"/>
        </w:rPr>
        <w:t>2012.08.07</w:t>
      </w:r>
      <w:r>
        <w:rPr>
          <w:rFonts w:hAnsi="宋体"/>
          <w:color w:val="auto"/>
          <w:sz w:val="28"/>
          <w:szCs w:val="28"/>
        </w:rPr>
        <w:t>）；</w:t>
      </w:r>
    </w:p>
    <w:p>
      <w:pPr>
        <w:pStyle w:val="82"/>
        <w:snapToGrid w:val="0"/>
        <w:spacing w:line="500" w:lineRule="exact"/>
        <w:ind w:firstLine="560" w:firstLineChars="200"/>
        <w:rPr>
          <w:color w:val="auto"/>
          <w:sz w:val="28"/>
        </w:rPr>
      </w:pPr>
      <w:r>
        <w:rPr>
          <w:rFonts w:hAnsi="宋体"/>
          <w:color w:val="auto"/>
          <w:sz w:val="28"/>
          <w:szCs w:val="28"/>
        </w:rPr>
        <w:t>（</w:t>
      </w:r>
      <w:r>
        <w:rPr>
          <w:color w:val="auto"/>
          <w:sz w:val="28"/>
          <w:szCs w:val="28"/>
        </w:rPr>
        <w:t>9</w:t>
      </w:r>
      <w:r>
        <w:rPr>
          <w:rFonts w:hAnsi="宋体"/>
          <w:color w:val="auto"/>
          <w:sz w:val="28"/>
          <w:szCs w:val="28"/>
        </w:rPr>
        <w:t>）《环境影响评价公众参与</w:t>
      </w:r>
      <w:r>
        <w:rPr>
          <w:rFonts w:hAnsi="宋体"/>
          <w:color w:val="auto"/>
          <w:sz w:val="28"/>
        </w:rPr>
        <w:t>办法》（</w:t>
      </w:r>
      <w:r>
        <w:rPr>
          <w:color w:val="auto"/>
          <w:sz w:val="28"/>
        </w:rPr>
        <w:t>2019.01.01</w:t>
      </w:r>
      <w:r>
        <w:rPr>
          <w:rFonts w:hAnsi="宋体"/>
          <w:color w:val="auto"/>
          <w:sz w:val="28"/>
        </w:rPr>
        <w:t>）；</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10</w:t>
      </w:r>
      <w:r>
        <w:rPr>
          <w:rFonts w:hAnsi="宋体"/>
          <w:color w:val="auto"/>
          <w:sz w:val="28"/>
          <w:szCs w:val="28"/>
        </w:rPr>
        <w:t>）《关于进一步加强石油天然气行业环境影响评价管理的通知》（环办环评函〔</w:t>
      </w:r>
      <w:r>
        <w:rPr>
          <w:color w:val="auto"/>
          <w:sz w:val="28"/>
          <w:szCs w:val="28"/>
        </w:rPr>
        <w:t>2019</w:t>
      </w:r>
      <w:r>
        <w:rPr>
          <w:rFonts w:hAnsi="宋体"/>
          <w:color w:val="auto"/>
          <w:sz w:val="28"/>
          <w:szCs w:val="28"/>
        </w:rPr>
        <w:t>〕</w:t>
      </w:r>
      <w:r>
        <w:rPr>
          <w:color w:val="auto"/>
          <w:sz w:val="28"/>
          <w:szCs w:val="28"/>
        </w:rPr>
        <w:t>910</w:t>
      </w:r>
      <w:r>
        <w:rPr>
          <w:rFonts w:hAnsi="宋体"/>
          <w:color w:val="auto"/>
          <w:sz w:val="28"/>
          <w:szCs w:val="28"/>
        </w:rPr>
        <w:t>号）</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11</w:t>
      </w:r>
      <w:r>
        <w:rPr>
          <w:rFonts w:hAnsi="宋体"/>
          <w:color w:val="auto"/>
          <w:sz w:val="28"/>
          <w:szCs w:val="28"/>
        </w:rPr>
        <w:t>）《石油天然气开采业污染防治技术政策》（</w:t>
      </w:r>
      <w:r>
        <w:rPr>
          <w:color w:val="auto"/>
          <w:sz w:val="28"/>
          <w:szCs w:val="28"/>
        </w:rPr>
        <w:t>2012.03.07</w:t>
      </w:r>
      <w:r>
        <w:rPr>
          <w:rFonts w:hAnsi="宋体"/>
          <w:color w:val="auto"/>
          <w:sz w:val="28"/>
          <w:szCs w:val="28"/>
        </w:rPr>
        <w:t>）；</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12</w:t>
      </w:r>
      <w:r>
        <w:rPr>
          <w:rFonts w:hAnsi="宋体"/>
          <w:color w:val="auto"/>
          <w:sz w:val="28"/>
          <w:szCs w:val="28"/>
        </w:rPr>
        <w:t>）《危险废物污染防治技术政策》（</w:t>
      </w:r>
      <w:r>
        <w:rPr>
          <w:color w:val="auto"/>
          <w:sz w:val="28"/>
          <w:szCs w:val="28"/>
        </w:rPr>
        <w:t>2001.12.17</w:t>
      </w:r>
      <w:r>
        <w:rPr>
          <w:rFonts w:hAnsi="宋体"/>
          <w:color w:val="auto"/>
          <w:sz w:val="28"/>
          <w:szCs w:val="28"/>
        </w:rPr>
        <w:t>）；</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13</w:t>
      </w:r>
      <w:r>
        <w:rPr>
          <w:rFonts w:hAnsi="宋体"/>
          <w:color w:val="auto"/>
          <w:sz w:val="28"/>
          <w:szCs w:val="28"/>
        </w:rPr>
        <w:t>）《关于加强工业危险废物转移管理的通知》（</w:t>
      </w:r>
      <w:r>
        <w:rPr>
          <w:color w:val="auto"/>
          <w:sz w:val="28"/>
          <w:szCs w:val="28"/>
        </w:rPr>
        <w:t>2006.03.17</w:t>
      </w:r>
      <w:r>
        <w:rPr>
          <w:rFonts w:hAnsi="宋体"/>
          <w:color w:val="auto"/>
          <w:sz w:val="28"/>
          <w:szCs w:val="28"/>
        </w:rPr>
        <w:t>）；</w:t>
      </w:r>
    </w:p>
    <w:p>
      <w:pPr>
        <w:pStyle w:val="82"/>
        <w:snapToGrid w:val="0"/>
        <w:spacing w:line="500" w:lineRule="exact"/>
        <w:ind w:firstLine="560" w:firstLineChars="200"/>
        <w:rPr>
          <w:color w:val="auto"/>
          <w:sz w:val="28"/>
          <w:szCs w:val="28"/>
        </w:rPr>
      </w:pPr>
      <w:r>
        <w:rPr>
          <w:rFonts w:hAnsi="宋体"/>
          <w:color w:val="auto"/>
          <w:sz w:val="28"/>
          <w:szCs w:val="28"/>
        </w:rPr>
        <w:t>（</w:t>
      </w:r>
      <w:r>
        <w:rPr>
          <w:color w:val="auto"/>
          <w:sz w:val="28"/>
          <w:szCs w:val="28"/>
        </w:rPr>
        <w:t>14</w:t>
      </w:r>
      <w:r>
        <w:rPr>
          <w:rFonts w:hAnsi="宋体"/>
          <w:color w:val="auto"/>
          <w:sz w:val="28"/>
          <w:szCs w:val="28"/>
        </w:rPr>
        <w:t>）《关于进一步加强生态保护工作的意见》（</w:t>
      </w:r>
      <w:r>
        <w:rPr>
          <w:color w:val="auto"/>
          <w:sz w:val="28"/>
          <w:szCs w:val="28"/>
        </w:rPr>
        <w:t>2007.03.15</w:t>
      </w:r>
      <w:r>
        <w:rPr>
          <w:rFonts w:hAnsi="宋体"/>
          <w:color w:val="auto"/>
          <w:sz w:val="28"/>
          <w:szCs w:val="28"/>
        </w:rPr>
        <w:t>）；</w:t>
      </w:r>
    </w:p>
    <w:p>
      <w:pPr>
        <w:snapToGrid w:val="0"/>
        <w:spacing w:line="500" w:lineRule="exact"/>
        <w:ind w:firstLine="560" w:firstLineChars="200"/>
        <w:rPr>
          <w:bCs/>
          <w:color w:val="auto"/>
          <w:sz w:val="28"/>
          <w:szCs w:val="28"/>
        </w:rPr>
      </w:pPr>
      <w:r>
        <w:rPr>
          <w:rFonts w:hAnsi="宋体"/>
          <w:bCs/>
          <w:color w:val="auto"/>
          <w:sz w:val="28"/>
          <w:szCs w:val="28"/>
        </w:rPr>
        <w:t>（</w:t>
      </w:r>
      <w:r>
        <w:rPr>
          <w:bCs/>
          <w:color w:val="auto"/>
          <w:sz w:val="28"/>
          <w:szCs w:val="28"/>
        </w:rPr>
        <w:t>15</w:t>
      </w:r>
      <w:r>
        <w:rPr>
          <w:rFonts w:hAnsi="宋体"/>
          <w:bCs/>
          <w:color w:val="auto"/>
          <w:sz w:val="28"/>
          <w:szCs w:val="28"/>
        </w:rPr>
        <w:t>）《黑龙江省水污染防治工作方案》（</w:t>
      </w:r>
      <w:r>
        <w:rPr>
          <w:bCs/>
          <w:color w:val="auto"/>
          <w:sz w:val="28"/>
          <w:szCs w:val="28"/>
        </w:rPr>
        <w:t>2016.01.10</w:t>
      </w:r>
      <w:r>
        <w:rPr>
          <w:rFonts w:hAnsi="宋体"/>
          <w:bCs/>
          <w:color w:val="auto"/>
          <w:sz w:val="28"/>
          <w:szCs w:val="28"/>
        </w:rPr>
        <w:t>）；</w:t>
      </w:r>
    </w:p>
    <w:p>
      <w:pPr>
        <w:snapToGrid w:val="0"/>
        <w:spacing w:line="500" w:lineRule="exact"/>
        <w:ind w:firstLine="560" w:firstLineChars="200"/>
        <w:rPr>
          <w:bCs/>
          <w:color w:val="auto"/>
          <w:sz w:val="28"/>
          <w:szCs w:val="28"/>
        </w:rPr>
      </w:pPr>
      <w:r>
        <w:rPr>
          <w:rFonts w:hAnsi="宋体"/>
          <w:bCs/>
          <w:color w:val="auto"/>
          <w:sz w:val="28"/>
          <w:szCs w:val="28"/>
        </w:rPr>
        <w:t>（</w:t>
      </w:r>
      <w:r>
        <w:rPr>
          <w:bCs/>
          <w:color w:val="auto"/>
          <w:sz w:val="28"/>
          <w:szCs w:val="28"/>
        </w:rPr>
        <w:t>16</w:t>
      </w:r>
      <w:r>
        <w:rPr>
          <w:rFonts w:hAnsi="宋体"/>
          <w:bCs/>
          <w:color w:val="auto"/>
          <w:sz w:val="28"/>
          <w:szCs w:val="28"/>
        </w:rPr>
        <w:t>）《黑龙江省打赢蓝天保卫战三年行动计划的通知》（</w:t>
      </w:r>
      <w:r>
        <w:rPr>
          <w:bCs/>
          <w:color w:val="auto"/>
          <w:sz w:val="28"/>
          <w:szCs w:val="28"/>
        </w:rPr>
        <w:t>2018.11.17</w:t>
      </w:r>
      <w:r>
        <w:rPr>
          <w:rFonts w:hAnsi="宋体"/>
          <w:bCs/>
          <w:color w:val="auto"/>
          <w:sz w:val="28"/>
          <w:szCs w:val="28"/>
        </w:rPr>
        <w:t>）；</w:t>
      </w:r>
    </w:p>
    <w:p>
      <w:pPr>
        <w:snapToGrid w:val="0"/>
        <w:spacing w:line="500" w:lineRule="exact"/>
        <w:ind w:firstLine="560" w:firstLineChars="200"/>
        <w:rPr>
          <w:bCs/>
          <w:color w:val="auto"/>
          <w:sz w:val="28"/>
          <w:szCs w:val="28"/>
        </w:rPr>
      </w:pPr>
      <w:r>
        <w:rPr>
          <w:rFonts w:hAnsi="宋体"/>
          <w:bCs/>
          <w:color w:val="auto"/>
          <w:sz w:val="28"/>
          <w:szCs w:val="28"/>
        </w:rPr>
        <w:t>（</w:t>
      </w:r>
      <w:r>
        <w:rPr>
          <w:bCs/>
          <w:color w:val="auto"/>
          <w:sz w:val="28"/>
          <w:szCs w:val="28"/>
        </w:rPr>
        <w:t>17</w:t>
      </w:r>
      <w:r>
        <w:rPr>
          <w:rFonts w:hAnsi="宋体"/>
          <w:bCs/>
          <w:color w:val="auto"/>
          <w:sz w:val="28"/>
          <w:szCs w:val="28"/>
        </w:rPr>
        <w:t>）《黑龙江省土壤污染防治实施方案》（</w:t>
      </w:r>
      <w:r>
        <w:rPr>
          <w:bCs/>
          <w:color w:val="auto"/>
          <w:sz w:val="28"/>
          <w:szCs w:val="28"/>
        </w:rPr>
        <w:t>2016.12.30</w:t>
      </w:r>
      <w:r>
        <w:rPr>
          <w:rFonts w:hAnsi="宋体"/>
          <w:bCs/>
          <w:color w:val="auto"/>
          <w:sz w:val="28"/>
          <w:szCs w:val="28"/>
        </w:rPr>
        <w:t>）；</w:t>
      </w:r>
    </w:p>
    <w:p>
      <w:pPr>
        <w:snapToGrid w:val="0"/>
        <w:spacing w:line="500" w:lineRule="exact"/>
        <w:ind w:firstLine="560" w:firstLineChars="200"/>
        <w:rPr>
          <w:bCs/>
          <w:color w:val="auto"/>
          <w:sz w:val="28"/>
          <w:szCs w:val="28"/>
        </w:rPr>
      </w:pPr>
      <w:r>
        <w:rPr>
          <w:rFonts w:hAnsi="宋体"/>
          <w:bCs/>
          <w:color w:val="auto"/>
          <w:sz w:val="28"/>
          <w:szCs w:val="28"/>
        </w:rPr>
        <w:t>（</w:t>
      </w:r>
      <w:r>
        <w:rPr>
          <w:bCs/>
          <w:color w:val="auto"/>
          <w:sz w:val="28"/>
          <w:szCs w:val="28"/>
        </w:rPr>
        <w:t>18</w:t>
      </w:r>
      <w:r>
        <w:rPr>
          <w:rFonts w:hAnsi="宋体"/>
          <w:bCs/>
          <w:color w:val="auto"/>
          <w:sz w:val="28"/>
          <w:szCs w:val="28"/>
        </w:rPr>
        <w:t>）</w:t>
      </w:r>
      <w:r>
        <w:rPr>
          <w:rFonts w:hAnsi="宋体"/>
          <w:color w:val="auto"/>
          <w:sz w:val="28"/>
          <w:szCs w:val="28"/>
        </w:rPr>
        <w:t>《黑龙江省人民政府关于印发黑龙江省主体功能区规划的通知》</w:t>
      </w:r>
      <w:r>
        <w:rPr>
          <w:rFonts w:hAnsi="宋体"/>
          <w:bCs/>
          <w:color w:val="auto"/>
          <w:sz w:val="28"/>
          <w:szCs w:val="28"/>
        </w:rPr>
        <w:t>（黑政发〔</w:t>
      </w:r>
      <w:r>
        <w:rPr>
          <w:bCs/>
          <w:color w:val="auto"/>
          <w:sz w:val="28"/>
          <w:szCs w:val="28"/>
        </w:rPr>
        <w:t>2012</w:t>
      </w:r>
      <w:r>
        <w:rPr>
          <w:rFonts w:hAnsi="宋体"/>
          <w:bCs/>
          <w:color w:val="auto"/>
          <w:sz w:val="28"/>
          <w:szCs w:val="28"/>
        </w:rPr>
        <w:t>〕</w:t>
      </w:r>
      <w:r>
        <w:rPr>
          <w:bCs/>
          <w:color w:val="auto"/>
          <w:sz w:val="28"/>
          <w:szCs w:val="28"/>
        </w:rPr>
        <w:t>29</w:t>
      </w:r>
      <w:r>
        <w:rPr>
          <w:rFonts w:hAnsi="宋体"/>
          <w:bCs/>
          <w:color w:val="auto"/>
          <w:sz w:val="28"/>
          <w:szCs w:val="28"/>
        </w:rPr>
        <w:t>号）；</w:t>
      </w:r>
    </w:p>
    <w:p>
      <w:pPr>
        <w:snapToGrid w:val="0"/>
        <w:spacing w:line="500" w:lineRule="exact"/>
        <w:ind w:firstLine="560" w:firstLineChars="200"/>
        <w:rPr>
          <w:bCs/>
          <w:color w:val="auto"/>
          <w:sz w:val="28"/>
          <w:szCs w:val="28"/>
        </w:rPr>
      </w:pPr>
      <w:r>
        <w:rPr>
          <w:rFonts w:hAnsi="宋体"/>
          <w:bCs/>
          <w:color w:val="auto"/>
          <w:sz w:val="28"/>
          <w:szCs w:val="28"/>
        </w:rPr>
        <w:t>（</w:t>
      </w:r>
      <w:r>
        <w:rPr>
          <w:bCs/>
          <w:color w:val="auto"/>
          <w:sz w:val="28"/>
          <w:szCs w:val="28"/>
        </w:rPr>
        <w:t>19</w:t>
      </w:r>
      <w:r>
        <w:rPr>
          <w:rFonts w:hAnsi="宋体"/>
          <w:bCs/>
          <w:color w:val="auto"/>
          <w:sz w:val="28"/>
          <w:szCs w:val="28"/>
        </w:rPr>
        <w:t>）《黑龙江省人民政府关于实施</w:t>
      </w:r>
      <w:r>
        <w:rPr>
          <w:bCs/>
          <w:color w:val="auto"/>
          <w:sz w:val="28"/>
          <w:szCs w:val="28"/>
        </w:rPr>
        <w:t>“</w:t>
      </w:r>
      <w:r>
        <w:rPr>
          <w:rFonts w:hAnsi="宋体"/>
          <w:bCs/>
          <w:color w:val="auto"/>
          <w:sz w:val="28"/>
          <w:szCs w:val="28"/>
        </w:rPr>
        <w:t>三线一单</w:t>
      </w:r>
      <w:r>
        <w:rPr>
          <w:bCs/>
          <w:color w:val="auto"/>
          <w:sz w:val="28"/>
          <w:szCs w:val="28"/>
        </w:rPr>
        <w:t>”</w:t>
      </w:r>
      <w:r>
        <w:rPr>
          <w:rFonts w:hAnsi="宋体"/>
          <w:bCs/>
          <w:color w:val="auto"/>
          <w:sz w:val="28"/>
          <w:szCs w:val="28"/>
        </w:rPr>
        <w:t>生态环境分区管控的意见》（黑政发〔</w:t>
      </w:r>
      <w:r>
        <w:rPr>
          <w:bCs/>
          <w:color w:val="auto"/>
          <w:sz w:val="28"/>
          <w:szCs w:val="28"/>
        </w:rPr>
        <w:t>2020</w:t>
      </w:r>
      <w:r>
        <w:rPr>
          <w:rFonts w:hAnsi="宋体"/>
          <w:bCs/>
          <w:color w:val="auto"/>
          <w:sz w:val="28"/>
          <w:szCs w:val="28"/>
        </w:rPr>
        <w:t>〕</w:t>
      </w:r>
      <w:r>
        <w:rPr>
          <w:bCs/>
          <w:color w:val="auto"/>
          <w:sz w:val="28"/>
          <w:szCs w:val="28"/>
        </w:rPr>
        <w:t>14</w:t>
      </w:r>
      <w:r>
        <w:rPr>
          <w:rFonts w:hAnsi="宋体"/>
          <w:bCs/>
          <w:color w:val="auto"/>
          <w:sz w:val="28"/>
          <w:szCs w:val="28"/>
        </w:rPr>
        <w:t>号）；</w:t>
      </w:r>
    </w:p>
    <w:p>
      <w:pPr>
        <w:snapToGrid w:val="0"/>
        <w:spacing w:line="500" w:lineRule="exact"/>
        <w:ind w:firstLine="560" w:firstLineChars="200"/>
        <w:rPr>
          <w:rFonts w:hint="eastAsia" w:hAnsi="宋体"/>
          <w:bCs/>
          <w:color w:val="auto"/>
          <w:sz w:val="28"/>
          <w:szCs w:val="28"/>
        </w:rPr>
      </w:pPr>
      <w:r>
        <w:rPr>
          <w:rFonts w:hAnsi="宋体"/>
          <w:bCs/>
          <w:color w:val="auto"/>
          <w:sz w:val="28"/>
          <w:szCs w:val="28"/>
        </w:rPr>
        <w:t>（</w:t>
      </w:r>
      <w:r>
        <w:rPr>
          <w:bCs/>
          <w:color w:val="auto"/>
          <w:sz w:val="28"/>
          <w:szCs w:val="28"/>
        </w:rPr>
        <w:t>20</w:t>
      </w:r>
      <w:r>
        <w:rPr>
          <w:rFonts w:hAnsi="宋体"/>
          <w:bCs/>
          <w:color w:val="auto"/>
          <w:sz w:val="28"/>
          <w:szCs w:val="28"/>
        </w:rPr>
        <w:t>）《黑龙江省生态功能区规划》；</w:t>
      </w:r>
    </w:p>
    <w:p>
      <w:pPr>
        <w:snapToGrid w:val="0"/>
        <w:spacing w:line="500" w:lineRule="exact"/>
        <w:ind w:firstLine="560" w:firstLineChars="200"/>
        <w:rPr>
          <w:rFonts w:hint="eastAsia" w:hAnsi="宋体"/>
          <w:bCs/>
          <w:color w:val="auto"/>
          <w:sz w:val="28"/>
          <w:szCs w:val="28"/>
        </w:rPr>
      </w:pPr>
      <w:r>
        <w:rPr>
          <w:rFonts w:hint="eastAsia" w:hAnsi="宋体"/>
          <w:bCs/>
          <w:color w:val="auto"/>
          <w:sz w:val="28"/>
          <w:szCs w:val="28"/>
        </w:rPr>
        <w:t>（21）</w:t>
      </w:r>
      <w:r>
        <w:rPr>
          <w:rFonts w:hAnsi="宋体"/>
          <w:bCs/>
          <w:color w:val="auto"/>
          <w:sz w:val="28"/>
          <w:szCs w:val="28"/>
        </w:rPr>
        <w:t>《黑龙江省十四五黑土地保护规划》（黑政发〔20</w:t>
      </w:r>
      <w:r>
        <w:rPr>
          <w:rFonts w:hint="eastAsia" w:hAnsi="宋体"/>
          <w:bCs/>
          <w:color w:val="auto"/>
          <w:sz w:val="28"/>
          <w:szCs w:val="28"/>
        </w:rPr>
        <w:t>21</w:t>
      </w:r>
      <w:r>
        <w:rPr>
          <w:rFonts w:hAnsi="宋体"/>
          <w:bCs/>
          <w:color w:val="auto"/>
          <w:sz w:val="28"/>
          <w:szCs w:val="28"/>
        </w:rPr>
        <w:t>〕4</w:t>
      </w:r>
      <w:r>
        <w:rPr>
          <w:rFonts w:hint="eastAsia" w:hAnsi="宋体"/>
          <w:bCs/>
          <w:color w:val="auto"/>
          <w:sz w:val="28"/>
          <w:szCs w:val="28"/>
        </w:rPr>
        <w:t>8</w:t>
      </w:r>
      <w:r>
        <w:rPr>
          <w:rFonts w:hAnsi="宋体"/>
          <w:bCs/>
          <w:color w:val="auto"/>
          <w:sz w:val="28"/>
          <w:szCs w:val="28"/>
        </w:rPr>
        <w:t>号）</w:t>
      </w:r>
      <w:r>
        <w:rPr>
          <w:rFonts w:hint="eastAsia" w:hAnsi="宋体"/>
          <w:bCs/>
          <w:color w:val="auto"/>
          <w:sz w:val="28"/>
          <w:szCs w:val="28"/>
        </w:rPr>
        <w:t>；</w:t>
      </w:r>
    </w:p>
    <w:p>
      <w:pPr>
        <w:snapToGrid w:val="0"/>
        <w:spacing w:line="500" w:lineRule="exact"/>
        <w:ind w:firstLine="560" w:firstLineChars="200"/>
        <w:rPr>
          <w:rFonts w:hint="eastAsia"/>
          <w:bCs/>
          <w:color w:val="auto"/>
          <w:sz w:val="28"/>
          <w:szCs w:val="28"/>
        </w:rPr>
      </w:pPr>
      <w:r>
        <w:rPr>
          <w:rFonts w:hAnsi="宋体"/>
          <w:bCs/>
          <w:color w:val="auto"/>
          <w:sz w:val="28"/>
          <w:szCs w:val="28"/>
        </w:rPr>
        <w:t>（</w:t>
      </w:r>
      <w:r>
        <w:rPr>
          <w:bCs/>
          <w:color w:val="auto"/>
          <w:sz w:val="28"/>
          <w:szCs w:val="28"/>
        </w:rPr>
        <w:t>2</w:t>
      </w:r>
      <w:r>
        <w:rPr>
          <w:rFonts w:hint="eastAsia"/>
          <w:bCs/>
          <w:color w:val="auto"/>
          <w:sz w:val="28"/>
          <w:szCs w:val="28"/>
        </w:rPr>
        <w:t>2</w:t>
      </w:r>
      <w:r>
        <w:rPr>
          <w:rFonts w:hAnsi="宋体"/>
          <w:bCs/>
          <w:color w:val="auto"/>
          <w:sz w:val="28"/>
          <w:szCs w:val="28"/>
        </w:rPr>
        <w:t>）《绥化市人民政府关于印发绥化市中心城区声环境功能区划分方案的通知》（绥政发﹝</w:t>
      </w:r>
      <w:r>
        <w:rPr>
          <w:bCs/>
          <w:color w:val="auto"/>
          <w:sz w:val="28"/>
          <w:szCs w:val="28"/>
        </w:rPr>
        <w:t>2019</w:t>
      </w:r>
      <w:r>
        <w:rPr>
          <w:rFonts w:hAnsi="宋体"/>
          <w:bCs/>
          <w:color w:val="auto"/>
          <w:sz w:val="28"/>
          <w:szCs w:val="28"/>
        </w:rPr>
        <w:t>﹞</w:t>
      </w:r>
      <w:r>
        <w:rPr>
          <w:bCs/>
          <w:color w:val="auto"/>
          <w:sz w:val="28"/>
          <w:szCs w:val="28"/>
        </w:rPr>
        <w:t>17</w:t>
      </w:r>
      <w:r>
        <w:rPr>
          <w:rFonts w:hAnsi="宋体"/>
          <w:bCs/>
          <w:color w:val="auto"/>
          <w:sz w:val="28"/>
          <w:szCs w:val="28"/>
        </w:rPr>
        <w:t>号）</w:t>
      </w:r>
      <w:r>
        <w:rPr>
          <w:rFonts w:hint="eastAsia" w:hAnsi="宋体"/>
          <w:bCs/>
          <w:color w:val="auto"/>
          <w:sz w:val="28"/>
          <w:szCs w:val="28"/>
        </w:rPr>
        <w:t>；</w:t>
      </w:r>
    </w:p>
    <w:p>
      <w:pPr>
        <w:snapToGrid w:val="0"/>
        <w:spacing w:line="500" w:lineRule="exact"/>
        <w:ind w:firstLine="560" w:firstLineChars="200"/>
        <w:rPr>
          <w:bCs/>
          <w:color w:val="auto"/>
          <w:sz w:val="28"/>
          <w:szCs w:val="28"/>
        </w:rPr>
      </w:pPr>
      <w:r>
        <w:rPr>
          <w:rFonts w:hAnsi="宋体"/>
          <w:bCs/>
          <w:color w:val="auto"/>
          <w:sz w:val="28"/>
          <w:szCs w:val="28"/>
        </w:rPr>
        <w:t>（</w:t>
      </w:r>
      <w:r>
        <w:rPr>
          <w:bCs/>
          <w:color w:val="auto"/>
          <w:sz w:val="28"/>
          <w:szCs w:val="28"/>
        </w:rPr>
        <w:t>2</w:t>
      </w:r>
      <w:r>
        <w:rPr>
          <w:rFonts w:hint="eastAsia"/>
          <w:bCs/>
          <w:color w:val="auto"/>
          <w:sz w:val="28"/>
          <w:szCs w:val="28"/>
        </w:rPr>
        <w:t>3</w:t>
      </w:r>
      <w:r>
        <w:rPr>
          <w:rFonts w:hAnsi="宋体"/>
          <w:bCs/>
          <w:color w:val="auto"/>
          <w:sz w:val="28"/>
          <w:szCs w:val="28"/>
        </w:rPr>
        <w:t>）《绥化市土地利用总体规划（</w:t>
      </w:r>
      <w:r>
        <w:rPr>
          <w:bCs/>
          <w:color w:val="auto"/>
          <w:sz w:val="28"/>
          <w:szCs w:val="28"/>
        </w:rPr>
        <w:t>2006~2020</w:t>
      </w:r>
      <w:r>
        <w:rPr>
          <w:rFonts w:hAnsi="宋体"/>
          <w:bCs/>
          <w:color w:val="auto"/>
          <w:sz w:val="28"/>
          <w:szCs w:val="28"/>
        </w:rPr>
        <w:t>）》；</w:t>
      </w:r>
    </w:p>
    <w:p>
      <w:pPr>
        <w:pStyle w:val="33"/>
        <w:rPr>
          <w:smallCaps/>
          <w:color w:val="auto"/>
        </w:rPr>
      </w:pPr>
      <w:r>
        <w:rPr>
          <w:rFonts w:hAnsi="宋体"/>
          <w:bCs/>
          <w:color w:val="auto"/>
          <w:sz w:val="28"/>
          <w:szCs w:val="28"/>
        </w:rPr>
        <w:t>（</w:t>
      </w:r>
      <w:r>
        <w:rPr>
          <w:bCs/>
          <w:color w:val="auto"/>
          <w:sz w:val="28"/>
          <w:szCs w:val="28"/>
        </w:rPr>
        <w:t>2</w:t>
      </w:r>
      <w:r>
        <w:rPr>
          <w:rFonts w:hint="eastAsia"/>
          <w:bCs/>
          <w:color w:val="auto"/>
          <w:sz w:val="28"/>
          <w:szCs w:val="28"/>
        </w:rPr>
        <w:t>4</w:t>
      </w:r>
      <w:r>
        <w:rPr>
          <w:rFonts w:hAnsi="宋体"/>
          <w:bCs/>
          <w:color w:val="auto"/>
          <w:sz w:val="28"/>
          <w:szCs w:val="28"/>
        </w:rPr>
        <w:t>）《绥化市人民政府关于实施</w:t>
      </w:r>
      <w:r>
        <w:rPr>
          <w:bCs/>
          <w:color w:val="auto"/>
          <w:sz w:val="28"/>
          <w:szCs w:val="28"/>
        </w:rPr>
        <w:t>“</w:t>
      </w:r>
      <w:r>
        <w:rPr>
          <w:rFonts w:hAnsi="宋体"/>
          <w:bCs/>
          <w:color w:val="auto"/>
          <w:sz w:val="28"/>
          <w:szCs w:val="28"/>
        </w:rPr>
        <w:t>三线一单</w:t>
      </w:r>
      <w:r>
        <w:rPr>
          <w:bCs/>
          <w:color w:val="auto"/>
          <w:sz w:val="28"/>
          <w:szCs w:val="28"/>
        </w:rPr>
        <w:t>”</w:t>
      </w:r>
      <w:r>
        <w:rPr>
          <w:rFonts w:hAnsi="宋体"/>
          <w:bCs/>
          <w:color w:val="auto"/>
          <w:sz w:val="28"/>
          <w:szCs w:val="28"/>
        </w:rPr>
        <w:t>生态环境分区管控的意见》（绥政发﹝</w:t>
      </w:r>
      <w:r>
        <w:rPr>
          <w:bCs/>
          <w:color w:val="auto"/>
          <w:sz w:val="28"/>
          <w:szCs w:val="28"/>
        </w:rPr>
        <w:t>2021</w:t>
      </w:r>
      <w:r>
        <w:rPr>
          <w:rFonts w:hAnsi="宋体"/>
          <w:bCs/>
          <w:color w:val="auto"/>
          <w:sz w:val="28"/>
          <w:szCs w:val="28"/>
        </w:rPr>
        <w:t>﹞</w:t>
      </w:r>
      <w:r>
        <w:rPr>
          <w:bCs/>
          <w:color w:val="auto"/>
          <w:sz w:val="28"/>
          <w:szCs w:val="28"/>
        </w:rPr>
        <w:t>10</w:t>
      </w:r>
      <w:r>
        <w:rPr>
          <w:rFonts w:hAnsi="宋体"/>
          <w:bCs/>
          <w:color w:val="auto"/>
          <w:sz w:val="28"/>
          <w:szCs w:val="28"/>
        </w:rPr>
        <w:t>号）</w:t>
      </w:r>
      <w:r>
        <w:rPr>
          <w:smallCaps/>
          <w:color w:val="auto"/>
        </w:rPr>
        <w:t>。</w:t>
      </w:r>
    </w:p>
    <w:p>
      <w:pPr>
        <w:pStyle w:val="5"/>
        <w:spacing w:before="156" w:after="156"/>
        <w:rPr>
          <w:color w:val="auto"/>
        </w:rPr>
      </w:pPr>
      <w:bookmarkStart w:id="119" w:name="_Toc49174774"/>
      <w:bookmarkStart w:id="120" w:name="_Toc49174949"/>
      <w:r>
        <w:rPr>
          <w:color w:val="auto"/>
        </w:rPr>
        <w:t>技术依据</w:t>
      </w:r>
      <w:bookmarkEnd w:id="119"/>
      <w:bookmarkEnd w:id="120"/>
    </w:p>
    <w:p>
      <w:pPr>
        <w:pStyle w:val="33"/>
        <w:rPr>
          <w:color w:val="auto"/>
        </w:rPr>
      </w:pPr>
      <w:r>
        <w:rPr>
          <w:color w:val="auto"/>
        </w:rPr>
        <w:t>（1）《建设项目环境影响评价技术导则 总纲》（HJ2.1-2016）；</w:t>
      </w:r>
    </w:p>
    <w:p>
      <w:pPr>
        <w:pStyle w:val="33"/>
        <w:rPr>
          <w:color w:val="auto"/>
        </w:rPr>
      </w:pPr>
      <w:r>
        <w:rPr>
          <w:color w:val="auto"/>
        </w:rPr>
        <w:t>（2）《环境影响评价技术导则 大气环境》（HJ2.2-2018）；</w:t>
      </w:r>
    </w:p>
    <w:p>
      <w:pPr>
        <w:pStyle w:val="33"/>
        <w:rPr>
          <w:color w:val="auto"/>
        </w:rPr>
      </w:pPr>
      <w:r>
        <w:rPr>
          <w:color w:val="auto"/>
        </w:rPr>
        <w:t>（3）《环境影响评价技术导则 地表水环境》（HJ2.3-2018）；</w:t>
      </w:r>
    </w:p>
    <w:p>
      <w:pPr>
        <w:pStyle w:val="33"/>
        <w:rPr>
          <w:color w:val="auto"/>
        </w:rPr>
      </w:pPr>
      <w:r>
        <w:rPr>
          <w:color w:val="auto"/>
        </w:rPr>
        <w:t>（4）《环境影响评价技术导则 地下水环境》（HJ610-2016）；</w:t>
      </w:r>
    </w:p>
    <w:p>
      <w:pPr>
        <w:pStyle w:val="33"/>
        <w:rPr>
          <w:color w:val="auto"/>
        </w:rPr>
      </w:pPr>
      <w:r>
        <w:rPr>
          <w:color w:val="auto"/>
        </w:rPr>
        <w:t>（5）</w:t>
      </w:r>
      <w:r>
        <w:rPr>
          <w:rFonts w:hint="eastAsia"/>
          <w:color w:val="auto"/>
        </w:rPr>
        <w:t>《环境影响评价技术导则 声环境》（HJ2.4-2021）</w:t>
      </w:r>
      <w:r>
        <w:rPr>
          <w:color w:val="auto"/>
        </w:rPr>
        <w:t>；</w:t>
      </w:r>
    </w:p>
    <w:p>
      <w:pPr>
        <w:pStyle w:val="33"/>
        <w:rPr>
          <w:color w:val="auto"/>
        </w:rPr>
      </w:pPr>
      <w:r>
        <w:rPr>
          <w:color w:val="auto"/>
        </w:rPr>
        <w:t>（6）</w:t>
      </w:r>
      <w:r>
        <w:rPr>
          <w:rFonts w:hint="eastAsia"/>
          <w:color w:val="auto"/>
        </w:rPr>
        <w:t>《环境影响评价技术导则 生态影响》（HJ19-2022）</w:t>
      </w:r>
      <w:r>
        <w:rPr>
          <w:color w:val="auto"/>
        </w:rPr>
        <w:t>；</w:t>
      </w:r>
    </w:p>
    <w:p>
      <w:pPr>
        <w:pStyle w:val="33"/>
        <w:rPr>
          <w:color w:val="auto"/>
        </w:rPr>
      </w:pPr>
      <w:r>
        <w:rPr>
          <w:color w:val="auto"/>
        </w:rPr>
        <w:t>（7）《环境影响评价技术导则 陆地石油天然气开发建设项目》（HJ/T349-2007）；</w:t>
      </w:r>
    </w:p>
    <w:p>
      <w:pPr>
        <w:pStyle w:val="33"/>
        <w:rPr>
          <w:color w:val="auto"/>
        </w:rPr>
      </w:pPr>
      <w:r>
        <w:rPr>
          <w:color w:val="auto"/>
        </w:rPr>
        <w:t>（8）《建设项目环境风险评价技术导则》（HJ169-2018）；</w:t>
      </w:r>
    </w:p>
    <w:p>
      <w:pPr>
        <w:pStyle w:val="33"/>
        <w:rPr>
          <w:color w:val="auto"/>
        </w:rPr>
      </w:pPr>
      <w:r>
        <w:rPr>
          <w:color w:val="auto"/>
        </w:rPr>
        <w:t>（9）《环境影响评价技术导则 土壤环境（试行）》（HJ964-2018）；</w:t>
      </w:r>
    </w:p>
    <w:p>
      <w:pPr>
        <w:pStyle w:val="33"/>
        <w:rPr>
          <w:color w:val="auto"/>
        </w:rPr>
      </w:pPr>
      <w:r>
        <w:rPr>
          <w:color w:val="auto"/>
        </w:rPr>
        <w:t>（10）《挥发性有机物（VOCs）污染防治技术政策》（环保部公告2013年第31号）；</w:t>
      </w:r>
    </w:p>
    <w:p>
      <w:pPr>
        <w:pStyle w:val="33"/>
        <w:rPr>
          <w:color w:val="auto"/>
        </w:rPr>
      </w:pPr>
      <w:r>
        <w:rPr>
          <w:color w:val="auto"/>
        </w:rPr>
        <w:t>（11）《含油污水处理工程技术规范》（HJ580-2010）；</w:t>
      </w:r>
    </w:p>
    <w:p>
      <w:pPr>
        <w:pStyle w:val="33"/>
        <w:rPr>
          <w:color w:val="auto"/>
        </w:rPr>
      </w:pPr>
      <w:r>
        <w:rPr>
          <w:color w:val="auto"/>
        </w:rPr>
        <w:t>（12）《石油天然气开采业污染防治技术政策》（环保部公告2012年第18号）；</w:t>
      </w:r>
    </w:p>
    <w:p>
      <w:pPr>
        <w:pStyle w:val="33"/>
        <w:rPr>
          <w:color w:val="auto"/>
        </w:rPr>
      </w:pPr>
      <w:r>
        <w:rPr>
          <w:color w:val="auto"/>
        </w:rPr>
        <w:t>（13）《建设项目危险废物环境影响评价指南》（环保部公告2017年第43号）；</w:t>
      </w:r>
    </w:p>
    <w:p>
      <w:pPr>
        <w:pStyle w:val="33"/>
        <w:rPr>
          <w:color w:val="auto"/>
        </w:rPr>
      </w:pPr>
      <w:r>
        <w:rPr>
          <w:color w:val="auto"/>
        </w:rPr>
        <w:t>（14）《危险废物收集 贮存 运输技术规范》（HJ 2025-2012）；</w:t>
      </w:r>
    </w:p>
    <w:p>
      <w:pPr>
        <w:pStyle w:val="33"/>
        <w:rPr>
          <w:color w:val="auto"/>
        </w:rPr>
      </w:pPr>
      <w:r>
        <w:rPr>
          <w:color w:val="auto"/>
        </w:rPr>
        <w:t>（15）《一般</w:t>
      </w:r>
      <w:r>
        <w:rPr>
          <w:rFonts w:hint="eastAsia"/>
          <w:color w:val="auto"/>
        </w:rPr>
        <w:t>工业固体废物贮存和填埋污染控制标准》（GB</w:t>
      </w:r>
      <w:r>
        <w:rPr>
          <w:color w:val="auto"/>
        </w:rPr>
        <w:t xml:space="preserve"> </w:t>
      </w:r>
      <w:r>
        <w:rPr>
          <w:rFonts w:hint="eastAsia"/>
          <w:color w:val="auto"/>
        </w:rPr>
        <w:t>18599</w:t>
      </w:r>
      <w:r>
        <w:rPr>
          <w:color w:val="auto"/>
        </w:rPr>
        <w:t xml:space="preserve"> </w:t>
      </w:r>
      <w:r>
        <w:rPr>
          <w:rFonts w:hint="eastAsia"/>
          <w:color w:val="auto"/>
        </w:rPr>
        <w:t>-2020）</w:t>
      </w:r>
      <w:r>
        <w:rPr>
          <w:color w:val="auto"/>
        </w:rPr>
        <w:t>；</w:t>
      </w:r>
    </w:p>
    <w:p>
      <w:pPr>
        <w:pStyle w:val="33"/>
        <w:rPr>
          <w:smallCaps/>
          <w:color w:val="auto"/>
        </w:rPr>
      </w:pPr>
      <w:r>
        <w:rPr>
          <w:color w:val="auto"/>
        </w:rPr>
        <w:t>（16）《大庆油田有限责任公司固体废物污染防治管理规定》（庆油</w:t>
      </w:r>
      <w:r>
        <w:rPr>
          <w:smallCaps/>
          <w:color w:val="auto"/>
        </w:rPr>
        <w:t>发〔2019〕75号）；</w:t>
      </w:r>
    </w:p>
    <w:p>
      <w:pPr>
        <w:pStyle w:val="33"/>
        <w:rPr>
          <w:color w:val="auto"/>
        </w:rPr>
      </w:pPr>
      <w:r>
        <w:rPr>
          <w:color w:val="auto"/>
        </w:rPr>
        <w:t>（17）《排污许可证申请与核发技术规范 总则》（HJ953-2018）；</w:t>
      </w:r>
    </w:p>
    <w:p>
      <w:pPr>
        <w:pStyle w:val="33"/>
        <w:rPr>
          <w:rFonts w:hint="eastAsia" w:eastAsia="宋体"/>
          <w:color w:val="auto"/>
          <w:lang w:eastAsia="zh-CN"/>
        </w:rPr>
      </w:pPr>
      <w:r>
        <w:rPr>
          <w:color w:val="auto"/>
        </w:rPr>
        <w:t>（18）《排污单位自行监测技术指南 总则》（HJ 819-2017）</w:t>
      </w:r>
      <w:r>
        <w:rPr>
          <w:rFonts w:hint="eastAsia"/>
          <w:color w:val="auto"/>
          <w:lang w:eastAsia="zh-CN"/>
        </w:rPr>
        <w:t>。</w:t>
      </w:r>
    </w:p>
    <w:p>
      <w:pPr>
        <w:pStyle w:val="5"/>
        <w:spacing w:before="156" w:after="156"/>
        <w:rPr>
          <w:color w:val="auto"/>
        </w:rPr>
      </w:pPr>
      <w:r>
        <w:rPr>
          <w:color w:val="auto"/>
        </w:rPr>
        <w:t>其它相关依据及支持性文件</w:t>
      </w:r>
    </w:p>
    <w:p>
      <w:pPr>
        <w:pStyle w:val="33"/>
        <w:rPr>
          <w:color w:val="auto"/>
        </w:rPr>
      </w:pPr>
      <w:r>
        <w:rPr>
          <w:color w:val="auto"/>
        </w:rPr>
        <w:t>（1）</w:t>
      </w:r>
      <w:r>
        <w:rPr>
          <w:rFonts w:hint="eastAsia"/>
          <w:color w:val="auto"/>
        </w:rPr>
        <w:t>《大庆</w:t>
      </w:r>
      <w:r>
        <w:rPr>
          <w:rFonts w:hint="eastAsia"/>
          <w:color w:val="auto"/>
          <w:lang w:eastAsia="zh-CN"/>
        </w:rPr>
        <w:t>升平</w:t>
      </w:r>
      <w:r>
        <w:rPr>
          <w:rFonts w:hint="eastAsia"/>
          <w:color w:val="auto"/>
        </w:rPr>
        <w:t>储气库群工程可行性研究报告》</w:t>
      </w:r>
      <w:r>
        <w:rPr>
          <w:rFonts w:hint="eastAsia"/>
          <w:color w:val="auto"/>
          <w:lang w:eastAsia="zh-CN"/>
        </w:rPr>
        <w:t>（钻井工程）</w:t>
      </w:r>
      <w:r>
        <w:rPr>
          <w:color w:val="auto"/>
        </w:rPr>
        <w:t>；</w:t>
      </w:r>
    </w:p>
    <w:p>
      <w:pPr>
        <w:pStyle w:val="33"/>
        <w:rPr>
          <w:color w:val="auto"/>
        </w:rPr>
      </w:pPr>
      <w:r>
        <w:rPr>
          <w:color w:val="auto"/>
        </w:rPr>
        <w:t>（2）</w:t>
      </w:r>
      <w:r>
        <w:rPr>
          <w:rFonts w:hint="eastAsia"/>
          <w:color w:val="auto"/>
        </w:rPr>
        <w:t>《大庆</w:t>
      </w:r>
      <w:r>
        <w:rPr>
          <w:rFonts w:hint="eastAsia"/>
          <w:color w:val="auto"/>
          <w:lang w:eastAsia="zh-CN"/>
        </w:rPr>
        <w:t>升平</w:t>
      </w:r>
      <w:r>
        <w:rPr>
          <w:rFonts w:hint="eastAsia"/>
          <w:color w:val="auto"/>
        </w:rPr>
        <w:t>储气库群工程</w:t>
      </w:r>
      <w:r>
        <w:rPr>
          <w:rFonts w:hint="eastAsia"/>
          <w:color w:val="auto"/>
          <w:lang w:eastAsia="zh-CN"/>
        </w:rPr>
        <w:t>钻井工程</w:t>
      </w:r>
      <w:r>
        <w:rPr>
          <w:rFonts w:hint="eastAsia"/>
          <w:color w:val="auto"/>
        </w:rPr>
        <w:t>环境影响评价委托函》</w:t>
      </w:r>
      <w:r>
        <w:rPr>
          <w:color w:val="auto"/>
        </w:rPr>
        <w:t>；</w:t>
      </w:r>
    </w:p>
    <w:p>
      <w:pPr>
        <w:pStyle w:val="33"/>
        <w:rPr>
          <w:color w:val="auto"/>
        </w:rPr>
      </w:pPr>
      <w:r>
        <w:rPr>
          <w:color w:val="auto"/>
        </w:rPr>
        <w:t>（3）</w:t>
      </w:r>
      <w:r>
        <w:rPr>
          <w:rFonts w:hint="eastAsia"/>
          <w:color w:val="auto"/>
        </w:rPr>
        <w:t>项目环境现状监测报告</w:t>
      </w:r>
      <w:r>
        <w:rPr>
          <w:color w:val="auto"/>
        </w:rPr>
        <w:t>；</w:t>
      </w:r>
    </w:p>
    <w:p>
      <w:pPr>
        <w:pStyle w:val="33"/>
        <w:rPr>
          <w:rFonts w:hint="eastAsia"/>
          <w:color w:val="auto"/>
          <w:lang w:val="en-US" w:eastAsia="zh-CN"/>
        </w:rPr>
      </w:pPr>
      <w:r>
        <w:rPr>
          <w:rFonts w:hint="eastAsia"/>
          <w:color w:val="auto"/>
        </w:rPr>
        <w:t>（4）企业投资项目备案</w:t>
      </w:r>
      <w:r>
        <w:rPr>
          <w:rFonts w:hint="eastAsia"/>
          <w:color w:val="auto"/>
          <w:lang w:eastAsia="zh-CN"/>
        </w:rPr>
        <w:t>承诺书</w:t>
      </w:r>
      <w:r>
        <w:rPr>
          <w:rFonts w:hint="eastAsia"/>
          <w:color w:val="auto"/>
          <w:lang w:val="en-US" w:eastAsia="zh-CN"/>
        </w:rPr>
        <w:t>；</w:t>
      </w:r>
    </w:p>
    <w:p>
      <w:pPr>
        <w:pStyle w:val="33"/>
        <w:rPr>
          <w:rFonts w:hint="eastAsia"/>
          <w:color w:val="auto"/>
          <w:lang w:val="en-US" w:eastAsia="zh-CN"/>
        </w:rPr>
      </w:pPr>
      <w:r>
        <w:rPr>
          <w:rFonts w:hint="eastAsia"/>
          <w:color w:val="auto"/>
        </w:rPr>
        <w:t>（</w:t>
      </w:r>
      <w:r>
        <w:rPr>
          <w:rFonts w:hint="eastAsia"/>
          <w:color w:val="auto"/>
          <w:lang w:val="en-US" w:eastAsia="zh-CN"/>
        </w:rPr>
        <w:t>5</w:t>
      </w:r>
      <w:r>
        <w:rPr>
          <w:rFonts w:hint="eastAsia"/>
          <w:color w:val="auto"/>
        </w:rPr>
        <w:t>）建设单位提供的其他资料（地勘报告、水文地质资料等）</w:t>
      </w:r>
      <w:r>
        <w:rPr>
          <w:rFonts w:hint="eastAsia"/>
          <w:color w:val="auto"/>
          <w:lang w:val="en-US" w:eastAsia="zh-CN"/>
        </w:rPr>
        <w:t>。</w:t>
      </w:r>
    </w:p>
    <w:p>
      <w:pPr>
        <w:pStyle w:val="4"/>
        <w:spacing w:before="156" w:after="156"/>
        <w:rPr>
          <w:color w:val="auto"/>
        </w:rPr>
      </w:pPr>
      <w:bookmarkStart w:id="121" w:name="_Toc32047"/>
      <w:bookmarkStart w:id="122" w:name="_Toc49174602"/>
      <w:bookmarkStart w:id="123" w:name="_Toc49174950"/>
      <w:bookmarkStart w:id="124" w:name="_Toc49174711"/>
      <w:bookmarkStart w:id="125" w:name="_Toc49174775"/>
      <w:bookmarkStart w:id="126" w:name="_Toc49174392"/>
      <w:bookmarkStart w:id="127" w:name="_Toc282976775"/>
      <w:bookmarkStart w:id="128" w:name="_Toc4024"/>
      <w:bookmarkStart w:id="129" w:name="_Toc29590"/>
      <w:bookmarkStart w:id="130" w:name="_Toc27550"/>
      <w:bookmarkStart w:id="131" w:name="_Toc5227"/>
      <w:r>
        <w:rPr>
          <w:color w:val="auto"/>
        </w:rPr>
        <w:t>评价目的及原则</w:t>
      </w:r>
      <w:bookmarkEnd w:id="121"/>
      <w:bookmarkEnd w:id="122"/>
      <w:bookmarkEnd w:id="123"/>
      <w:bookmarkEnd w:id="124"/>
      <w:bookmarkEnd w:id="125"/>
      <w:bookmarkEnd w:id="126"/>
    </w:p>
    <w:p>
      <w:pPr>
        <w:pStyle w:val="5"/>
        <w:spacing w:before="156" w:after="156"/>
        <w:rPr>
          <w:color w:val="auto"/>
        </w:rPr>
      </w:pPr>
      <w:bookmarkStart w:id="132" w:name="_Toc49174776"/>
      <w:bookmarkStart w:id="133" w:name="_Toc49174951"/>
      <w:r>
        <w:rPr>
          <w:color w:val="auto"/>
        </w:rPr>
        <w:t>评价目的</w:t>
      </w:r>
      <w:bookmarkEnd w:id="132"/>
      <w:bookmarkEnd w:id="133"/>
    </w:p>
    <w:p>
      <w:pPr>
        <w:pStyle w:val="33"/>
        <w:rPr>
          <w:color w:val="auto"/>
        </w:rPr>
      </w:pPr>
      <w:r>
        <w:rPr>
          <w:color w:val="auto"/>
        </w:rPr>
        <w:t>（1）对该建设项目的工程内容和工艺流程进行分析，明确污染源和可能产生的污染因素，明确污染物的排放源强。</w:t>
      </w:r>
    </w:p>
    <w:p>
      <w:pPr>
        <w:pStyle w:val="33"/>
        <w:rPr>
          <w:color w:val="auto"/>
        </w:rPr>
      </w:pPr>
      <w:r>
        <w:rPr>
          <w:color w:val="auto"/>
        </w:rPr>
        <w:t>（2）对建设项目所在地的自然环境和环境质量进行现状调查，查清项目拟建厂址所在地区的环境质量现状，得到当地的环境质量现状的结论及存在的主要环境制约因素。</w:t>
      </w:r>
    </w:p>
    <w:p>
      <w:pPr>
        <w:pStyle w:val="33"/>
        <w:rPr>
          <w:color w:val="auto"/>
        </w:rPr>
      </w:pPr>
      <w:r>
        <w:rPr>
          <w:color w:val="auto"/>
        </w:rPr>
        <w:t>（3）分析、预测、评价油田开发对评价区域内大气环境、地下水环境、</w:t>
      </w:r>
      <w:r>
        <w:rPr>
          <w:rFonts w:hint="eastAsia"/>
          <w:color w:val="auto"/>
        </w:rPr>
        <w:t>地表水环境、</w:t>
      </w:r>
      <w:r>
        <w:rPr>
          <w:color w:val="auto"/>
        </w:rPr>
        <w:t>声环境、</w:t>
      </w:r>
      <w:r>
        <w:rPr>
          <w:rFonts w:hint="eastAsia"/>
          <w:color w:val="auto"/>
        </w:rPr>
        <w:t>土壤环境、</w:t>
      </w:r>
      <w:r>
        <w:rPr>
          <w:color w:val="auto"/>
        </w:rPr>
        <w:t>生态环境和环境风险可能造成的影响程度和范围。</w:t>
      </w:r>
    </w:p>
    <w:p>
      <w:pPr>
        <w:pStyle w:val="33"/>
        <w:rPr>
          <w:color w:val="auto"/>
        </w:rPr>
      </w:pPr>
      <w:r>
        <w:rPr>
          <w:color w:val="auto"/>
        </w:rPr>
        <w:t>（4）对油田开发过程中拟采取的环保措施进行论证，提出污染防治措施及生态保护对策与建议。</w:t>
      </w:r>
    </w:p>
    <w:p>
      <w:pPr>
        <w:pStyle w:val="33"/>
        <w:rPr>
          <w:color w:val="auto"/>
        </w:rPr>
      </w:pPr>
      <w:r>
        <w:rPr>
          <w:color w:val="auto"/>
        </w:rPr>
        <w:t>（5）从环境保护和环境风险角度论证油田开发建设工程的可行性，并从设计、生产、管理和环境污染防治等方面提出环境保护和减缓措施，最大限度降低油田开发对环境的不利影响，确保经济、社会和环境的可持续发展。</w:t>
      </w:r>
    </w:p>
    <w:p>
      <w:pPr>
        <w:pStyle w:val="5"/>
        <w:spacing w:before="156" w:after="156"/>
        <w:rPr>
          <w:color w:val="auto"/>
        </w:rPr>
      </w:pPr>
      <w:bookmarkStart w:id="134" w:name="_Toc49174777"/>
      <w:bookmarkStart w:id="135" w:name="_Toc49174952"/>
      <w:r>
        <w:rPr>
          <w:color w:val="auto"/>
        </w:rPr>
        <w:t>评价原则</w:t>
      </w:r>
      <w:bookmarkEnd w:id="134"/>
      <w:bookmarkEnd w:id="135"/>
    </w:p>
    <w:p>
      <w:pPr>
        <w:pStyle w:val="33"/>
        <w:rPr>
          <w:color w:val="auto"/>
        </w:rPr>
      </w:pPr>
      <w:r>
        <w:rPr>
          <w:color w:val="auto"/>
        </w:rPr>
        <w:t>（1）依法评价</w:t>
      </w:r>
    </w:p>
    <w:p>
      <w:pPr>
        <w:pStyle w:val="33"/>
        <w:rPr>
          <w:color w:val="auto"/>
        </w:rPr>
      </w:pPr>
      <w:r>
        <w:rPr>
          <w:color w:val="auto"/>
        </w:rPr>
        <w:t>贯彻执行我国环境保护相关法律法规、标准、政策和规划等，优化项目建设，服务环境管理。</w:t>
      </w:r>
    </w:p>
    <w:p>
      <w:pPr>
        <w:pStyle w:val="33"/>
        <w:rPr>
          <w:color w:val="auto"/>
        </w:rPr>
      </w:pPr>
      <w:r>
        <w:rPr>
          <w:color w:val="auto"/>
        </w:rPr>
        <w:t>（2）科学评价</w:t>
      </w:r>
    </w:p>
    <w:p>
      <w:pPr>
        <w:pStyle w:val="33"/>
        <w:rPr>
          <w:color w:val="auto"/>
        </w:rPr>
      </w:pPr>
      <w:r>
        <w:rPr>
          <w:color w:val="auto"/>
        </w:rPr>
        <w:t>规范环境影响评价方法，科学分析项目建设对环境质量的影响。</w:t>
      </w:r>
    </w:p>
    <w:p>
      <w:pPr>
        <w:pStyle w:val="33"/>
        <w:rPr>
          <w:color w:val="auto"/>
        </w:rPr>
      </w:pPr>
      <w:r>
        <w:rPr>
          <w:color w:val="auto"/>
        </w:rPr>
        <w:t>（3）突出重点</w:t>
      </w:r>
    </w:p>
    <w:p>
      <w:pPr>
        <w:pStyle w:val="33"/>
        <w:rPr>
          <w:color w:val="auto"/>
        </w:rPr>
      </w:pPr>
      <w:r>
        <w:rPr>
          <w:color w:val="auto"/>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4"/>
        <w:spacing w:before="156" w:after="156"/>
        <w:rPr>
          <w:color w:val="auto"/>
        </w:rPr>
      </w:pPr>
      <w:bookmarkStart w:id="136" w:name="_Toc49174778"/>
      <w:bookmarkStart w:id="137" w:name="_Toc49174393"/>
      <w:bookmarkStart w:id="138" w:name="_Toc26320"/>
      <w:bookmarkStart w:id="139" w:name="_Toc49174603"/>
      <w:bookmarkStart w:id="140" w:name="_Toc49174712"/>
      <w:bookmarkStart w:id="141" w:name="_Toc49174953"/>
      <w:bookmarkStart w:id="142" w:name="_Toc5600"/>
      <w:bookmarkStart w:id="143" w:name="_Toc12210"/>
      <w:bookmarkStart w:id="144" w:name="_Toc4302"/>
      <w:bookmarkStart w:id="145" w:name="_Toc5931"/>
      <w:bookmarkStart w:id="146" w:name="_Toc14829"/>
      <w:bookmarkStart w:id="147" w:name="_Toc4026"/>
      <w:bookmarkStart w:id="148" w:name="_Toc32103"/>
      <w:r>
        <w:rPr>
          <w:color w:val="auto"/>
        </w:rPr>
        <w:t>环境影响识别与评价因子筛选</w:t>
      </w:r>
      <w:bookmarkEnd w:id="136"/>
      <w:bookmarkEnd w:id="137"/>
      <w:bookmarkEnd w:id="138"/>
      <w:bookmarkEnd w:id="139"/>
      <w:bookmarkEnd w:id="140"/>
      <w:bookmarkEnd w:id="141"/>
    </w:p>
    <w:p>
      <w:pPr>
        <w:pStyle w:val="5"/>
        <w:spacing w:before="156" w:after="156"/>
        <w:rPr>
          <w:color w:val="auto"/>
        </w:rPr>
      </w:pPr>
      <w:bookmarkStart w:id="149" w:name="_Toc49174954"/>
      <w:bookmarkStart w:id="150" w:name="_Toc49174779"/>
      <w:r>
        <w:rPr>
          <w:color w:val="auto"/>
        </w:rPr>
        <w:t>评价时段</w:t>
      </w:r>
      <w:bookmarkEnd w:id="149"/>
      <w:bookmarkEnd w:id="150"/>
    </w:p>
    <w:p>
      <w:pPr>
        <w:pStyle w:val="33"/>
        <w:rPr>
          <w:color w:val="auto"/>
        </w:rPr>
      </w:pPr>
      <w:r>
        <w:rPr>
          <w:rFonts w:hint="eastAsia"/>
          <w:color w:val="auto"/>
        </w:rPr>
        <w:t>本项目为</w:t>
      </w:r>
      <w:r>
        <w:rPr>
          <w:rFonts w:hint="eastAsia"/>
          <w:color w:val="auto"/>
          <w:lang w:eastAsia="zh-CN"/>
        </w:rPr>
        <w:t>升平储气库钻井工程</w:t>
      </w:r>
      <w:r>
        <w:rPr>
          <w:rFonts w:hint="eastAsia"/>
          <w:color w:val="auto"/>
        </w:rPr>
        <w:t>项目，仅存在施工期，不含运行期，所以本次评价时段为钻井施工期</w:t>
      </w:r>
      <w:r>
        <w:rPr>
          <w:color w:val="auto"/>
        </w:rPr>
        <w:t>。</w:t>
      </w:r>
    </w:p>
    <w:p>
      <w:pPr>
        <w:pStyle w:val="5"/>
        <w:spacing w:before="156" w:after="156"/>
        <w:rPr>
          <w:color w:val="auto"/>
        </w:rPr>
      </w:pPr>
      <w:bookmarkStart w:id="151" w:name="_Toc49174780"/>
      <w:bookmarkStart w:id="152" w:name="_Toc49174955"/>
      <w:r>
        <w:rPr>
          <w:color w:val="auto"/>
        </w:rPr>
        <w:t>环境影响识别</w:t>
      </w:r>
      <w:bookmarkEnd w:id="151"/>
      <w:bookmarkEnd w:id="152"/>
    </w:p>
    <w:p>
      <w:pPr>
        <w:pStyle w:val="33"/>
        <w:rPr>
          <w:color w:val="auto"/>
        </w:rPr>
      </w:pPr>
      <w:r>
        <w:rPr>
          <w:rFonts w:hint="eastAsia"/>
          <w:color w:val="auto"/>
        </w:rPr>
        <w:t>本工程建设对环境的影响为施工期影响。施工期的环境影响主要为钻井施工过程中施工活动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另外在钻井过程中可能发生井喷，如控制不当甚至发生火灾、爆炸等事故，不仅造成井队及施工人员的生命财产损失，而且发生事故的同时，往往也会带来严重的环境污染。根据工程实际情况，结合工程区域的自然环境特征，采用矩阵法对工程建设期间产生的影响进行识别，具体见表2.3-1</w:t>
      </w:r>
      <w:r>
        <w:rPr>
          <w:color w:val="auto"/>
        </w:rPr>
        <w:t>。</w:t>
      </w:r>
    </w:p>
    <w:p>
      <w:pPr>
        <w:pStyle w:val="33"/>
        <w:rPr>
          <w:color w:val="auto"/>
        </w:rPr>
      </w:pPr>
    </w:p>
    <w:p>
      <w:pPr>
        <w:pStyle w:val="7"/>
        <w:bidi w:val="0"/>
        <w:rPr>
          <w:color w:val="auto"/>
        </w:rPr>
      </w:pPr>
      <w:r>
        <w:rPr>
          <w:rFonts w:hint="eastAsia"/>
          <w:color w:val="auto"/>
        </w:rPr>
        <w:t>环境影响因素识别</w:t>
      </w:r>
    </w:p>
    <w:bookmarkEnd w:id="142"/>
    <w:bookmarkEnd w:id="143"/>
    <w:bookmarkEnd w:id="144"/>
    <w:bookmarkEnd w:id="145"/>
    <w:bookmarkEnd w:id="146"/>
    <w:bookmarkEnd w:id="147"/>
    <w:bookmarkEnd w:id="148"/>
    <w:tbl>
      <w:tblPr>
        <w:tblStyle w:val="34"/>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1"/>
        <w:gridCol w:w="967"/>
        <w:gridCol w:w="1277"/>
        <w:gridCol w:w="1573"/>
        <w:gridCol w:w="1194"/>
        <w:gridCol w:w="1491"/>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exact"/>
          <w:jc w:val="center"/>
        </w:trPr>
        <w:tc>
          <w:tcPr>
            <w:tcW w:w="1291" w:type="dxa"/>
            <w:vMerge w:val="restart"/>
            <w:tcBorders>
              <w:tl2br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bookmarkStart w:id="153" w:name="_Toc15553"/>
            <w:bookmarkStart w:id="154" w:name="_Toc15599"/>
            <w:bookmarkStart w:id="155" w:name="_Toc32147"/>
            <w:bookmarkStart w:id="156" w:name="_Toc15589"/>
            <w:bookmarkStart w:id="157" w:name="_Toc2527"/>
            <w:bookmarkStart w:id="158" w:name="_Toc25880"/>
            <w:bookmarkStart w:id="159" w:name="_Toc11174"/>
            <w:r>
              <w:rPr>
                <w:rFonts w:hint="default" w:eastAsia="宋体"/>
                <w:bCs/>
                <w:color w:val="auto"/>
                <w:szCs w:val="21"/>
              </w:rPr>
              <w:t>影响因素</w:t>
            </w:r>
          </w:p>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p>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p>
          <w:p>
            <w:pPr>
              <w:keepNext w:val="0"/>
              <w:keepLines w:val="0"/>
              <w:suppressLineNumbers w:val="0"/>
              <w:autoSpaceDE w:val="0"/>
              <w:autoSpaceDN w:val="0"/>
              <w:adjustRightInd w:val="0"/>
              <w:spacing w:before="0" w:beforeAutospacing="0" w:after="0" w:afterAutospacing="0"/>
              <w:ind w:left="0" w:right="0"/>
              <w:jc w:val="left"/>
              <w:rPr>
                <w:rFonts w:hint="default" w:eastAsia="宋体"/>
                <w:bCs/>
                <w:color w:val="auto"/>
                <w:szCs w:val="21"/>
              </w:rPr>
            </w:pPr>
            <w:r>
              <w:rPr>
                <w:rFonts w:hint="default" w:eastAsia="宋体"/>
                <w:bCs/>
                <w:color w:val="auto"/>
                <w:szCs w:val="21"/>
              </w:rPr>
              <w:t>环境因素</w:t>
            </w:r>
          </w:p>
        </w:tc>
        <w:tc>
          <w:tcPr>
            <w:tcW w:w="7790" w:type="dxa"/>
            <w:gridSpan w:val="6"/>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exact"/>
          <w:jc w:val="center"/>
        </w:trPr>
        <w:tc>
          <w:tcPr>
            <w:tcW w:w="1291" w:type="dxa"/>
            <w:vMerge w:val="continue"/>
            <w:tcBorders>
              <w:tl2br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p>
        </w:tc>
        <w:tc>
          <w:tcPr>
            <w:tcW w:w="967" w:type="dxa"/>
            <w:vMerge w:val="restart"/>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占地</w:t>
            </w: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废气</w:t>
            </w:r>
          </w:p>
        </w:tc>
        <w:tc>
          <w:tcPr>
            <w:tcW w:w="15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废水</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固体废物</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噪声</w:t>
            </w:r>
          </w:p>
        </w:tc>
        <w:tc>
          <w:tcPr>
            <w:tcW w:w="1288"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7" w:hRule="exact"/>
          <w:jc w:val="center"/>
        </w:trPr>
        <w:tc>
          <w:tcPr>
            <w:tcW w:w="1291" w:type="dxa"/>
            <w:vMerge w:val="continue"/>
            <w:tcBorders>
              <w:tl2br w:val="single" w:color="auto" w:sz="4" w:space="0"/>
            </w:tcBorders>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p>
        </w:tc>
        <w:tc>
          <w:tcPr>
            <w:tcW w:w="967" w:type="dxa"/>
            <w:vMerge w:val="continue"/>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钻机、车辆废气</w:t>
            </w:r>
            <w:r>
              <w:rPr>
                <w:rFonts w:hint="eastAsia" w:eastAsia="宋体"/>
                <w:bCs/>
                <w:color w:val="auto"/>
                <w:szCs w:val="21"/>
              </w:rPr>
              <w:t>、及柴油机</w:t>
            </w:r>
            <w:r>
              <w:rPr>
                <w:rFonts w:hint="default" w:eastAsia="宋体"/>
                <w:bCs/>
                <w:color w:val="auto"/>
                <w:szCs w:val="21"/>
              </w:rPr>
              <w:t>燃烧烟气等</w:t>
            </w:r>
          </w:p>
        </w:tc>
        <w:tc>
          <w:tcPr>
            <w:tcW w:w="15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钻井废水</w:t>
            </w:r>
            <w:r>
              <w:rPr>
                <w:rFonts w:hint="eastAsia" w:eastAsia="宋体"/>
                <w:bCs/>
                <w:color w:val="auto"/>
                <w:szCs w:val="21"/>
              </w:rPr>
              <w:t>、</w:t>
            </w:r>
            <w:r>
              <w:rPr>
                <w:rFonts w:hint="default" w:eastAsia="宋体"/>
                <w:bCs/>
                <w:color w:val="auto"/>
                <w:szCs w:val="21"/>
              </w:rPr>
              <w:t>生活污水</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钻井岩屑</w:t>
            </w:r>
            <w:r>
              <w:rPr>
                <w:rFonts w:hint="eastAsia" w:eastAsia="宋体"/>
                <w:bCs/>
                <w:color w:val="auto"/>
                <w:szCs w:val="21"/>
              </w:rPr>
              <w:t>、废弃</w:t>
            </w:r>
            <w:r>
              <w:rPr>
                <w:rFonts w:hint="default" w:eastAsia="宋体"/>
                <w:bCs/>
                <w:color w:val="auto"/>
                <w:szCs w:val="21"/>
              </w:rPr>
              <w:t>泥</w:t>
            </w:r>
            <w:r>
              <w:rPr>
                <w:rFonts w:hint="eastAsia"/>
                <w:bCs/>
                <w:color w:val="auto"/>
                <w:szCs w:val="21"/>
                <w:lang w:eastAsia="zh-CN"/>
              </w:rPr>
              <w:t>浆、</w:t>
            </w:r>
            <w:r>
              <w:rPr>
                <w:rFonts w:hint="default" w:hAnsi="宋体"/>
                <w:bCs/>
                <w:color w:val="auto"/>
                <w:szCs w:val="21"/>
              </w:rPr>
              <w:t>废防渗布、废包装袋</w:t>
            </w:r>
            <w:r>
              <w:rPr>
                <w:rFonts w:hint="default" w:eastAsia="宋体"/>
                <w:bCs/>
                <w:color w:val="auto"/>
                <w:szCs w:val="21"/>
              </w:rPr>
              <w:t>浆等</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hAnsi="宋体"/>
                <w:bCs/>
                <w:color w:val="auto"/>
                <w:szCs w:val="21"/>
              </w:rPr>
              <w:t>施工车辆、钻机、柴油发电机等噪声</w:t>
            </w:r>
          </w:p>
        </w:tc>
        <w:tc>
          <w:tcPr>
            <w:tcW w:w="1288"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井喷</w:t>
            </w:r>
            <w:r>
              <w:rPr>
                <w:rFonts w:hint="eastAsia" w:eastAsia="宋体"/>
                <w:bCs/>
                <w:color w:val="auto"/>
                <w:szCs w:val="21"/>
              </w:rPr>
              <w:t>、套损、井</w:t>
            </w:r>
            <w:r>
              <w:rPr>
                <w:rFonts w:hint="default" w:eastAsia="宋体"/>
                <w:bCs/>
                <w:color w:val="auto"/>
                <w:szCs w:val="21"/>
              </w:rPr>
              <w:t>漏</w:t>
            </w:r>
            <w:r>
              <w:rPr>
                <w:rFonts w:hint="eastAsia" w:eastAsia="宋体"/>
                <w:bCs/>
                <w:color w:val="auto"/>
                <w:szCs w:val="21"/>
              </w:rPr>
              <w:t>、污染物泄漏、</w:t>
            </w:r>
            <w:r>
              <w:rPr>
                <w:rFonts w:hint="default" w:hAnsi="宋体"/>
                <w:bCs/>
                <w:color w:val="auto"/>
                <w:szCs w:val="21"/>
              </w:rPr>
              <w:t>柴油罐泄漏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exact"/>
          <w:jc w:val="center"/>
        </w:trPr>
        <w:tc>
          <w:tcPr>
            <w:tcW w:w="12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环境空气</w:t>
            </w:r>
          </w:p>
        </w:tc>
        <w:tc>
          <w:tcPr>
            <w:tcW w:w="96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-SN</w:t>
            </w:r>
          </w:p>
        </w:tc>
        <w:tc>
          <w:tcPr>
            <w:tcW w:w="15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88"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exact"/>
          <w:jc w:val="center"/>
        </w:trPr>
        <w:tc>
          <w:tcPr>
            <w:tcW w:w="12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地下水</w:t>
            </w:r>
          </w:p>
        </w:tc>
        <w:tc>
          <w:tcPr>
            <w:tcW w:w="96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5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88"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bCs/>
                <w:color w:val="auto"/>
                <w:szCs w:val="21"/>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exact"/>
          <w:jc w:val="center"/>
        </w:trPr>
        <w:tc>
          <w:tcPr>
            <w:tcW w:w="12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声环境</w:t>
            </w:r>
          </w:p>
        </w:tc>
        <w:tc>
          <w:tcPr>
            <w:tcW w:w="96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5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-SN</w:t>
            </w:r>
          </w:p>
        </w:tc>
        <w:tc>
          <w:tcPr>
            <w:tcW w:w="1288"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bCs/>
                <w:color w:val="auto"/>
                <w:szCs w:val="21"/>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exact"/>
          <w:jc w:val="center"/>
        </w:trPr>
        <w:tc>
          <w:tcPr>
            <w:tcW w:w="12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土壤</w:t>
            </w:r>
          </w:p>
        </w:tc>
        <w:tc>
          <w:tcPr>
            <w:tcW w:w="96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-SN</w:t>
            </w: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5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88"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bCs/>
                <w:color w:val="auto"/>
                <w:szCs w:val="21"/>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exact"/>
          <w:jc w:val="center"/>
        </w:trPr>
        <w:tc>
          <w:tcPr>
            <w:tcW w:w="12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植被</w:t>
            </w:r>
          </w:p>
        </w:tc>
        <w:tc>
          <w:tcPr>
            <w:tcW w:w="96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-SN</w:t>
            </w: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573"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bCs/>
                <w:color w:val="auto"/>
                <w:szCs w:val="21"/>
              </w:rPr>
              <w:t>/</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88"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bCs/>
                <w:color w:val="auto"/>
                <w:szCs w:val="21"/>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12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动物</w:t>
            </w:r>
          </w:p>
        </w:tc>
        <w:tc>
          <w:tcPr>
            <w:tcW w:w="96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573"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bCs/>
                <w:color w:val="auto"/>
                <w:szCs w:val="21"/>
              </w:rPr>
              <w:t>/</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-SN</w:t>
            </w:r>
          </w:p>
        </w:tc>
        <w:tc>
          <w:tcPr>
            <w:tcW w:w="1288"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bCs/>
                <w:color w:val="auto"/>
                <w:szCs w:val="21"/>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exact"/>
          <w:jc w:val="center"/>
        </w:trPr>
        <w:tc>
          <w:tcPr>
            <w:tcW w:w="12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其他</w:t>
            </w:r>
          </w:p>
        </w:tc>
        <w:tc>
          <w:tcPr>
            <w:tcW w:w="96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573"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194"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491"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bCs/>
                <w:color w:val="auto"/>
                <w:szCs w:val="21"/>
              </w:rPr>
            </w:pPr>
            <w:r>
              <w:rPr>
                <w:rFonts w:hint="default" w:eastAsia="宋体"/>
                <w:bCs/>
                <w:color w:val="auto"/>
                <w:szCs w:val="21"/>
              </w:rPr>
              <w:t>/</w:t>
            </w:r>
          </w:p>
        </w:tc>
        <w:tc>
          <w:tcPr>
            <w:tcW w:w="1288"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bCs/>
                <w:color w:val="auto"/>
                <w:szCs w:val="21"/>
              </w:rPr>
              <w:t>/</w:t>
            </w:r>
          </w:p>
        </w:tc>
      </w:tr>
    </w:tbl>
    <w:p>
      <w:pPr>
        <w:ind w:firstLine="422"/>
        <w:rPr>
          <w:bCs/>
          <w:color w:val="auto"/>
        </w:rPr>
      </w:pPr>
      <w:r>
        <w:rPr>
          <w:bCs/>
          <w:color w:val="auto"/>
        </w:rPr>
        <w:t>注：-：不利影响  +：有利影响  L：长期影响  S：短期影响  A：显著影响</w:t>
      </w:r>
      <w:r>
        <w:rPr>
          <w:rFonts w:hint="eastAsia"/>
          <w:bCs/>
          <w:color w:val="auto"/>
        </w:rPr>
        <w:t xml:space="preserve"> </w:t>
      </w:r>
      <w:r>
        <w:rPr>
          <w:bCs/>
          <w:color w:val="auto"/>
        </w:rPr>
        <w:t xml:space="preserve"> </w:t>
      </w:r>
      <w:r>
        <w:rPr>
          <w:rFonts w:hint="eastAsia"/>
          <w:bCs/>
          <w:color w:val="auto"/>
        </w:rPr>
        <w:t>N：一般影响</w:t>
      </w:r>
    </w:p>
    <w:p>
      <w:pPr>
        <w:ind w:firstLine="422"/>
        <w:rPr>
          <w:bCs/>
          <w:color w:val="auto"/>
        </w:rPr>
      </w:pPr>
      <w:r>
        <w:rPr>
          <w:bCs/>
          <w:color w:val="auto"/>
        </w:rPr>
        <w:t>空白：表示此项环境因子不存在或与工程活动无关</w:t>
      </w:r>
    </w:p>
    <w:p>
      <w:pPr>
        <w:pStyle w:val="83"/>
        <w:bidi w:val="0"/>
        <w:rPr>
          <w:color w:val="auto"/>
        </w:rPr>
      </w:pPr>
      <w:r>
        <w:rPr>
          <w:color w:val="auto"/>
        </w:rPr>
        <w:t>从上表可知本工程的主要环境影响表现在地下水环境、</w:t>
      </w:r>
      <w:r>
        <w:rPr>
          <w:rFonts w:hint="eastAsia"/>
          <w:color w:val="auto"/>
        </w:rPr>
        <w:t>地表水</w:t>
      </w:r>
      <w:r>
        <w:rPr>
          <w:color w:val="auto"/>
        </w:rPr>
        <w:t>环境、生态环境、环境空气、声环境、环境风险等方面。</w:t>
      </w:r>
    </w:p>
    <w:p>
      <w:pPr>
        <w:pStyle w:val="5"/>
        <w:spacing w:before="156" w:after="156"/>
        <w:rPr>
          <w:color w:val="auto"/>
        </w:rPr>
      </w:pPr>
      <w:bookmarkStart w:id="160" w:name="_Toc49174956"/>
      <w:bookmarkStart w:id="161" w:name="_Toc49174781"/>
      <w:r>
        <w:rPr>
          <w:color w:val="auto"/>
        </w:rPr>
        <w:t>评价因子</w:t>
      </w:r>
      <w:bookmarkEnd w:id="153"/>
      <w:bookmarkEnd w:id="154"/>
      <w:bookmarkEnd w:id="155"/>
      <w:bookmarkEnd w:id="156"/>
      <w:bookmarkEnd w:id="157"/>
      <w:bookmarkEnd w:id="158"/>
      <w:bookmarkEnd w:id="159"/>
      <w:r>
        <w:rPr>
          <w:color w:val="auto"/>
        </w:rPr>
        <w:t>筛选</w:t>
      </w:r>
      <w:bookmarkEnd w:id="160"/>
      <w:bookmarkEnd w:id="161"/>
    </w:p>
    <w:p>
      <w:pPr>
        <w:pStyle w:val="33"/>
        <w:rPr>
          <w:b/>
          <w:color w:val="auto"/>
        </w:rPr>
      </w:pPr>
      <w:r>
        <w:rPr>
          <w:color w:val="auto"/>
        </w:rPr>
        <w:t>经过对油田产生的污染物排放特点及油田周围环境情况进行分析后，确定本工程评价因子详见</w:t>
      </w:r>
      <w:r>
        <w:rPr>
          <w:rFonts w:hint="eastAsia"/>
          <w:color w:val="auto"/>
        </w:rPr>
        <w:t>下</w:t>
      </w:r>
      <w:r>
        <w:rPr>
          <w:color w:val="auto"/>
        </w:rPr>
        <w:t>表。</w:t>
      </w:r>
    </w:p>
    <w:p>
      <w:pPr>
        <w:pStyle w:val="7"/>
        <w:bidi w:val="0"/>
        <w:rPr>
          <w:color w:val="auto"/>
        </w:rPr>
      </w:pPr>
      <w:r>
        <w:rPr>
          <w:color w:val="auto"/>
        </w:rPr>
        <w:t>评价因子一览表</w:t>
      </w:r>
    </w:p>
    <w:tbl>
      <w:tblPr>
        <w:tblStyle w:val="34"/>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21"/>
        <w:gridCol w:w="693"/>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28" w:type="dxa"/>
            <w:gridSpan w:val="2"/>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序号</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环境要素</w:t>
            </w:r>
          </w:p>
        </w:tc>
        <w:tc>
          <w:tcPr>
            <w:tcW w:w="6585"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环境质量评价因子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restart"/>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现状评价因子</w:t>
            </w: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环境空气</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PM</w:t>
            </w:r>
            <w:r>
              <w:rPr>
                <w:rFonts w:hint="default"/>
                <w:color w:val="auto"/>
                <w:vertAlign w:val="subscript"/>
              </w:rPr>
              <w:t>10</w:t>
            </w:r>
            <w:r>
              <w:rPr>
                <w:rFonts w:hint="default"/>
                <w:color w:val="auto"/>
              </w:rPr>
              <w:t>、PM</w:t>
            </w:r>
            <w:r>
              <w:rPr>
                <w:rFonts w:hint="default"/>
                <w:color w:val="auto"/>
                <w:vertAlign w:val="subscript"/>
              </w:rPr>
              <w:t>2.5</w:t>
            </w:r>
            <w:r>
              <w:rPr>
                <w:rFonts w:hint="default"/>
                <w:color w:val="auto"/>
              </w:rPr>
              <w:t>、SO</w:t>
            </w:r>
            <w:r>
              <w:rPr>
                <w:rFonts w:hint="default"/>
                <w:color w:val="auto"/>
                <w:vertAlign w:val="subscript"/>
              </w:rPr>
              <w:t>2</w:t>
            </w:r>
            <w:r>
              <w:rPr>
                <w:rFonts w:hint="default"/>
                <w:color w:val="auto"/>
              </w:rPr>
              <w:t>、NO</w:t>
            </w:r>
            <w:r>
              <w:rPr>
                <w:rFonts w:hint="default"/>
                <w:color w:val="auto"/>
                <w:vertAlign w:val="subscript"/>
              </w:rPr>
              <w:t>2</w:t>
            </w:r>
            <w:r>
              <w:rPr>
                <w:rFonts w:hint="default"/>
                <w:color w:val="auto"/>
              </w:rPr>
              <w:t>、CO、O</w:t>
            </w:r>
            <w:r>
              <w:rPr>
                <w:rFonts w:hint="default"/>
                <w:color w:val="auto"/>
                <w:vertAlign w:val="subscript"/>
              </w:rPr>
              <w:t>3</w:t>
            </w:r>
            <w:r>
              <w:rPr>
                <w:rFonts w:hint="default"/>
                <w:color w:val="auto"/>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auto"/>
              </w:rPr>
            </w:pP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地下水</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eastAsia" w:eastAsia="宋体"/>
                <w:color w:val="auto"/>
                <w:lang w:eastAsia="zh-CN"/>
              </w:rPr>
            </w:pPr>
            <w:r>
              <w:rPr>
                <w:rFonts w:hint="default"/>
                <w:color w:val="auto"/>
              </w:rPr>
              <w:t>pH、总硬度、耗氧量、石油类、氨氮、氟化物、挥发酚、硝酸盐氮、亚硝酸盐氮、细菌总数、大肠菌群、溶解性总固体、氯化物、硫酸盐、氰化物、砷、汞、镉、六价铬、铁、锰、铅</w:t>
            </w:r>
            <w:r>
              <w:rPr>
                <w:rFonts w:hint="eastAsia"/>
                <w:color w:val="auto"/>
                <w:lang w:eastAsia="zh-CN"/>
              </w:rPr>
              <w:t>、钠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auto"/>
              </w:rPr>
            </w:pP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3</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土壤</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农用地：pH、石油烃（C</w:t>
            </w:r>
            <w:r>
              <w:rPr>
                <w:rFonts w:hint="default"/>
                <w:color w:val="auto"/>
                <w:vertAlign w:val="subscript"/>
              </w:rPr>
              <w:t>10</w:t>
            </w:r>
            <w:r>
              <w:rPr>
                <w:rFonts w:hint="default"/>
                <w:color w:val="auto"/>
              </w:rPr>
              <w:t>-C</w:t>
            </w:r>
            <w:r>
              <w:rPr>
                <w:rFonts w:hint="default"/>
                <w:color w:val="auto"/>
                <w:vertAlign w:val="subscript"/>
              </w:rPr>
              <w:t>40</w:t>
            </w:r>
            <w:r>
              <w:rPr>
                <w:rFonts w:hint="default"/>
                <w:color w:val="auto"/>
              </w:rPr>
              <w:t>）、铅、总铬、汞、砷、铜、锌、镉、镍</w:t>
            </w:r>
          </w:p>
          <w:p>
            <w:pPr>
              <w:keepNext w:val="0"/>
              <w:keepLines w:val="0"/>
              <w:suppressLineNumbers w:val="0"/>
              <w:spacing w:before="0" w:beforeAutospacing="0" w:after="0" w:afterAutospacing="0"/>
              <w:ind w:left="0" w:right="0"/>
              <w:jc w:val="both"/>
              <w:rPr>
                <w:rFonts w:hint="default"/>
                <w:color w:val="auto"/>
              </w:rPr>
            </w:pPr>
            <w:r>
              <w:rPr>
                <w:rFonts w:hint="default"/>
                <w:color w:val="auto"/>
              </w:rPr>
              <w:t>建设用地：pH、石油烃（C</w:t>
            </w:r>
            <w:r>
              <w:rPr>
                <w:rFonts w:hint="default"/>
                <w:color w:val="auto"/>
                <w:vertAlign w:val="subscript"/>
              </w:rPr>
              <w:t>10</w:t>
            </w:r>
            <w:r>
              <w:rPr>
                <w:rFonts w:hint="default"/>
                <w:color w:val="auto"/>
              </w:rPr>
              <w:t>-C</w:t>
            </w:r>
            <w:r>
              <w:rPr>
                <w:rFonts w:hint="default"/>
                <w:color w:val="auto"/>
                <w:vertAlign w:val="subscript"/>
              </w:rPr>
              <w:t>40</w:t>
            </w:r>
            <w:r>
              <w:rPr>
                <w:rFonts w:hint="default"/>
                <w:color w:val="auto"/>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4-二氯苯、1，2-二氯苯、乙苯、苯乙烯、甲苯、间+对二甲苯、邻二甲苯、硝基苯、苯胺、2-氯酚、苯并〔a〕蒽、苯并〔a〕芘、苯并〔b〕荧蒽、苯并〔k〕荧蒽、䓛、二苯并〔a，h〕蒽、茚并〔1，2，3-cd〕芘、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auto"/>
              </w:rPr>
            </w:pP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4</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噪声</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昼夜等效连续A声级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auto"/>
              </w:rPr>
            </w:pP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生态</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spacing w:val="-8"/>
              </w:rPr>
              <w:t>植被类型的构成、分布、面积、生物量及群种、优势种群；土壤类型、</w:t>
            </w:r>
            <w:r>
              <w:rPr>
                <w:rFonts w:hint="default"/>
                <w:color w:val="auto"/>
                <w:spacing w:val="-56"/>
              </w:rPr>
              <w:t xml:space="preserve"> </w:t>
            </w:r>
            <w:r>
              <w:rPr>
                <w:rFonts w:hint="default"/>
                <w:color w:val="auto"/>
              </w:rPr>
              <w:t>特征、组成和分布，土地利用状况、土壤退化状况等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restart"/>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影响预测因</w:t>
            </w:r>
            <w:bookmarkStart w:id="162" w:name="bookmark11"/>
            <w:bookmarkEnd w:id="162"/>
            <w:r>
              <w:rPr>
                <w:rFonts w:hint="default"/>
                <w:color w:val="auto"/>
              </w:rPr>
              <w:t>子</w:t>
            </w: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环境空气</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非甲烷总烃、SO</w:t>
            </w:r>
            <w:r>
              <w:rPr>
                <w:rFonts w:hint="default"/>
                <w:color w:val="auto"/>
                <w:position w:val="-3"/>
                <w:sz w:val="14"/>
                <w:szCs w:val="14"/>
              </w:rPr>
              <w:t>2</w:t>
            </w:r>
            <w:r>
              <w:rPr>
                <w:rFonts w:hint="default"/>
                <w:color w:val="auto"/>
              </w:rPr>
              <w:t>、NO</w:t>
            </w:r>
            <w:r>
              <w:rPr>
                <w:rFonts w:hint="default"/>
                <w:color w:val="auto"/>
                <w:position w:val="-3"/>
                <w:sz w:val="14"/>
                <w:szCs w:val="14"/>
              </w:rPr>
              <w:t>2</w:t>
            </w:r>
            <w:r>
              <w:rPr>
                <w:rFonts w:hint="default"/>
                <w:color w:val="auto"/>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auto"/>
              </w:rPr>
            </w:pP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地下水</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auto"/>
              </w:rPr>
            </w:pP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3</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土壤</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石油烃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auto"/>
              </w:rPr>
            </w:pP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4</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生态</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动物、植被、生物量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7" w:type="dxa"/>
            <w:vMerge w:val="continue"/>
            <w:shd w:val="clear" w:color="auto" w:fill="auto"/>
            <w:vAlign w:val="center"/>
          </w:tcPr>
          <w:p>
            <w:pPr>
              <w:keepNext w:val="0"/>
              <w:keepLines w:val="0"/>
              <w:suppressLineNumbers w:val="0"/>
              <w:spacing w:before="0" w:beforeAutospacing="0" w:after="0" w:afterAutospacing="0"/>
              <w:ind w:left="0" w:right="0"/>
              <w:rPr>
                <w:rFonts w:hint="default"/>
                <w:color w:val="auto"/>
              </w:rPr>
            </w:pPr>
          </w:p>
        </w:tc>
        <w:tc>
          <w:tcPr>
            <w:tcW w:w="321"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eastAsia"/>
                <w:color w:val="auto"/>
              </w:rPr>
              <w:t>5</w:t>
            </w:r>
          </w:p>
        </w:tc>
        <w:tc>
          <w:tcPr>
            <w:tcW w:w="693"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噪声</w:t>
            </w:r>
          </w:p>
        </w:tc>
        <w:tc>
          <w:tcPr>
            <w:tcW w:w="6585" w:type="dxa"/>
            <w:shd w:val="clear" w:color="auto" w:fill="auto"/>
            <w:vAlign w:val="center"/>
          </w:tcPr>
          <w:p>
            <w:pPr>
              <w:keepNext w:val="0"/>
              <w:keepLines w:val="0"/>
              <w:suppressLineNumbers w:val="0"/>
              <w:spacing w:before="0" w:beforeAutospacing="0" w:after="0" w:afterAutospacing="0"/>
              <w:ind w:left="0" w:right="0"/>
              <w:jc w:val="both"/>
              <w:rPr>
                <w:rFonts w:hint="default"/>
                <w:color w:val="auto"/>
              </w:rPr>
            </w:pPr>
            <w:r>
              <w:rPr>
                <w:rFonts w:hint="default"/>
                <w:color w:val="auto"/>
              </w:rPr>
              <w:t>连续等效A声级</w:t>
            </w:r>
          </w:p>
        </w:tc>
      </w:tr>
    </w:tbl>
    <w:p>
      <w:pPr>
        <w:pStyle w:val="4"/>
        <w:snapToGrid w:val="0"/>
        <w:spacing w:before="159" w:beforeLines="50" w:after="159" w:afterLines="50" w:line="600" w:lineRule="exact"/>
        <w:rPr>
          <w:rFonts w:ascii="Times New Roman" w:hAnsi="Times New Roman" w:eastAsia="宋体"/>
          <w:b w:val="0"/>
          <w:snapToGrid w:val="0"/>
          <w:color w:val="auto"/>
          <w:kern w:val="0"/>
          <w:sz w:val="30"/>
          <w:szCs w:val="30"/>
        </w:rPr>
      </w:pPr>
      <w:bookmarkStart w:id="163" w:name="_Toc96083854"/>
      <w:bookmarkStart w:id="164" w:name="_Toc18179"/>
      <w:bookmarkStart w:id="165" w:name="_Toc49174782"/>
      <w:bookmarkStart w:id="166" w:name="_Toc14379"/>
      <w:bookmarkStart w:id="167" w:name="_Toc49174713"/>
      <w:bookmarkStart w:id="168" w:name="_Toc49174957"/>
      <w:bookmarkStart w:id="169" w:name="_Toc32745"/>
      <w:bookmarkStart w:id="170" w:name="_Toc17707"/>
      <w:bookmarkStart w:id="171" w:name="_Toc1992"/>
      <w:bookmarkStart w:id="172" w:name="_Toc49174604"/>
      <w:bookmarkStart w:id="173" w:name="_Toc16842"/>
      <w:bookmarkStart w:id="174" w:name="_Toc49174394"/>
      <w:bookmarkStart w:id="175" w:name="_Toc10783"/>
      <w:bookmarkStart w:id="176" w:name="_Toc11682"/>
      <w:r>
        <w:rPr>
          <w:rFonts w:ascii="Times New Roman" w:hAnsi="宋体" w:eastAsia="宋体"/>
          <w:b w:val="0"/>
          <w:snapToGrid w:val="0"/>
          <w:color w:val="auto"/>
          <w:kern w:val="0"/>
          <w:sz w:val="30"/>
          <w:szCs w:val="30"/>
        </w:rPr>
        <w:t>环境功能区划及环境评价标准</w:t>
      </w:r>
      <w:bookmarkEnd w:id="163"/>
      <w:bookmarkEnd w:id="164"/>
    </w:p>
    <w:p>
      <w:pPr>
        <w:pStyle w:val="5"/>
        <w:spacing w:before="159" w:beforeLines="50" w:after="159" w:afterLines="50" w:line="440" w:lineRule="exact"/>
        <w:rPr>
          <w:b w:val="0"/>
          <w:snapToGrid w:val="0"/>
          <w:color w:val="auto"/>
          <w:kern w:val="0"/>
          <w:sz w:val="28"/>
          <w:szCs w:val="28"/>
        </w:rPr>
      </w:pPr>
      <w:r>
        <w:rPr>
          <w:rFonts w:hAnsi="宋体"/>
          <w:b w:val="0"/>
          <w:snapToGrid w:val="0"/>
          <w:color w:val="auto"/>
          <w:kern w:val="0"/>
          <w:sz w:val="28"/>
          <w:szCs w:val="28"/>
        </w:rPr>
        <w:t>环境功能区划</w:t>
      </w:r>
    </w:p>
    <w:p>
      <w:pPr>
        <w:pStyle w:val="6"/>
        <w:bidi w:val="0"/>
        <w:rPr>
          <w:color w:val="auto"/>
        </w:rPr>
      </w:pPr>
      <w:r>
        <w:rPr>
          <w:color w:val="auto"/>
        </w:rPr>
        <w:t>生态功能区划</w:t>
      </w:r>
    </w:p>
    <w:p>
      <w:pPr>
        <w:snapToGrid w:val="0"/>
        <w:spacing w:line="480" w:lineRule="exact"/>
        <w:ind w:firstLine="560" w:firstLineChars="200"/>
        <w:rPr>
          <w:color w:val="auto"/>
          <w:kern w:val="0"/>
          <w:sz w:val="28"/>
          <w:szCs w:val="28"/>
        </w:rPr>
      </w:pPr>
      <w:r>
        <w:rPr>
          <w:rFonts w:hAnsi="宋体"/>
          <w:color w:val="auto"/>
          <w:kern w:val="0"/>
          <w:sz w:val="28"/>
          <w:szCs w:val="28"/>
        </w:rPr>
        <w:t>根据《黑龙江省生态功能区划》，评价区属于</w:t>
      </w:r>
      <w:r>
        <w:rPr>
          <w:color w:val="auto"/>
          <w:kern w:val="0"/>
          <w:sz w:val="28"/>
          <w:szCs w:val="28"/>
        </w:rPr>
        <w:t>“</w:t>
      </w:r>
      <w:r>
        <w:rPr>
          <w:rFonts w:hAnsi="宋体"/>
          <w:color w:val="auto"/>
          <w:kern w:val="0"/>
          <w:sz w:val="28"/>
          <w:szCs w:val="28"/>
        </w:rPr>
        <w:t>松嫩平原西部草甸草原生态区</w:t>
      </w:r>
      <w:r>
        <w:rPr>
          <w:color w:val="auto"/>
          <w:kern w:val="0"/>
          <w:sz w:val="28"/>
          <w:szCs w:val="28"/>
        </w:rPr>
        <w:t>-</w:t>
      </w:r>
      <w:r>
        <w:rPr>
          <w:rFonts w:hAnsi="宋体"/>
          <w:color w:val="auto"/>
          <w:kern w:val="0"/>
          <w:sz w:val="28"/>
          <w:szCs w:val="28"/>
        </w:rPr>
        <w:t>松嫩平原西部草甸草原与农业生态亚区</w:t>
      </w:r>
      <w:r>
        <w:rPr>
          <w:color w:val="auto"/>
          <w:kern w:val="0"/>
          <w:sz w:val="28"/>
          <w:szCs w:val="28"/>
        </w:rPr>
        <w:t>-</w:t>
      </w:r>
      <w:r>
        <w:rPr>
          <w:rFonts w:hAnsi="宋体"/>
          <w:color w:val="auto"/>
          <w:kern w:val="0"/>
          <w:sz w:val="28"/>
          <w:szCs w:val="28"/>
        </w:rPr>
        <w:t>安达</w:t>
      </w:r>
      <w:r>
        <w:rPr>
          <w:color w:val="auto"/>
          <w:kern w:val="0"/>
          <w:sz w:val="28"/>
          <w:szCs w:val="28"/>
        </w:rPr>
        <w:t>—</w:t>
      </w:r>
      <w:r>
        <w:rPr>
          <w:rFonts w:hint="eastAsia" w:hAnsi="宋体"/>
          <w:color w:val="auto"/>
          <w:kern w:val="0"/>
          <w:sz w:val="28"/>
          <w:szCs w:val="28"/>
        </w:rPr>
        <w:t>肇东</w:t>
      </w:r>
      <w:r>
        <w:rPr>
          <w:color w:val="auto"/>
          <w:kern w:val="0"/>
          <w:sz w:val="28"/>
          <w:szCs w:val="28"/>
        </w:rPr>
        <w:t>—</w:t>
      </w:r>
      <w:r>
        <w:rPr>
          <w:rFonts w:hAnsi="宋体"/>
          <w:color w:val="auto"/>
          <w:kern w:val="0"/>
          <w:sz w:val="28"/>
          <w:szCs w:val="28"/>
        </w:rPr>
        <w:t>肇源农、牧业与盐渍化控制生态功能区</w:t>
      </w:r>
      <w:r>
        <w:rPr>
          <w:color w:val="auto"/>
          <w:kern w:val="0"/>
          <w:sz w:val="28"/>
          <w:szCs w:val="28"/>
        </w:rPr>
        <w:t>”</w:t>
      </w:r>
      <w:r>
        <w:rPr>
          <w:rFonts w:hAnsi="宋体"/>
          <w:color w:val="auto"/>
          <w:kern w:val="0"/>
          <w:sz w:val="28"/>
          <w:szCs w:val="28"/>
        </w:rPr>
        <w:t>。</w:t>
      </w:r>
    </w:p>
    <w:p>
      <w:pPr>
        <w:pStyle w:val="6"/>
        <w:bidi w:val="0"/>
        <w:rPr>
          <w:b w:val="0"/>
          <w:snapToGrid w:val="0"/>
          <w:color w:val="auto"/>
          <w:kern w:val="0"/>
          <w:sz w:val="28"/>
          <w:szCs w:val="28"/>
        </w:rPr>
      </w:pPr>
      <w:r>
        <w:rPr>
          <w:rFonts w:hAnsi="宋体"/>
          <w:b w:val="0"/>
          <w:snapToGrid w:val="0"/>
          <w:color w:val="auto"/>
          <w:kern w:val="0"/>
          <w:sz w:val="28"/>
          <w:szCs w:val="28"/>
        </w:rPr>
        <w:t>水环境</w:t>
      </w:r>
    </w:p>
    <w:p>
      <w:pPr>
        <w:snapToGrid w:val="0"/>
        <w:spacing w:line="480" w:lineRule="exact"/>
        <w:ind w:firstLine="560" w:firstLineChars="200"/>
        <w:rPr>
          <w:color w:val="auto"/>
          <w:kern w:val="0"/>
          <w:sz w:val="28"/>
          <w:szCs w:val="28"/>
        </w:rPr>
      </w:pPr>
      <w:r>
        <w:rPr>
          <w:rFonts w:hAnsi="宋体"/>
          <w:color w:val="auto"/>
          <w:kern w:val="0"/>
          <w:sz w:val="28"/>
          <w:szCs w:val="28"/>
        </w:rPr>
        <w:t>根据《地下水质量标准》（GB/T14843-2017）的规定，评价区地下水环境功能区划分为Ⅲ类区。</w:t>
      </w:r>
    </w:p>
    <w:p>
      <w:pPr>
        <w:pStyle w:val="6"/>
        <w:bidi w:val="0"/>
        <w:rPr>
          <w:b w:val="0"/>
          <w:snapToGrid w:val="0"/>
          <w:color w:val="auto"/>
          <w:kern w:val="0"/>
          <w:sz w:val="28"/>
          <w:szCs w:val="28"/>
        </w:rPr>
      </w:pPr>
      <w:r>
        <w:rPr>
          <w:rFonts w:hAnsi="宋体"/>
          <w:b w:val="0"/>
          <w:snapToGrid w:val="0"/>
          <w:color w:val="auto"/>
          <w:kern w:val="0"/>
          <w:sz w:val="28"/>
          <w:szCs w:val="28"/>
        </w:rPr>
        <w:t>大气环境</w:t>
      </w:r>
    </w:p>
    <w:p>
      <w:pPr>
        <w:snapToGrid w:val="0"/>
        <w:spacing w:line="480" w:lineRule="exact"/>
        <w:ind w:firstLine="560" w:firstLineChars="200"/>
        <w:rPr>
          <w:color w:val="auto"/>
          <w:kern w:val="0"/>
          <w:sz w:val="28"/>
          <w:szCs w:val="28"/>
        </w:rPr>
      </w:pPr>
      <w:r>
        <w:rPr>
          <w:rFonts w:hAnsi="宋体"/>
          <w:color w:val="auto"/>
          <w:kern w:val="0"/>
          <w:sz w:val="28"/>
          <w:szCs w:val="28"/>
        </w:rPr>
        <w:t>根据《环境空气质量标准》（</w:t>
      </w:r>
      <w:r>
        <w:rPr>
          <w:color w:val="auto"/>
          <w:kern w:val="0"/>
          <w:sz w:val="28"/>
          <w:szCs w:val="28"/>
        </w:rPr>
        <w:t>GB3095-2012</w:t>
      </w:r>
      <w:r>
        <w:rPr>
          <w:rFonts w:hAnsi="宋体"/>
          <w:color w:val="auto"/>
          <w:kern w:val="0"/>
          <w:sz w:val="28"/>
          <w:szCs w:val="28"/>
        </w:rPr>
        <w:t>）的规定，评价区环境空气质量划分为二类区。</w:t>
      </w:r>
    </w:p>
    <w:p>
      <w:pPr>
        <w:pStyle w:val="6"/>
        <w:bidi w:val="0"/>
        <w:rPr>
          <w:b w:val="0"/>
          <w:snapToGrid w:val="0"/>
          <w:color w:val="auto"/>
          <w:kern w:val="0"/>
          <w:sz w:val="28"/>
          <w:szCs w:val="28"/>
        </w:rPr>
      </w:pPr>
      <w:r>
        <w:rPr>
          <w:rFonts w:hAnsi="宋体"/>
          <w:b w:val="0"/>
          <w:snapToGrid w:val="0"/>
          <w:color w:val="auto"/>
          <w:kern w:val="0"/>
          <w:sz w:val="28"/>
          <w:szCs w:val="28"/>
        </w:rPr>
        <w:t>声环境</w:t>
      </w:r>
    </w:p>
    <w:p>
      <w:pPr>
        <w:snapToGrid w:val="0"/>
        <w:spacing w:line="480" w:lineRule="exact"/>
        <w:ind w:firstLine="560" w:firstLineChars="200"/>
        <w:rPr>
          <w:color w:val="auto"/>
          <w:kern w:val="0"/>
          <w:sz w:val="28"/>
          <w:szCs w:val="28"/>
        </w:rPr>
      </w:pPr>
      <w:r>
        <w:rPr>
          <w:rFonts w:hAnsi="宋体"/>
          <w:color w:val="auto"/>
          <w:kern w:val="0"/>
          <w:sz w:val="28"/>
          <w:szCs w:val="28"/>
        </w:rPr>
        <w:t>根据《声环境质量标准》（</w:t>
      </w:r>
      <w:r>
        <w:rPr>
          <w:color w:val="auto"/>
          <w:kern w:val="0"/>
          <w:sz w:val="28"/>
          <w:szCs w:val="28"/>
        </w:rPr>
        <w:t>GB3096-2008</w:t>
      </w:r>
      <w:r>
        <w:rPr>
          <w:rFonts w:hAnsi="宋体"/>
          <w:color w:val="auto"/>
          <w:kern w:val="0"/>
          <w:sz w:val="28"/>
          <w:szCs w:val="28"/>
        </w:rPr>
        <w:t>）的规定，评价区声环境功能农村</w:t>
      </w:r>
      <w:r>
        <w:rPr>
          <w:rFonts w:hint="eastAsia" w:hAnsi="宋体"/>
          <w:color w:val="auto"/>
          <w:kern w:val="0"/>
          <w:sz w:val="28"/>
          <w:szCs w:val="28"/>
        </w:rPr>
        <w:t>村庄</w:t>
      </w:r>
      <w:r>
        <w:rPr>
          <w:rFonts w:hAnsi="宋体"/>
          <w:color w:val="auto"/>
          <w:kern w:val="0"/>
          <w:sz w:val="28"/>
          <w:szCs w:val="28"/>
        </w:rPr>
        <w:t>划分为</w:t>
      </w:r>
      <w:r>
        <w:rPr>
          <w:color w:val="auto"/>
          <w:kern w:val="0"/>
          <w:sz w:val="28"/>
          <w:szCs w:val="28"/>
        </w:rPr>
        <w:t>1</w:t>
      </w:r>
      <w:r>
        <w:rPr>
          <w:rFonts w:hAnsi="宋体"/>
          <w:color w:val="auto"/>
          <w:kern w:val="0"/>
          <w:sz w:val="28"/>
          <w:szCs w:val="28"/>
        </w:rPr>
        <w:t>类区</w:t>
      </w:r>
      <w:r>
        <w:rPr>
          <w:rFonts w:hAnsi="宋体"/>
          <w:snapToGrid w:val="0"/>
          <w:color w:val="auto"/>
          <w:kern w:val="0"/>
          <w:sz w:val="28"/>
          <w:szCs w:val="28"/>
        </w:rPr>
        <w:t>，其他地区</w:t>
      </w:r>
      <w:r>
        <w:rPr>
          <w:rFonts w:hAnsi="宋体"/>
          <w:color w:val="auto"/>
          <w:kern w:val="0"/>
          <w:sz w:val="28"/>
          <w:szCs w:val="28"/>
        </w:rPr>
        <w:t>划分为</w:t>
      </w:r>
      <w:r>
        <w:rPr>
          <w:color w:val="auto"/>
          <w:kern w:val="0"/>
          <w:sz w:val="28"/>
          <w:szCs w:val="28"/>
        </w:rPr>
        <w:t>2</w:t>
      </w:r>
      <w:r>
        <w:rPr>
          <w:rFonts w:hAnsi="宋体"/>
          <w:color w:val="auto"/>
          <w:kern w:val="0"/>
          <w:sz w:val="28"/>
          <w:szCs w:val="28"/>
        </w:rPr>
        <w:t>类区</w:t>
      </w:r>
      <w:r>
        <w:rPr>
          <w:rFonts w:hAnsi="宋体"/>
          <w:snapToGrid w:val="0"/>
          <w:color w:val="auto"/>
          <w:kern w:val="0"/>
          <w:sz w:val="28"/>
          <w:szCs w:val="28"/>
        </w:rPr>
        <w:t>。</w:t>
      </w:r>
    </w:p>
    <w:p>
      <w:pPr>
        <w:pStyle w:val="4"/>
        <w:spacing w:before="156" w:after="156"/>
        <w:rPr>
          <w:color w:val="auto"/>
        </w:rPr>
      </w:pPr>
      <w:bookmarkStart w:id="177" w:name="_Toc23386"/>
      <w:r>
        <w:rPr>
          <w:color w:val="auto"/>
        </w:rPr>
        <w:t>环境评价标准</w:t>
      </w:r>
      <w:bookmarkEnd w:id="165"/>
      <w:bookmarkEnd w:id="166"/>
      <w:bookmarkEnd w:id="167"/>
      <w:bookmarkEnd w:id="168"/>
      <w:bookmarkEnd w:id="169"/>
      <w:bookmarkEnd w:id="170"/>
      <w:bookmarkEnd w:id="171"/>
      <w:bookmarkEnd w:id="172"/>
      <w:bookmarkEnd w:id="173"/>
      <w:bookmarkEnd w:id="174"/>
      <w:bookmarkEnd w:id="175"/>
      <w:bookmarkEnd w:id="176"/>
      <w:bookmarkEnd w:id="177"/>
    </w:p>
    <w:p>
      <w:pPr>
        <w:pStyle w:val="5"/>
        <w:spacing w:before="156" w:after="156"/>
        <w:rPr>
          <w:color w:val="auto"/>
        </w:rPr>
      </w:pPr>
      <w:bookmarkStart w:id="178" w:name="_Toc22429"/>
      <w:bookmarkStart w:id="179" w:name="_Toc49174783"/>
      <w:bookmarkStart w:id="180" w:name="_Toc49174958"/>
      <w:bookmarkStart w:id="181" w:name="_Toc32618"/>
      <w:bookmarkStart w:id="182" w:name="_Toc23018"/>
      <w:bookmarkStart w:id="183" w:name="_Toc2535"/>
      <w:bookmarkStart w:id="184" w:name="_Toc13956"/>
      <w:bookmarkStart w:id="185" w:name="_Toc13698"/>
      <w:bookmarkStart w:id="186" w:name="_Toc7269"/>
      <w:r>
        <w:rPr>
          <w:color w:val="auto"/>
        </w:rPr>
        <w:t>环境质量标准</w:t>
      </w:r>
      <w:bookmarkEnd w:id="178"/>
      <w:bookmarkEnd w:id="179"/>
      <w:bookmarkEnd w:id="180"/>
      <w:bookmarkEnd w:id="181"/>
      <w:bookmarkEnd w:id="182"/>
      <w:bookmarkEnd w:id="183"/>
      <w:bookmarkEnd w:id="184"/>
      <w:bookmarkEnd w:id="185"/>
      <w:bookmarkEnd w:id="186"/>
    </w:p>
    <w:p>
      <w:pPr>
        <w:pStyle w:val="6"/>
        <w:spacing w:before="156" w:after="156"/>
        <w:rPr>
          <w:color w:val="auto"/>
        </w:rPr>
      </w:pPr>
      <w:bookmarkStart w:id="187" w:name="_Toc9387"/>
      <w:bookmarkStart w:id="188" w:name="_Toc8377"/>
      <w:bookmarkStart w:id="189" w:name="_Toc5186"/>
      <w:bookmarkStart w:id="190" w:name="_Toc23542"/>
      <w:r>
        <w:rPr>
          <w:color w:val="auto"/>
        </w:rPr>
        <w:t>环境空气质量标准</w:t>
      </w:r>
      <w:bookmarkEnd w:id="187"/>
      <w:bookmarkEnd w:id="188"/>
      <w:bookmarkEnd w:id="189"/>
      <w:bookmarkEnd w:id="190"/>
    </w:p>
    <w:p>
      <w:pPr>
        <w:pStyle w:val="33"/>
        <w:rPr>
          <w:color w:val="auto"/>
        </w:rPr>
      </w:pPr>
      <w:r>
        <w:rPr>
          <w:rFonts w:hint="eastAsia"/>
          <w:color w:val="auto"/>
        </w:rPr>
        <w:t>本工程所在区域为</w:t>
      </w:r>
      <w:r>
        <w:rPr>
          <w:rFonts w:hint="eastAsia"/>
          <w:color w:val="auto"/>
          <w:lang w:eastAsia="zh-CN"/>
        </w:rPr>
        <w:t>安达市升平镇</w:t>
      </w:r>
      <w:r>
        <w:rPr>
          <w:rFonts w:hint="eastAsia"/>
          <w:color w:val="auto"/>
        </w:rPr>
        <w:t>，根据《环境空气质量标准》（GB3095-2012）的规定，评价区环境空气质量划分为二类区。具体标准值见表2.</w:t>
      </w:r>
      <w:r>
        <w:rPr>
          <w:rFonts w:hint="eastAsia"/>
          <w:color w:val="auto"/>
          <w:lang w:val="en-US" w:eastAsia="zh-CN"/>
        </w:rPr>
        <w:t>5</w:t>
      </w:r>
      <w:r>
        <w:rPr>
          <w:rFonts w:hint="eastAsia"/>
          <w:color w:val="auto"/>
        </w:rPr>
        <w:t>-1</w:t>
      </w:r>
      <w:r>
        <w:rPr>
          <w:color w:val="auto"/>
        </w:rPr>
        <w:t>。</w:t>
      </w:r>
    </w:p>
    <w:p>
      <w:pPr>
        <w:pStyle w:val="7"/>
        <w:bidi w:val="0"/>
        <w:rPr>
          <w:color w:val="auto"/>
        </w:rPr>
      </w:pPr>
      <w:r>
        <w:rPr>
          <w:color w:val="auto"/>
        </w:rPr>
        <w:t>环境空气质量标准</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1"/>
        <w:gridCol w:w="3326"/>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污染物名称</w:t>
            </w:r>
          </w:p>
        </w:tc>
        <w:tc>
          <w:tcPr>
            <w:tcW w:w="3326"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取值时间</w:t>
            </w:r>
          </w:p>
        </w:tc>
        <w:tc>
          <w:tcPr>
            <w:tcW w:w="2820"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rPr>
            </w:pPr>
            <w:r>
              <w:rPr>
                <w:rFonts w:hint="default" w:hAnsi="宋体"/>
                <w:color w:val="auto"/>
                <w:kern w:val="0"/>
                <w:szCs w:val="21"/>
              </w:rPr>
              <w:t>二级标准</w:t>
            </w:r>
            <w:r>
              <w:rPr>
                <w:rFonts w:hint="default" w:hAnsi="宋体"/>
                <w:color w:val="auto"/>
              </w:rPr>
              <w:t>（</w:t>
            </w:r>
            <w:r>
              <w:rPr>
                <w:rFonts w:hint="default"/>
                <w:color w:val="auto"/>
              </w:rPr>
              <w:t>μg/m</w:t>
            </w:r>
            <w:r>
              <w:rPr>
                <w:rFonts w:hint="default"/>
                <w:color w:val="auto"/>
                <w:vertAlign w:val="superscript"/>
              </w:rPr>
              <w:t>3</w:t>
            </w:r>
            <w:r>
              <w:rPr>
                <w:rFonts w:hint="default" w:hAnsi="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二氧化硫（</w:t>
            </w:r>
            <w:r>
              <w:rPr>
                <w:rFonts w:hint="default"/>
                <w:color w:val="auto"/>
                <w:kern w:val="0"/>
                <w:szCs w:val="21"/>
              </w:rPr>
              <w:t>SO</w:t>
            </w:r>
            <w:r>
              <w:rPr>
                <w:rFonts w:hint="default"/>
                <w:color w:val="auto"/>
                <w:kern w:val="0"/>
                <w:szCs w:val="21"/>
                <w:vertAlign w:val="subscript"/>
              </w:rPr>
              <w:t>2</w:t>
            </w:r>
            <w:r>
              <w:rPr>
                <w:rFonts w:hint="default" w:hAnsi="宋体"/>
                <w:color w:val="auto"/>
                <w:kern w:val="0"/>
                <w:szCs w:val="21"/>
              </w:rPr>
              <w:t>）</w:t>
            </w:r>
          </w:p>
        </w:tc>
        <w:tc>
          <w:tcPr>
            <w:tcW w:w="3326"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年平均</w:t>
            </w:r>
          </w:p>
        </w:tc>
        <w:tc>
          <w:tcPr>
            <w:tcW w:w="282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二氧化氮（</w:t>
            </w:r>
            <w:r>
              <w:rPr>
                <w:rFonts w:hint="default"/>
                <w:color w:val="auto"/>
                <w:kern w:val="0"/>
                <w:szCs w:val="21"/>
              </w:rPr>
              <w:t>NO</w:t>
            </w:r>
            <w:r>
              <w:rPr>
                <w:rFonts w:hint="default"/>
                <w:color w:val="auto"/>
                <w:kern w:val="0"/>
                <w:szCs w:val="21"/>
                <w:vertAlign w:val="subscript"/>
              </w:rPr>
              <w:t>2</w:t>
            </w:r>
            <w:r>
              <w:rPr>
                <w:rFonts w:hint="default" w:hAnsi="宋体"/>
                <w:color w:val="auto"/>
                <w:kern w:val="0"/>
                <w:szCs w:val="21"/>
              </w:rPr>
              <w:t>）</w:t>
            </w:r>
          </w:p>
        </w:tc>
        <w:tc>
          <w:tcPr>
            <w:tcW w:w="3326"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年平均</w:t>
            </w:r>
          </w:p>
        </w:tc>
        <w:tc>
          <w:tcPr>
            <w:tcW w:w="282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颗粒物</w:t>
            </w:r>
            <w:r>
              <w:rPr>
                <w:rFonts w:hint="default"/>
                <w:color w:val="auto"/>
                <w:kern w:val="0"/>
                <w:szCs w:val="21"/>
              </w:rPr>
              <w:t>PM</w:t>
            </w:r>
            <w:r>
              <w:rPr>
                <w:rFonts w:hint="default"/>
                <w:color w:val="auto"/>
                <w:kern w:val="0"/>
                <w:szCs w:val="21"/>
                <w:vertAlign w:val="subscript"/>
              </w:rPr>
              <w:t>10</w:t>
            </w:r>
          </w:p>
        </w:tc>
        <w:tc>
          <w:tcPr>
            <w:tcW w:w="332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kern w:val="0"/>
                <w:szCs w:val="21"/>
              </w:rPr>
              <w:t>年平均</w:t>
            </w:r>
          </w:p>
        </w:tc>
        <w:tc>
          <w:tcPr>
            <w:tcW w:w="282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颗粒物</w:t>
            </w:r>
            <w:r>
              <w:rPr>
                <w:rFonts w:hint="default"/>
                <w:color w:val="auto"/>
                <w:kern w:val="0"/>
                <w:szCs w:val="21"/>
              </w:rPr>
              <w:t>PM</w:t>
            </w:r>
            <w:r>
              <w:rPr>
                <w:rFonts w:hint="default"/>
                <w:color w:val="auto"/>
                <w:kern w:val="0"/>
                <w:szCs w:val="21"/>
                <w:vertAlign w:val="subscript"/>
              </w:rPr>
              <w:t>2.5</w:t>
            </w:r>
          </w:p>
        </w:tc>
        <w:tc>
          <w:tcPr>
            <w:tcW w:w="332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kern w:val="0"/>
                <w:szCs w:val="21"/>
              </w:rPr>
              <w:t>年平均</w:t>
            </w:r>
          </w:p>
        </w:tc>
        <w:tc>
          <w:tcPr>
            <w:tcW w:w="282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臭氧（</w:t>
            </w:r>
            <w:r>
              <w:rPr>
                <w:rFonts w:hint="default"/>
                <w:color w:val="auto"/>
                <w:kern w:val="0"/>
                <w:szCs w:val="21"/>
              </w:rPr>
              <w:t>O</w:t>
            </w:r>
            <w:r>
              <w:rPr>
                <w:rFonts w:hint="default"/>
                <w:color w:val="auto"/>
                <w:kern w:val="0"/>
                <w:szCs w:val="21"/>
                <w:vertAlign w:val="subscript"/>
              </w:rPr>
              <w:t>3</w:t>
            </w:r>
            <w:r>
              <w:rPr>
                <w:rFonts w:hint="default" w:hAnsi="宋体"/>
                <w:color w:val="auto"/>
                <w:kern w:val="0"/>
                <w:szCs w:val="21"/>
              </w:rPr>
              <w:t>）</w:t>
            </w:r>
          </w:p>
        </w:tc>
        <w:tc>
          <w:tcPr>
            <w:tcW w:w="332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color w:val="auto"/>
                <w:kern w:val="0"/>
                <w:szCs w:val="21"/>
              </w:rPr>
            </w:pPr>
            <w:r>
              <w:rPr>
                <w:rFonts w:hint="default" w:hAnsi="宋体"/>
                <w:color w:val="auto"/>
                <w:kern w:val="0"/>
                <w:szCs w:val="21"/>
              </w:rPr>
              <w:t>日最大</w:t>
            </w:r>
            <w:r>
              <w:rPr>
                <w:rFonts w:hint="default"/>
                <w:color w:val="auto"/>
                <w:kern w:val="0"/>
                <w:szCs w:val="21"/>
              </w:rPr>
              <w:t>8</w:t>
            </w:r>
            <w:r>
              <w:rPr>
                <w:rFonts w:hint="default" w:hAnsi="宋体"/>
                <w:color w:val="auto"/>
                <w:kern w:val="0"/>
                <w:szCs w:val="21"/>
              </w:rPr>
              <w:t>小时平均</w:t>
            </w:r>
          </w:p>
        </w:tc>
        <w:tc>
          <w:tcPr>
            <w:tcW w:w="282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4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一氧化碳（</w:t>
            </w:r>
            <w:r>
              <w:rPr>
                <w:rFonts w:hint="default"/>
                <w:color w:val="auto"/>
                <w:kern w:val="0"/>
                <w:szCs w:val="21"/>
              </w:rPr>
              <w:t>CO</w:t>
            </w:r>
            <w:r>
              <w:rPr>
                <w:rFonts w:hint="default" w:hAnsi="宋体"/>
                <w:color w:val="auto"/>
                <w:kern w:val="0"/>
                <w:szCs w:val="21"/>
              </w:rPr>
              <w:t>）</w:t>
            </w:r>
          </w:p>
        </w:tc>
        <w:tc>
          <w:tcPr>
            <w:tcW w:w="3326"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24</w:t>
            </w:r>
            <w:r>
              <w:rPr>
                <w:rFonts w:hint="default" w:hAnsi="宋体"/>
                <w:color w:val="auto"/>
                <w:kern w:val="0"/>
                <w:szCs w:val="21"/>
              </w:rPr>
              <w:t>小时平均</w:t>
            </w:r>
          </w:p>
        </w:tc>
        <w:tc>
          <w:tcPr>
            <w:tcW w:w="2820" w:type="dxa"/>
            <w:tcBorders>
              <w:top w:val="single" w:color="auto" w:sz="4" w:space="0"/>
              <w:left w:val="nil"/>
              <w:bottom w:val="single" w:color="auto" w:sz="4" w:space="0"/>
              <w:right w:val="single" w:color="auto" w:sz="4" w:space="0"/>
            </w:tcBorders>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color w:val="auto"/>
                <w:kern w:val="0"/>
                <w:szCs w:val="21"/>
              </w:rPr>
              <w:t>4000</w:t>
            </w:r>
          </w:p>
        </w:tc>
      </w:tr>
    </w:tbl>
    <w:p>
      <w:pPr>
        <w:adjustRightInd w:val="0"/>
        <w:snapToGrid w:val="0"/>
        <w:spacing w:line="480" w:lineRule="exact"/>
        <w:ind w:firstLine="560"/>
        <w:rPr>
          <w:color w:val="auto"/>
          <w:sz w:val="28"/>
          <w:szCs w:val="28"/>
        </w:rPr>
      </w:pPr>
      <w:bookmarkStart w:id="191" w:name="_Toc30878"/>
      <w:bookmarkStart w:id="192" w:name="_Toc11262"/>
      <w:bookmarkStart w:id="193" w:name="_Toc16118"/>
      <w:bookmarkStart w:id="194" w:name="_Toc19445"/>
      <w:r>
        <w:rPr>
          <w:color w:val="auto"/>
          <w:sz w:val="28"/>
          <w:szCs w:val="28"/>
        </w:rPr>
        <w:t>非甲烷总烃参照执行《大气污染物综合排放标准详解》相关要求，在环境质量现状评价中以2.0mg/m</w:t>
      </w:r>
      <w:r>
        <w:rPr>
          <w:color w:val="auto"/>
          <w:sz w:val="28"/>
          <w:szCs w:val="28"/>
          <w:vertAlign w:val="superscript"/>
        </w:rPr>
        <w:t>3</w:t>
      </w:r>
      <w:r>
        <w:rPr>
          <w:color w:val="auto"/>
          <w:sz w:val="28"/>
          <w:szCs w:val="28"/>
        </w:rPr>
        <w:t>作为标准。</w:t>
      </w:r>
    </w:p>
    <w:p>
      <w:pPr>
        <w:pStyle w:val="6"/>
        <w:spacing w:before="156" w:after="156"/>
        <w:rPr>
          <w:color w:val="auto"/>
        </w:rPr>
      </w:pPr>
      <w:r>
        <w:rPr>
          <w:rFonts w:hint="eastAsia"/>
          <w:color w:val="auto"/>
        </w:rPr>
        <w:t>声</w:t>
      </w:r>
      <w:r>
        <w:rPr>
          <w:color w:val="auto"/>
        </w:rPr>
        <w:t>环境质量标准</w:t>
      </w:r>
      <w:bookmarkEnd w:id="191"/>
      <w:bookmarkEnd w:id="192"/>
      <w:bookmarkEnd w:id="193"/>
      <w:bookmarkEnd w:id="194"/>
      <w:r>
        <w:rPr>
          <w:color w:val="auto"/>
        </w:rPr>
        <w:t xml:space="preserve"> </w:t>
      </w:r>
    </w:p>
    <w:p>
      <w:pPr>
        <w:pStyle w:val="33"/>
        <w:rPr>
          <w:color w:val="auto"/>
        </w:rPr>
      </w:pPr>
      <w:bookmarkStart w:id="195" w:name="_Toc205420838"/>
      <w:r>
        <w:rPr>
          <w:color w:val="auto"/>
        </w:rPr>
        <w:t>本项目区域声环境执行《声环境质量标准》（GB3096-2008）2类标准，附近村屯（</w:t>
      </w:r>
      <w:r>
        <w:rPr>
          <w:rFonts w:hint="eastAsia"/>
          <w:color w:val="auto"/>
        </w:rPr>
        <w:t>声</w:t>
      </w:r>
      <w:r>
        <w:rPr>
          <w:color w:val="auto"/>
        </w:rPr>
        <w:t>环境敏感点）执行1类标准。具体标准限值见</w:t>
      </w:r>
      <w:r>
        <w:rPr>
          <w:rFonts w:hint="eastAsia"/>
          <w:color w:val="auto"/>
        </w:rPr>
        <w:t>下</w:t>
      </w:r>
      <w:r>
        <w:rPr>
          <w:color w:val="auto"/>
        </w:rPr>
        <w:t>表。</w:t>
      </w:r>
    </w:p>
    <w:p>
      <w:pPr>
        <w:pStyle w:val="7"/>
        <w:bidi w:val="0"/>
        <w:rPr>
          <w:color w:val="auto"/>
        </w:rPr>
      </w:pPr>
      <w:r>
        <w:rPr>
          <w:rFonts w:hint="eastAsia"/>
          <w:color w:val="auto"/>
        </w:rPr>
        <w:t>声环境质量标准    单位：dB（A）</w:t>
      </w:r>
    </w:p>
    <w:tbl>
      <w:tblPr>
        <w:tblStyle w:val="34"/>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72"/>
        <w:gridCol w:w="3857"/>
        <w:gridCol w:w="1975"/>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472"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类别</w:t>
            </w:r>
          </w:p>
        </w:tc>
        <w:tc>
          <w:tcPr>
            <w:tcW w:w="3857"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适用区</w:t>
            </w:r>
          </w:p>
        </w:tc>
        <w:tc>
          <w:tcPr>
            <w:tcW w:w="1975"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昼间</w:t>
            </w:r>
          </w:p>
        </w:tc>
        <w:tc>
          <w:tcPr>
            <w:tcW w:w="1996"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472"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1类</w:t>
            </w:r>
          </w:p>
        </w:tc>
        <w:tc>
          <w:tcPr>
            <w:tcW w:w="3857"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居住区</w:t>
            </w:r>
          </w:p>
        </w:tc>
        <w:tc>
          <w:tcPr>
            <w:tcW w:w="1975"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55dB(A)</w:t>
            </w:r>
          </w:p>
        </w:tc>
        <w:tc>
          <w:tcPr>
            <w:tcW w:w="1996"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45dB(A)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exact"/>
          <w:jc w:val="center"/>
        </w:trPr>
        <w:tc>
          <w:tcPr>
            <w:tcW w:w="1472" w:type="dxa"/>
            <w:vAlign w:val="center"/>
          </w:tcPr>
          <w:p>
            <w:pPr>
              <w:keepNext w:val="0"/>
              <w:keepLines w:val="0"/>
              <w:suppressLineNumbers w:val="0"/>
              <w:snapToGrid w:val="0"/>
              <w:spacing w:before="0" w:beforeAutospacing="0" w:after="0" w:afterAutospacing="0" w:line="240" w:lineRule="atLeast"/>
              <w:ind w:left="0" w:right="0" w:firstLine="4"/>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2类</w:t>
            </w:r>
          </w:p>
        </w:tc>
        <w:tc>
          <w:tcPr>
            <w:tcW w:w="3857" w:type="dxa"/>
            <w:vAlign w:val="center"/>
          </w:tcPr>
          <w:p>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混杂区</w:t>
            </w:r>
          </w:p>
        </w:tc>
        <w:tc>
          <w:tcPr>
            <w:tcW w:w="1975" w:type="dxa"/>
            <w:vAlign w:val="center"/>
          </w:tcPr>
          <w:p>
            <w:pPr>
              <w:keepNext w:val="0"/>
              <w:keepLines w:val="0"/>
              <w:suppressLineNumbers w:val="0"/>
              <w:snapToGrid w:val="0"/>
              <w:spacing w:before="0" w:beforeAutospacing="0" w:after="0" w:afterAutospacing="0" w:line="240" w:lineRule="atLeast"/>
              <w:ind w:left="0" w:right="0" w:firstLine="4"/>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60dB(A)</w:t>
            </w:r>
          </w:p>
        </w:tc>
        <w:tc>
          <w:tcPr>
            <w:tcW w:w="1996" w:type="dxa"/>
            <w:vAlign w:val="center"/>
          </w:tcPr>
          <w:p>
            <w:pPr>
              <w:keepNext w:val="0"/>
              <w:keepLines w:val="0"/>
              <w:suppressLineNumbers w:val="0"/>
              <w:snapToGrid w:val="0"/>
              <w:spacing w:before="0" w:beforeAutospacing="0" w:after="0" w:afterAutospacing="0" w:line="240" w:lineRule="atLeast"/>
              <w:ind w:left="0" w:right="0" w:firstLine="4"/>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50dB(A)</w:t>
            </w:r>
          </w:p>
        </w:tc>
      </w:tr>
    </w:tbl>
    <w:p>
      <w:pPr>
        <w:pStyle w:val="6"/>
        <w:spacing w:before="156" w:after="156"/>
        <w:rPr>
          <w:color w:val="auto"/>
        </w:rPr>
      </w:pPr>
      <w:bookmarkStart w:id="196" w:name="_Toc360"/>
      <w:bookmarkStart w:id="197" w:name="_Toc489"/>
      <w:bookmarkStart w:id="198" w:name="_Toc8298"/>
      <w:bookmarkStart w:id="199" w:name="_Toc661"/>
      <w:r>
        <w:rPr>
          <w:color w:val="auto"/>
        </w:rPr>
        <w:t>土壤环境质量标准</w:t>
      </w:r>
      <w:bookmarkEnd w:id="196"/>
      <w:bookmarkEnd w:id="197"/>
      <w:bookmarkEnd w:id="198"/>
      <w:bookmarkEnd w:id="199"/>
    </w:p>
    <w:p>
      <w:pPr>
        <w:pStyle w:val="33"/>
        <w:rPr>
          <w:color w:val="auto"/>
          <w:lang w:val="zh-CN"/>
        </w:rPr>
      </w:pPr>
      <w:r>
        <w:rPr>
          <w:color w:val="auto"/>
          <w:lang w:val="zh-CN"/>
        </w:rPr>
        <w:t>本项目农用地执行《土壤环境质量 农用地土壤污染风险管控标准（试行）》（GB15618-2018）表1农用地土壤污染风险筛选值（基本项目），石油烃（C</w:t>
      </w:r>
      <w:r>
        <w:rPr>
          <w:color w:val="auto"/>
          <w:vertAlign w:val="subscript"/>
          <w:lang w:val="zh-CN"/>
        </w:rPr>
        <w:t>10</w:t>
      </w:r>
      <w:r>
        <w:rPr>
          <w:color w:val="auto"/>
          <w:lang w:val="zh-CN"/>
        </w:rPr>
        <w:t>-C</w:t>
      </w:r>
      <w:r>
        <w:rPr>
          <w:color w:val="auto"/>
          <w:vertAlign w:val="subscript"/>
          <w:lang w:val="zh-CN"/>
        </w:rPr>
        <w:t>40</w:t>
      </w:r>
      <w:r>
        <w:rPr>
          <w:color w:val="auto"/>
          <w:lang w:val="zh-CN"/>
        </w:rPr>
        <w:t>）参照《土壤环境质量 建设用地土壤污染风险管控标准（试行）》（GB36600-2018）中第二类用地风险筛选值（4500mg/kg）；建设用地执行《土壤环境质量 建设用地土壤污染风险管控标准（试行）》（GB36600-2018）表1建设用地土壤污染风险筛选值（基本项目）中</w:t>
      </w:r>
      <w:r>
        <w:rPr>
          <w:color w:val="auto"/>
        </w:rPr>
        <w:t>第二类用地风险筛选值</w:t>
      </w:r>
      <w:r>
        <w:rPr>
          <w:color w:val="auto"/>
          <w:lang w:val="zh-CN"/>
        </w:rPr>
        <w:t>及表2建设用地土壤污染风险筛选值（其他项目）中</w:t>
      </w:r>
      <w:r>
        <w:rPr>
          <w:color w:val="auto"/>
        </w:rPr>
        <w:t>第二类用地风险筛选值</w:t>
      </w:r>
      <w:r>
        <w:rPr>
          <w:color w:val="auto"/>
          <w:lang w:val="zh-CN"/>
        </w:rPr>
        <w:t>，具体见表2.</w:t>
      </w:r>
      <w:r>
        <w:rPr>
          <w:rFonts w:hint="eastAsia"/>
          <w:color w:val="auto"/>
          <w:lang w:val="en-US" w:eastAsia="zh-CN"/>
        </w:rPr>
        <w:t>5</w:t>
      </w:r>
      <w:r>
        <w:rPr>
          <w:color w:val="auto"/>
          <w:lang w:val="zh-CN"/>
        </w:rPr>
        <w:t>-</w:t>
      </w:r>
      <w:r>
        <w:rPr>
          <w:rFonts w:hint="eastAsia"/>
          <w:color w:val="auto"/>
          <w:lang w:val="en-US" w:eastAsia="zh-CN"/>
        </w:rPr>
        <w:t>3</w:t>
      </w:r>
      <w:r>
        <w:rPr>
          <w:color w:val="auto"/>
          <w:lang w:val="zh-CN"/>
        </w:rPr>
        <w:t>和</w:t>
      </w:r>
      <w:r>
        <w:rPr>
          <w:color w:val="auto"/>
        </w:rPr>
        <w:t>2.</w:t>
      </w:r>
      <w:r>
        <w:rPr>
          <w:rFonts w:hint="eastAsia"/>
          <w:color w:val="auto"/>
          <w:lang w:val="en-US" w:eastAsia="zh-CN"/>
        </w:rPr>
        <w:t>5</w:t>
      </w:r>
      <w:r>
        <w:rPr>
          <w:color w:val="auto"/>
        </w:rPr>
        <w:t>-</w:t>
      </w:r>
      <w:r>
        <w:rPr>
          <w:rFonts w:hint="eastAsia"/>
          <w:color w:val="auto"/>
          <w:lang w:val="en-US" w:eastAsia="zh-CN"/>
        </w:rPr>
        <w:t>4</w:t>
      </w:r>
      <w:r>
        <w:rPr>
          <w:color w:val="auto"/>
        </w:rPr>
        <w:t>。</w:t>
      </w:r>
    </w:p>
    <w:p>
      <w:pPr>
        <w:pStyle w:val="7"/>
        <w:bidi w:val="0"/>
        <w:rPr>
          <w:color w:val="auto"/>
        </w:rPr>
      </w:pPr>
      <w:bookmarkStart w:id="200" w:name="_Toc15314"/>
      <w:bookmarkStart w:id="201" w:name="_Toc1901"/>
      <w:bookmarkStart w:id="202" w:name="_Toc8658"/>
      <w:bookmarkStart w:id="203" w:name="_Toc17282"/>
      <w:bookmarkStart w:id="204" w:name="_Toc31335"/>
      <w:bookmarkStart w:id="205" w:name="_Toc20599"/>
      <w:bookmarkStart w:id="206" w:name="_Toc9150"/>
      <w:r>
        <w:rPr>
          <w:rFonts w:hint="eastAsia"/>
          <w:color w:val="auto"/>
        </w:rPr>
        <w:t xml:space="preserve">建设用地土壤污染风险筛选值   </w:t>
      </w:r>
    </w:p>
    <w:tbl>
      <w:tblPr>
        <w:tblStyle w:val="34"/>
        <w:tblW w:w="9082" w:type="dxa"/>
        <w:jc w:val="center"/>
        <w:tblLayout w:type="fixed"/>
        <w:tblCellMar>
          <w:top w:w="0" w:type="dxa"/>
          <w:left w:w="0" w:type="dxa"/>
          <w:bottom w:w="0" w:type="dxa"/>
          <w:right w:w="0" w:type="dxa"/>
        </w:tblCellMar>
      </w:tblPr>
      <w:tblGrid>
        <w:gridCol w:w="1612"/>
        <w:gridCol w:w="4060"/>
        <w:gridCol w:w="3410"/>
      </w:tblGrid>
      <w:tr>
        <w:tblPrEx>
          <w:tblCellMar>
            <w:top w:w="0" w:type="dxa"/>
            <w:left w:w="0" w:type="dxa"/>
            <w:bottom w:w="0" w:type="dxa"/>
            <w:right w:w="0" w:type="dxa"/>
          </w:tblCellMar>
        </w:tblPrEx>
        <w:trPr>
          <w:trHeight w:val="340" w:hRule="atLeast"/>
          <w:tblHeader/>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序号</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污染物项目</w:t>
            </w:r>
          </w:p>
        </w:tc>
        <w:tc>
          <w:tcPr>
            <w:tcW w:w="3410" w:type="dxa"/>
            <w:tcBorders>
              <w:top w:val="single" w:color="000000" w:sz="4" w:space="0"/>
              <w:left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筛选值（第二类用地）</w:t>
            </w:r>
          </w:p>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单位：mg/kg</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rPr>
              <w:t>60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镉</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铬（六价）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5.7</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铜</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18000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铅</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800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汞</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38</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镍</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900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四氯化碳</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2.8</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9</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氯仿</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0.9</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10</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氯甲烷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37</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11</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1,1-二氯乙烷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9</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12</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1,2-二氯乙烷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13</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1,1-二氯乙烯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66</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14</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顺-1,2-二氯乙烯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596</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15</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反-1,2-二氯乙烯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54</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16</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二氯甲烷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616</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17</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1,2-二氯丙烷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18</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1,1,1,2-四氯乙烷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19</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1,1,2,2-四氯乙烷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6.8</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20</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四氯乙烯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53</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21</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1,1,1-三氯乙烷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840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22</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1,1,2-三氯乙烷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2.8</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23</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三氯乙烯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2.8</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24</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1,2,3-三氯丙烷</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0.5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25</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氯乙烯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0.43</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26</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2"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27</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氯苯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270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28</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1,2-二氯苯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560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29</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1,4-二氯苯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30</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乙苯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28</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31</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苯乙烯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1290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32</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2"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甲苯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1200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lang w:eastAsia="zh-CN"/>
              </w:rPr>
            </w:pPr>
            <w:r>
              <w:rPr>
                <w:rFonts w:hint="default" w:ascii="Times New Roman" w:hAnsi="Times New Roman" w:eastAsia="宋体"/>
                <w:color w:val="auto"/>
                <w:sz w:val="21"/>
                <w:szCs w:val="21"/>
                <w:lang w:eastAsia="zh-CN"/>
              </w:rPr>
              <w:t>33</w:t>
            </w:r>
          </w:p>
          <w:p>
            <w:pPr>
              <w:pStyle w:val="78"/>
              <w:keepNext w:val="0"/>
              <w:keepLines w:val="0"/>
              <w:suppressLineNumbers w:val="0"/>
              <w:kinsoku w:val="0"/>
              <w:overflowPunct w:val="0"/>
              <w:spacing w:before="51" w:beforeAutospacing="0" w:after="0" w:afterAutospacing="0" w:line="240" w:lineRule="exact"/>
              <w:ind w:left="309" w:right="309"/>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33</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103"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间二甲苯+对二甲苯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lang w:eastAsia="zh-CN"/>
              </w:rPr>
              <w:t>570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34</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邻二甲苯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640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35</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硝基苯</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76</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36</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苯胺</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260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37</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2"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2-氯酚</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2256</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38</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苯并[a]蒽</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39</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苯并[a]芘</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40</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苯并[b]荧蒽</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41</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苯并[k]荧蒽</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151</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42</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䓛</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1293</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43</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2"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二苯并[a,h]蒽</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44</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1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茚并[1,2,3-cd]芘</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15</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45</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萘</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70</w:t>
            </w:r>
          </w:p>
        </w:tc>
      </w:tr>
      <w:tr>
        <w:tblPrEx>
          <w:tblCellMar>
            <w:top w:w="0" w:type="dxa"/>
            <w:left w:w="0" w:type="dxa"/>
            <w:bottom w:w="0" w:type="dxa"/>
            <w:right w:w="0" w:type="dxa"/>
          </w:tblCellMar>
        </w:tblPrEx>
        <w:trPr>
          <w:trHeight w:val="340" w:hRule="atLeast"/>
          <w:jc w:val="center"/>
        </w:trPr>
        <w:tc>
          <w:tcPr>
            <w:tcW w:w="1612"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46</w:t>
            </w:r>
          </w:p>
        </w:tc>
        <w:tc>
          <w:tcPr>
            <w:tcW w:w="406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石油烃（C</w:t>
            </w:r>
            <w:r>
              <w:rPr>
                <w:rFonts w:hint="default" w:ascii="Times New Roman" w:hAnsi="Times New Roman" w:eastAsia="宋体"/>
                <w:color w:val="auto"/>
                <w:sz w:val="21"/>
                <w:szCs w:val="21"/>
                <w:vertAlign w:val="subscript"/>
              </w:rPr>
              <w:t>10</w:t>
            </w:r>
            <w:r>
              <w:rPr>
                <w:rFonts w:hint="default" w:ascii="Times New Roman" w:hAnsi="Times New Roman" w:eastAsia="宋体"/>
                <w:color w:val="auto"/>
                <w:sz w:val="21"/>
                <w:szCs w:val="21"/>
              </w:rPr>
              <w:t>-C</w:t>
            </w:r>
            <w:r>
              <w:rPr>
                <w:rFonts w:hint="default" w:ascii="Times New Roman" w:hAnsi="Times New Roman" w:eastAsia="宋体"/>
                <w:color w:val="auto"/>
                <w:sz w:val="21"/>
                <w:szCs w:val="21"/>
                <w:vertAlign w:val="subscript"/>
              </w:rPr>
              <w:t>40</w:t>
            </w:r>
            <w:r>
              <w:rPr>
                <w:rFonts w:hint="default" w:ascii="Times New Roman" w:hAnsi="Times New Roman" w:eastAsia="宋体"/>
                <w:color w:val="auto"/>
                <w:sz w:val="21"/>
                <w:szCs w:val="21"/>
              </w:rPr>
              <w:t>）</w:t>
            </w:r>
          </w:p>
        </w:tc>
        <w:tc>
          <w:tcPr>
            <w:tcW w:w="3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51" w:beforeAutospacing="0" w:after="0" w:afterAutospacing="0" w:line="240" w:lineRule="exact"/>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4500</w:t>
            </w:r>
          </w:p>
        </w:tc>
      </w:tr>
    </w:tbl>
    <w:p>
      <w:pPr>
        <w:pStyle w:val="7"/>
        <w:bidi w:val="0"/>
        <w:rPr>
          <w:color w:val="auto"/>
        </w:rPr>
      </w:pPr>
      <w:r>
        <w:rPr>
          <w:rFonts w:hint="eastAsia"/>
          <w:color w:val="auto"/>
        </w:rPr>
        <w:t>土壤环境质量  农用地土壤污染风险管控标准（试行）》mg/kg</w:t>
      </w:r>
    </w:p>
    <w:tbl>
      <w:tblPr>
        <w:tblStyle w:val="34"/>
        <w:tblW w:w="9081" w:type="dxa"/>
        <w:tblInd w:w="-5" w:type="dxa"/>
        <w:tblLayout w:type="fixed"/>
        <w:tblCellMar>
          <w:top w:w="0" w:type="dxa"/>
          <w:left w:w="0" w:type="dxa"/>
          <w:bottom w:w="0" w:type="dxa"/>
          <w:right w:w="0" w:type="dxa"/>
        </w:tblCellMar>
      </w:tblPr>
      <w:tblGrid>
        <w:gridCol w:w="1619"/>
        <w:gridCol w:w="3374"/>
        <w:gridCol w:w="4088"/>
      </w:tblGrid>
      <w:tr>
        <w:tblPrEx>
          <w:tblCellMar>
            <w:top w:w="0" w:type="dxa"/>
            <w:left w:w="0" w:type="dxa"/>
            <w:bottom w:w="0" w:type="dxa"/>
            <w:right w:w="0" w:type="dxa"/>
          </w:tblCellMar>
        </w:tblPrEx>
        <w:trPr>
          <w:trHeight w:val="369" w:hRule="atLeast"/>
        </w:trPr>
        <w:tc>
          <w:tcPr>
            <w:tcW w:w="161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序号</w:t>
            </w:r>
          </w:p>
        </w:tc>
        <w:tc>
          <w:tcPr>
            <w:tcW w:w="3374" w:type="dxa"/>
            <w:vMerge w:val="restart"/>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污染物项目</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风险筛选值</w:t>
            </w:r>
          </w:p>
        </w:tc>
      </w:tr>
      <w:tr>
        <w:tblPrEx>
          <w:tblCellMar>
            <w:top w:w="0" w:type="dxa"/>
            <w:left w:w="0" w:type="dxa"/>
            <w:bottom w:w="0" w:type="dxa"/>
            <w:right w:w="0" w:type="dxa"/>
          </w:tblCellMar>
        </w:tblPrEx>
        <w:trPr>
          <w:trHeight w:val="369" w:hRule="atLeast"/>
        </w:trPr>
        <w:tc>
          <w:tcPr>
            <w:tcW w:w="1619"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kern w:val="24"/>
                <w:szCs w:val="21"/>
              </w:rPr>
            </w:pPr>
          </w:p>
        </w:tc>
        <w:tc>
          <w:tcPr>
            <w:tcW w:w="3374" w:type="dxa"/>
            <w:vMerge w:val="continue"/>
            <w:tcBorders>
              <w:top w:val="single" w:color="000000" w:sz="4" w:space="0"/>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300" w:lineRule="exact"/>
              <w:ind w:left="0" w:right="0"/>
              <w:jc w:val="left"/>
              <w:rPr>
                <w:rFonts w:hint="default" w:ascii="Times New Roman" w:hAnsi="Times New Roman" w:cs="Times New Roman"/>
                <w:color w:val="auto"/>
                <w:kern w:val="24"/>
                <w:szCs w:val="21"/>
              </w:rPr>
            </w:pP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pH&gt;7.5</w:t>
            </w:r>
          </w:p>
        </w:tc>
      </w:tr>
      <w:tr>
        <w:tblPrEx>
          <w:tblCellMar>
            <w:top w:w="0" w:type="dxa"/>
            <w:left w:w="0" w:type="dxa"/>
            <w:bottom w:w="0" w:type="dxa"/>
            <w:right w:w="0" w:type="dxa"/>
          </w:tblCellMar>
        </w:tblPrEx>
        <w:trPr>
          <w:trHeight w:val="369" w:hRule="atLeast"/>
        </w:trPr>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w:t>
            </w:r>
          </w:p>
        </w:tc>
        <w:tc>
          <w:tcPr>
            <w:tcW w:w="3374"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镉</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0.6</w:t>
            </w:r>
          </w:p>
        </w:tc>
      </w:tr>
      <w:tr>
        <w:tblPrEx>
          <w:tblCellMar>
            <w:top w:w="0" w:type="dxa"/>
            <w:left w:w="0" w:type="dxa"/>
            <w:bottom w:w="0" w:type="dxa"/>
            <w:right w:w="0" w:type="dxa"/>
          </w:tblCellMar>
        </w:tblPrEx>
        <w:trPr>
          <w:trHeight w:val="369" w:hRule="atLeast"/>
        </w:trPr>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2</w:t>
            </w:r>
          </w:p>
        </w:tc>
        <w:tc>
          <w:tcPr>
            <w:tcW w:w="3374"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汞</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3.4</w:t>
            </w:r>
          </w:p>
        </w:tc>
      </w:tr>
      <w:tr>
        <w:tblPrEx>
          <w:tblCellMar>
            <w:top w:w="0" w:type="dxa"/>
            <w:left w:w="0" w:type="dxa"/>
            <w:bottom w:w="0" w:type="dxa"/>
            <w:right w:w="0" w:type="dxa"/>
          </w:tblCellMar>
        </w:tblPrEx>
        <w:trPr>
          <w:trHeight w:val="369" w:hRule="atLeast"/>
        </w:trPr>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3</w:t>
            </w:r>
          </w:p>
        </w:tc>
        <w:tc>
          <w:tcPr>
            <w:tcW w:w="3374"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砷</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25</w:t>
            </w:r>
          </w:p>
        </w:tc>
      </w:tr>
      <w:tr>
        <w:tblPrEx>
          <w:tblCellMar>
            <w:top w:w="0" w:type="dxa"/>
            <w:left w:w="0" w:type="dxa"/>
            <w:bottom w:w="0" w:type="dxa"/>
            <w:right w:w="0" w:type="dxa"/>
          </w:tblCellMar>
        </w:tblPrEx>
        <w:trPr>
          <w:trHeight w:val="369" w:hRule="atLeast"/>
        </w:trPr>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4</w:t>
            </w:r>
          </w:p>
        </w:tc>
        <w:tc>
          <w:tcPr>
            <w:tcW w:w="3374"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铅</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170</w:t>
            </w:r>
          </w:p>
        </w:tc>
      </w:tr>
      <w:tr>
        <w:tblPrEx>
          <w:tblCellMar>
            <w:top w:w="0" w:type="dxa"/>
            <w:left w:w="0" w:type="dxa"/>
            <w:bottom w:w="0" w:type="dxa"/>
            <w:right w:w="0" w:type="dxa"/>
          </w:tblCellMar>
        </w:tblPrEx>
        <w:trPr>
          <w:trHeight w:val="369" w:hRule="atLeast"/>
        </w:trPr>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5</w:t>
            </w:r>
          </w:p>
        </w:tc>
        <w:tc>
          <w:tcPr>
            <w:tcW w:w="3374"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铬</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250</w:t>
            </w:r>
          </w:p>
        </w:tc>
      </w:tr>
      <w:tr>
        <w:tblPrEx>
          <w:tblCellMar>
            <w:top w:w="0" w:type="dxa"/>
            <w:left w:w="0" w:type="dxa"/>
            <w:bottom w:w="0" w:type="dxa"/>
            <w:right w:w="0" w:type="dxa"/>
          </w:tblCellMar>
        </w:tblPrEx>
        <w:trPr>
          <w:trHeight w:val="369" w:hRule="atLeast"/>
        </w:trPr>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6</w:t>
            </w:r>
          </w:p>
        </w:tc>
        <w:tc>
          <w:tcPr>
            <w:tcW w:w="3374"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铜</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100</w:t>
            </w:r>
          </w:p>
        </w:tc>
      </w:tr>
      <w:tr>
        <w:tblPrEx>
          <w:tblCellMar>
            <w:top w:w="0" w:type="dxa"/>
            <w:left w:w="0" w:type="dxa"/>
            <w:bottom w:w="0" w:type="dxa"/>
            <w:right w:w="0" w:type="dxa"/>
          </w:tblCellMar>
        </w:tblPrEx>
        <w:trPr>
          <w:trHeight w:val="369" w:hRule="atLeast"/>
        </w:trPr>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7</w:t>
            </w:r>
          </w:p>
        </w:tc>
        <w:tc>
          <w:tcPr>
            <w:tcW w:w="3374"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镍</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190</w:t>
            </w:r>
          </w:p>
        </w:tc>
      </w:tr>
      <w:tr>
        <w:tblPrEx>
          <w:tblCellMar>
            <w:top w:w="0" w:type="dxa"/>
            <w:left w:w="0" w:type="dxa"/>
            <w:bottom w:w="0" w:type="dxa"/>
            <w:right w:w="0" w:type="dxa"/>
          </w:tblCellMar>
        </w:tblPrEx>
        <w:trPr>
          <w:trHeight w:val="369" w:hRule="atLeast"/>
        </w:trPr>
        <w:tc>
          <w:tcPr>
            <w:tcW w:w="1619"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8</w:t>
            </w:r>
          </w:p>
        </w:tc>
        <w:tc>
          <w:tcPr>
            <w:tcW w:w="3374"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锌</w:t>
            </w:r>
          </w:p>
        </w:tc>
        <w:tc>
          <w:tcPr>
            <w:tcW w:w="4088" w:type="dxa"/>
            <w:tcBorders>
              <w:top w:val="single" w:color="000000" w:sz="4" w:space="0"/>
              <w:left w:val="nil"/>
              <w:bottom w:val="single" w:color="000000" w:sz="4" w:space="0"/>
              <w:right w:val="single" w:color="000000" w:sz="4" w:space="0"/>
            </w:tcBorders>
            <w:vAlign w:val="center"/>
          </w:tcPr>
          <w:p>
            <w:pPr>
              <w:keepNext w:val="0"/>
              <w:keepLines w:val="0"/>
              <w:suppressLineNumbers w:val="0"/>
              <w:spacing w:before="0" w:beforeAutospacing="0" w:after="0" w:afterAutospacing="0" w:line="300" w:lineRule="exact"/>
              <w:ind w:left="0" w:right="0"/>
              <w:jc w:val="center"/>
              <w:rPr>
                <w:rFonts w:hint="default" w:ascii="Times New Roman" w:hAnsi="Times New Roman" w:cs="Times New Roman"/>
                <w:color w:val="auto"/>
                <w:kern w:val="24"/>
                <w:szCs w:val="21"/>
              </w:rPr>
            </w:pPr>
            <w:r>
              <w:rPr>
                <w:rFonts w:hint="default" w:ascii="Times New Roman" w:hAnsi="Times New Roman" w:cs="Times New Roman"/>
                <w:color w:val="auto"/>
                <w:kern w:val="24"/>
                <w:szCs w:val="21"/>
              </w:rPr>
              <w:t>300</w:t>
            </w:r>
          </w:p>
        </w:tc>
      </w:tr>
    </w:tbl>
    <w:p>
      <w:pPr>
        <w:pStyle w:val="6"/>
        <w:spacing w:before="156" w:after="156"/>
        <w:rPr>
          <w:color w:val="auto"/>
        </w:rPr>
      </w:pPr>
      <w:bookmarkStart w:id="207" w:name="_Toc5335"/>
      <w:bookmarkStart w:id="208" w:name="_Toc14528"/>
      <w:bookmarkStart w:id="209" w:name="_Toc21194"/>
      <w:bookmarkStart w:id="210" w:name="_Toc30241"/>
      <w:r>
        <w:rPr>
          <w:color w:val="auto"/>
        </w:rPr>
        <w:t>地下水环境质量标准</w:t>
      </w:r>
      <w:bookmarkEnd w:id="207"/>
      <w:bookmarkEnd w:id="208"/>
      <w:bookmarkEnd w:id="209"/>
      <w:bookmarkEnd w:id="210"/>
    </w:p>
    <w:p>
      <w:pPr>
        <w:pStyle w:val="33"/>
        <w:rPr>
          <w:color w:val="auto"/>
        </w:rPr>
      </w:pPr>
      <w:r>
        <w:rPr>
          <w:color w:val="auto"/>
        </w:rPr>
        <w:t>根据调查，评价区域地下水使用功能为农业灌溉用水及村民饮用水，地下水环境执行《地下水质量标准》（GB/T14848-2017）III类，具体见</w:t>
      </w:r>
      <w:r>
        <w:rPr>
          <w:rFonts w:hint="eastAsia"/>
          <w:color w:val="auto"/>
        </w:rPr>
        <w:t>下</w:t>
      </w:r>
      <w:r>
        <w:rPr>
          <w:color w:val="auto"/>
        </w:rPr>
        <w:t>表</w:t>
      </w:r>
      <w:r>
        <w:rPr>
          <w:rFonts w:hint="eastAsia"/>
          <w:color w:val="auto"/>
          <w:lang w:val="en-US" w:eastAsia="zh-CN"/>
        </w:rPr>
        <w:t>2.5-5</w:t>
      </w:r>
      <w:r>
        <w:rPr>
          <w:color w:val="auto"/>
        </w:rPr>
        <w:t>。</w:t>
      </w:r>
    </w:p>
    <w:p>
      <w:pPr>
        <w:pStyle w:val="7"/>
        <w:bidi w:val="0"/>
        <w:rPr>
          <w:color w:val="auto"/>
        </w:rPr>
      </w:pPr>
      <w:r>
        <w:rPr>
          <w:rFonts w:hint="eastAsia"/>
          <w:color w:val="auto"/>
        </w:rPr>
        <w:t xml:space="preserve">地下水质量标准 </w:t>
      </w:r>
    </w:p>
    <w:tbl>
      <w:tblPr>
        <w:tblStyle w:val="34"/>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920"/>
        <w:gridCol w:w="962"/>
        <w:gridCol w:w="1131"/>
        <w:gridCol w:w="656"/>
        <w:gridCol w:w="1828"/>
        <w:gridCol w:w="1057"/>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序号</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项目</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单位</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标准值</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序号</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项目</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单位</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钾</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16</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氰化物</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钠</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≤200</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17</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氟化物</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钙</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18</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硝酸盐(以N计)</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镁</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19</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亚硝酸盐(以N计)</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5</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CO</w:t>
            </w:r>
            <w:r>
              <w:rPr>
                <w:rFonts w:hint="default"/>
                <w:color w:val="auto"/>
                <w:vertAlign w:val="subscript"/>
              </w:rPr>
              <w:t>3</w:t>
            </w:r>
            <w:r>
              <w:rPr>
                <w:rFonts w:hint="default"/>
                <w:color w:val="auto"/>
                <w:vertAlign w:val="superscript"/>
              </w:rPr>
              <w:t>2-</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20</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铬（六价）</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6</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HCO</w:t>
            </w:r>
            <w:r>
              <w:rPr>
                <w:rFonts w:hint="default"/>
                <w:color w:val="auto"/>
                <w:vertAlign w:val="superscript"/>
              </w:rPr>
              <w:t>3-</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21</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砷</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7</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硫酸盐</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≤250</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22</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铅</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8</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氯化物</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≤250</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23</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镉</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9</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pH</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6.5—8.5</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24</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铁</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10</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总硬度</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≤450</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25</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汞</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11</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溶解性总固体</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≤1000</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26</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锰</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12</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耗氧量（COD</w:t>
            </w:r>
            <w:r>
              <w:rPr>
                <w:rFonts w:hint="default"/>
                <w:color w:val="auto"/>
                <w:vertAlign w:val="subscript"/>
              </w:rPr>
              <w:t>Mn</w:t>
            </w:r>
            <w:r>
              <w:rPr>
                <w:rFonts w:hint="default"/>
                <w:color w:val="auto"/>
              </w:rPr>
              <w:t>法，以O</w:t>
            </w:r>
            <w:r>
              <w:rPr>
                <w:rFonts w:hint="default"/>
                <w:color w:val="auto"/>
                <w:vertAlign w:val="subscript"/>
              </w:rPr>
              <w:t>2</w:t>
            </w:r>
            <w:r>
              <w:rPr>
                <w:rFonts w:hint="default"/>
                <w:color w:val="auto"/>
              </w:rPr>
              <w:t>计）</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≤3.0</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27</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总大肠菌群</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CFU/</w:t>
            </w:r>
          </w:p>
          <w:p>
            <w:pPr>
              <w:keepNext w:val="0"/>
              <w:keepLines w:val="0"/>
              <w:suppressLineNumbers w:val="0"/>
              <w:spacing w:before="0" w:beforeAutospacing="0" w:after="0" w:afterAutospacing="0"/>
              <w:ind w:left="0" w:right="0"/>
              <w:jc w:val="center"/>
              <w:rPr>
                <w:rFonts w:hint="default"/>
                <w:color w:val="auto"/>
              </w:rPr>
            </w:pPr>
            <w:r>
              <w:rPr>
                <w:rFonts w:hint="default"/>
                <w:color w:val="auto"/>
              </w:rPr>
              <w:t>100mL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13</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氨氮</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≤0.5</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28</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菌落总数</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CFU/mL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14</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石油类</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≤0.05</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default"/>
                <w:color w:val="auto"/>
              </w:rPr>
              <w:t>2</w:t>
            </w:r>
            <w:r>
              <w:rPr>
                <w:rFonts w:hint="eastAsia"/>
                <w:color w:val="auto"/>
                <w:lang w:val="en-US" w:eastAsia="zh-CN"/>
              </w:rPr>
              <w:t>9</w:t>
            </w: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eastAsia="宋体"/>
                <w:color w:val="auto"/>
                <w:szCs w:val="21"/>
              </w:rPr>
              <w:t>硫化物</w:t>
            </w: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eastAsia="宋体"/>
                <w:snapToGrid w:val="0"/>
                <w:color w:val="auto"/>
                <w:kern w:val="24"/>
                <w:szCs w:val="21"/>
              </w:rPr>
              <w:t>mg/L</w:t>
            </w: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eastAsia="宋体"/>
                <w:color w:val="auto"/>
                <w:kern w:val="24"/>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15</w:t>
            </w:r>
          </w:p>
        </w:tc>
        <w:tc>
          <w:tcPr>
            <w:tcW w:w="192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挥发性酚类（以苯酚计）</w:t>
            </w:r>
          </w:p>
        </w:tc>
        <w:tc>
          <w:tcPr>
            <w:tcW w:w="96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mg/L</w:t>
            </w:r>
          </w:p>
        </w:tc>
        <w:tc>
          <w:tcPr>
            <w:tcW w:w="113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≤0.002</w:t>
            </w:r>
          </w:p>
        </w:tc>
        <w:tc>
          <w:tcPr>
            <w:tcW w:w="65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p>
        </w:tc>
        <w:tc>
          <w:tcPr>
            <w:tcW w:w="182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p>
        </w:tc>
        <w:tc>
          <w:tcPr>
            <w:tcW w:w="1057"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p>
        </w:tc>
        <w:tc>
          <w:tcPr>
            <w:tcW w:w="929"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p>
        </w:tc>
      </w:tr>
    </w:tbl>
    <w:p>
      <w:pPr>
        <w:adjustRightInd w:val="0"/>
        <w:snapToGrid w:val="0"/>
        <w:rPr>
          <w:color w:val="auto"/>
          <w:spacing w:val="-4"/>
        </w:rPr>
      </w:pPr>
      <w:r>
        <w:rPr>
          <w:color w:val="auto"/>
        </w:rPr>
        <w:t>注：本项目石油类参照《地表水环境质量标准》（GB3838-2002）III类（为0.05mg/L）标准执行。</w:t>
      </w:r>
    </w:p>
    <w:p>
      <w:pPr>
        <w:pStyle w:val="5"/>
        <w:spacing w:before="156" w:after="156"/>
        <w:rPr>
          <w:color w:val="auto"/>
        </w:rPr>
      </w:pPr>
      <w:bookmarkStart w:id="211" w:name="_Toc49174959"/>
      <w:bookmarkStart w:id="212" w:name="_Toc49174784"/>
      <w:r>
        <w:rPr>
          <w:color w:val="auto"/>
        </w:rPr>
        <w:t>污染物排放标准</w:t>
      </w:r>
      <w:bookmarkEnd w:id="195"/>
      <w:bookmarkEnd w:id="200"/>
      <w:bookmarkEnd w:id="201"/>
      <w:bookmarkEnd w:id="202"/>
      <w:bookmarkEnd w:id="203"/>
      <w:bookmarkEnd w:id="204"/>
      <w:bookmarkEnd w:id="205"/>
      <w:bookmarkEnd w:id="206"/>
      <w:bookmarkEnd w:id="211"/>
      <w:bookmarkEnd w:id="212"/>
    </w:p>
    <w:p>
      <w:pPr>
        <w:pStyle w:val="6"/>
        <w:spacing w:before="156" w:after="156"/>
        <w:rPr>
          <w:color w:val="auto"/>
        </w:rPr>
      </w:pPr>
      <w:bookmarkStart w:id="213" w:name="_Toc13456"/>
      <w:bookmarkStart w:id="214" w:name="_Toc3801"/>
      <w:bookmarkStart w:id="215" w:name="_Toc22723"/>
      <w:bookmarkStart w:id="216" w:name="_Toc9799"/>
      <w:r>
        <w:rPr>
          <w:color w:val="auto"/>
        </w:rPr>
        <w:t>废气污染物排放标准</w:t>
      </w:r>
      <w:bookmarkEnd w:id="213"/>
      <w:bookmarkEnd w:id="214"/>
      <w:bookmarkEnd w:id="215"/>
      <w:bookmarkEnd w:id="216"/>
    </w:p>
    <w:p>
      <w:pPr>
        <w:pStyle w:val="33"/>
        <w:rPr>
          <w:color w:val="auto"/>
        </w:rPr>
      </w:pPr>
      <w:r>
        <w:rPr>
          <w:rFonts w:hint="eastAsia"/>
          <w:color w:val="auto"/>
        </w:rPr>
        <w:t>（</w:t>
      </w:r>
      <w:r>
        <w:rPr>
          <w:color w:val="auto"/>
        </w:rPr>
        <w:t>1）</w:t>
      </w:r>
      <w:r>
        <w:rPr>
          <w:rFonts w:hint="eastAsia"/>
          <w:color w:val="auto"/>
          <w:lang w:eastAsia="zh-CN"/>
        </w:rPr>
        <w:t>钻井施工期产生的</w:t>
      </w:r>
      <w:r>
        <w:rPr>
          <w:color w:val="auto"/>
          <w:sz w:val="28"/>
          <w:szCs w:val="28"/>
        </w:rPr>
        <w:t>扬尘</w:t>
      </w:r>
      <w:r>
        <w:rPr>
          <w:rFonts w:hint="eastAsia"/>
          <w:color w:val="auto"/>
          <w:sz w:val="28"/>
          <w:szCs w:val="28"/>
          <w:lang w:eastAsia="zh-CN"/>
        </w:rPr>
        <w:t>执行</w:t>
      </w:r>
      <w:r>
        <w:rPr>
          <w:color w:val="auto"/>
        </w:rPr>
        <w:t>《大气污染物综合排放标准》（GB16297-1996）中表2无组织排放监控浓度限值，具体指标见</w:t>
      </w:r>
      <w:r>
        <w:rPr>
          <w:rFonts w:hint="eastAsia"/>
          <w:color w:val="auto"/>
        </w:rPr>
        <w:t>下</w:t>
      </w:r>
      <w:r>
        <w:rPr>
          <w:color w:val="auto"/>
        </w:rPr>
        <w:t>表</w:t>
      </w:r>
      <w:r>
        <w:rPr>
          <w:rFonts w:hint="eastAsia"/>
          <w:color w:val="auto"/>
          <w:lang w:val="en-US" w:eastAsia="zh-CN"/>
        </w:rPr>
        <w:t>2.5-6</w:t>
      </w:r>
      <w:r>
        <w:rPr>
          <w:color w:val="auto"/>
        </w:rPr>
        <w:t>。</w:t>
      </w:r>
    </w:p>
    <w:p>
      <w:pPr>
        <w:pStyle w:val="7"/>
        <w:bidi w:val="0"/>
        <w:rPr>
          <w:color w:val="auto"/>
        </w:rPr>
      </w:pPr>
      <w:r>
        <w:rPr>
          <w:rFonts w:hint="eastAsia"/>
          <w:color w:val="auto"/>
        </w:rPr>
        <w:t>大气污染物综合排放标准</w:t>
      </w:r>
    </w:p>
    <w:tbl>
      <w:tblPr>
        <w:tblStyle w:val="34"/>
        <w:tblW w:w="9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4170"/>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污染物</w:t>
            </w:r>
          </w:p>
        </w:tc>
        <w:tc>
          <w:tcPr>
            <w:tcW w:w="417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无组织排放监控浓度</w:t>
            </w:r>
          </w:p>
        </w:tc>
        <w:tc>
          <w:tcPr>
            <w:tcW w:w="217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浓度(mg/m</w:t>
            </w:r>
            <w:r>
              <w:rPr>
                <w:rFonts w:hint="default"/>
                <w:color w:val="auto"/>
                <w:vertAlign w:val="superscript"/>
              </w:rPr>
              <w:t>3</w:t>
            </w:r>
            <w:r>
              <w:rPr>
                <w:rFonts w:hint="default"/>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6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颗粒物</w:t>
            </w:r>
          </w:p>
        </w:tc>
        <w:tc>
          <w:tcPr>
            <w:tcW w:w="417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周界外浓度最高点</w:t>
            </w:r>
          </w:p>
        </w:tc>
        <w:tc>
          <w:tcPr>
            <w:tcW w:w="217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1.0</w:t>
            </w:r>
          </w:p>
        </w:tc>
      </w:tr>
    </w:tbl>
    <w:p>
      <w:pPr>
        <w:pStyle w:val="33"/>
        <w:rPr>
          <w:rFonts w:hint="eastAsia" w:eastAsia="宋体"/>
          <w:color w:val="auto"/>
          <w:lang w:eastAsia="zh-CN"/>
        </w:rPr>
      </w:pPr>
      <w:r>
        <w:rPr>
          <w:rFonts w:hint="eastAsia"/>
          <w:color w:val="auto"/>
        </w:rPr>
        <w:t>（2）</w:t>
      </w:r>
      <w:r>
        <w:rPr>
          <w:rFonts w:hint="eastAsia"/>
          <w:color w:val="auto"/>
          <w:lang w:eastAsia="zh-CN"/>
        </w:rPr>
        <w:t>钻</w:t>
      </w:r>
      <w:r>
        <w:rPr>
          <w:color w:val="auto"/>
        </w:rPr>
        <w:t>井期柴油发电机燃烧废气排放标准执</w:t>
      </w:r>
      <w:r>
        <w:rPr>
          <w:rFonts w:hint="eastAsia"/>
          <w:color w:val="auto"/>
        </w:rPr>
        <w:t>《非道路移动机械用柴油机排气污染物排放限值及测量方法》（中国第三、四阶段）（GB20891-2014及其修改单）中第三阶段标准限值要求，见表2.</w:t>
      </w:r>
      <w:r>
        <w:rPr>
          <w:rFonts w:hint="eastAsia"/>
          <w:color w:val="auto"/>
          <w:lang w:val="en-US" w:eastAsia="zh-CN"/>
        </w:rPr>
        <w:t>5</w:t>
      </w:r>
      <w:r>
        <w:rPr>
          <w:rFonts w:hint="eastAsia"/>
          <w:color w:val="auto"/>
        </w:rPr>
        <w:t>-7</w:t>
      </w:r>
      <w:r>
        <w:rPr>
          <w:rFonts w:hint="eastAsia"/>
          <w:color w:val="auto"/>
          <w:lang w:eastAsia="zh-CN"/>
        </w:rPr>
        <w:t>。</w:t>
      </w:r>
    </w:p>
    <w:p>
      <w:pPr>
        <w:pStyle w:val="7"/>
        <w:bidi w:val="0"/>
        <w:rPr>
          <w:color w:val="auto"/>
        </w:rPr>
      </w:pPr>
      <w:r>
        <w:rPr>
          <w:color w:val="auto"/>
        </w:rPr>
        <w:t>非道路移动机械用柴油机排气污染物排放限值</w:t>
      </w:r>
    </w:p>
    <w:tbl>
      <w:tblPr>
        <w:tblStyle w:val="34"/>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951"/>
        <w:gridCol w:w="1876"/>
        <w:gridCol w:w="1874"/>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阶段</w:t>
            </w:r>
          </w:p>
        </w:tc>
        <w:tc>
          <w:tcPr>
            <w:tcW w:w="1951"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额定净功率</w:t>
            </w:r>
          </w:p>
          <w:p>
            <w:pPr>
              <w:keepNext w:val="0"/>
              <w:keepLines w:val="0"/>
              <w:suppressLineNumbers w:val="0"/>
              <w:autoSpaceDE w:val="0"/>
              <w:autoSpaceDN w:val="0"/>
              <w:adjustRightInd w:val="0"/>
              <w:spacing w:before="0" w:beforeAutospacing="0" w:after="0" w:afterAutospacing="0" w:line="240" w:lineRule="exact"/>
              <w:ind w:left="131" w:right="0"/>
              <w:jc w:val="center"/>
              <w:rPr>
                <w:rFonts w:hint="default" w:eastAsia="宋体"/>
                <w:color w:val="auto"/>
                <w:kern w:val="0"/>
                <w:szCs w:val="21"/>
              </w:rPr>
            </w:pPr>
            <w:r>
              <w:rPr>
                <w:rFonts w:hint="default" w:eastAsia="宋体"/>
                <w:color w:val="auto"/>
                <w:kern w:val="0"/>
                <w:szCs w:val="21"/>
              </w:rPr>
              <w:t>（Pmax）</w:t>
            </w:r>
          </w:p>
          <w:p>
            <w:pPr>
              <w:keepNext w:val="0"/>
              <w:keepLines w:val="0"/>
              <w:suppressLineNumbers w:val="0"/>
              <w:autoSpaceDE w:val="0"/>
              <w:autoSpaceDN w:val="0"/>
              <w:adjustRightInd w:val="0"/>
              <w:spacing w:before="0" w:beforeAutospacing="0" w:after="0" w:afterAutospacing="0" w:line="240" w:lineRule="exact"/>
              <w:ind w:left="158" w:right="0"/>
              <w:jc w:val="center"/>
              <w:rPr>
                <w:rFonts w:hint="default" w:eastAsia="宋体"/>
                <w:color w:val="auto"/>
                <w:kern w:val="0"/>
                <w:szCs w:val="21"/>
              </w:rPr>
            </w:pPr>
            <w:r>
              <w:rPr>
                <w:rFonts w:hint="default" w:eastAsia="宋体"/>
                <w:color w:val="auto"/>
                <w:kern w:val="0"/>
                <w:szCs w:val="21"/>
              </w:rPr>
              <w:t>（kW）</w:t>
            </w:r>
          </w:p>
        </w:tc>
        <w:tc>
          <w:tcPr>
            <w:tcW w:w="1876"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CO</w:t>
            </w:r>
          </w:p>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kern w:val="0"/>
                <w:szCs w:val="21"/>
              </w:rPr>
              <w:t>（g/kWh）</w:t>
            </w:r>
          </w:p>
        </w:tc>
        <w:tc>
          <w:tcPr>
            <w:tcW w:w="1874"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HC+NO</w:t>
            </w:r>
            <w:r>
              <w:rPr>
                <w:rFonts w:hint="default" w:eastAsia="宋体"/>
                <w:color w:val="auto"/>
                <w:kern w:val="0"/>
                <w:szCs w:val="21"/>
                <w:vertAlign w:val="subscript"/>
              </w:rPr>
              <w:t>x</w:t>
            </w:r>
          </w:p>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kern w:val="0"/>
                <w:szCs w:val="21"/>
              </w:rPr>
              <w:t>（g/kWh）</w:t>
            </w:r>
          </w:p>
        </w:tc>
        <w:tc>
          <w:tcPr>
            <w:tcW w:w="1876"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PM（g/kWh）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05" w:type="dxa"/>
            <w:vMerge w:val="restart"/>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第三阶段</w:t>
            </w:r>
          </w:p>
        </w:tc>
        <w:tc>
          <w:tcPr>
            <w:tcW w:w="1951"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P</w:t>
            </w:r>
            <w:r>
              <w:rPr>
                <w:rFonts w:hint="default" w:eastAsia="宋体"/>
                <w:color w:val="auto"/>
                <w:kern w:val="0"/>
                <w:szCs w:val="21"/>
                <w:vertAlign w:val="subscript"/>
              </w:rPr>
              <w:t>max</w:t>
            </w:r>
            <w:r>
              <w:rPr>
                <w:rFonts w:hint="default" w:eastAsia="宋体"/>
                <w:color w:val="auto"/>
                <w:kern w:val="0"/>
                <w:szCs w:val="21"/>
              </w:rPr>
              <w:t>＞560</w:t>
            </w:r>
          </w:p>
        </w:tc>
        <w:tc>
          <w:tcPr>
            <w:tcW w:w="1876"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3.5</w:t>
            </w:r>
          </w:p>
        </w:tc>
        <w:tc>
          <w:tcPr>
            <w:tcW w:w="1874"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6.4</w:t>
            </w:r>
          </w:p>
        </w:tc>
        <w:tc>
          <w:tcPr>
            <w:tcW w:w="1876"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dxa"/>
            <w:vMerge w:val="continue"/>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p>
        </w:tc>
        <w:tc>
          <w:tcPr>
            <w:tcW w:w="1951"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130≤P</w:t>
            </w:r>
            <w:r>
              <w:rPr>
                <w:rFonts w:hint="default" w:eastAsia="宋体"/>
                <w:color w:val="auto"/>
                <w:kern w:val="0"/>
                <w:szCs w:val="21"/>
                <w:vertAlign w:val="subscript"/>
              </w:rPr>
              <w:t>max</w:t>
            </w:r>
            <w:r>
              <w:rPr>
                <w:rFonts w:hint="default" w:eastAsia="宋体"/>
                <w:color w:val="auto"/>
                <w:kern w:val="0"/>
                <w:szCs w:val="21"/>
              </w:rPr>
              <w:t>≤560</w:t>
            </w:r>
          </w:p>
        </w:tc>
        <w:tc>
          <w:tcPr>
            <w:tcW w:w="1876"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3.5</w:t>
            </w:r>
          </w:p>
        </w:tc>
        <w:tc>
          <w:tcPr>
            <w:tcW w:w="1874"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4.0</w:t>
            </w:r>
          </w:p>
        </w:tc>
        <w:tc>
          <w:tcPr>
            <w:tcW w:w="1876"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dxa"/>
            <w:vMerge w:val="continue"/>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p>
        </w:tc>
        <w:tc>
          <w:tcPr>
            <w:tcW w:w="1951"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75≤P</w:t>
            </w:r>
            <w:r>
              <w:rPr>
                <w:rFonts w:hint="default" w:eastAsia="宋体"/>
                <w:color w:val="auto"/>
                <w:kern w:val="0"/>
                <w:szCs w:val="21"/>
                <w:vertAlign w:val="subscript"/>
              </w:rPr>
              <w:t>max</w:t>
            </w:r>
            <w:r>
              <w:rPr>
                <w:rFonts w:hint="default" w:eastAsia="宋体"/>
                <w:color w:val="auto"/>
                <w:kern w:val="0"/>
                <w:szCs w:val="21"/>
              </w:rPr>
              <w:t>＜130</w:t>
            </w:r>
          </w:p>
        </w:tc>
        <w:tc>
          <w:tcPr>
            <w:tcW w:w="1876"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5.0</w:t>
            </w:r>
          </w:p>
        </w:tc>
        <w:tc>
          <w:tcPr>
            <w:tcW w:w="1874"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4.0</w:t>
            </w:r>
          </w:p>
        </w:tc>
        <w:tc>
          <w:tcPr>
            <w:tcW w:w="1876"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dxa"/>
            <w:vMerge w:val="continue"/>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p>
        </w:tc>
        <w:tc>
          <w:tcPr>
            <w:tcW w:w="1951"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37≤P</w:t>
            </w:r>
            <w:r>
              <w:rPr>
                <w:rFonts w:hint="default" w:eastAsia="宋体"/>
                <w:color w:val="auto"/>
                <w:kern w:val="0"/>
                <w:szCs w:val="21"/>
                <w:vertAlign w:val="subscript"/>
              </w:rPr>
              <w:t>max</w:t>
            </w:r>
            <w:r>
              <w:rPr>
                <w:rFonts w:hint="default" w:eastAsia="宋体"/>
                <w:color w:val="auto"/>
                <w:kern w:val="0"/>
                <w:szCs w:val="21"/>
              </w:rPr>
              <w:t>＜75</w:t>
            </w:r>
          </w:p>
        </w:tc>
        <w:tc>
          <w:tcPr>
            <w:tcW w:w="1876"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5.0</w:t>
            </w:r>
          </w:p>
        </w:tc>
        <w:tc>
          <w:tcPr>
            <w:tcW w:w="1874"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4.7</w:t>
            </w:r>
          </w:p>
        </w:tc>
        <w:tc>
          <w:tcPr>
            <w:tcW w:w="1876"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5" w:type="dxa"/>
            <w:vMerge w:val="continue"/>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p>
        </w:tc>
        <w:tc>
          <w:tcPr>
            <w:tcW w:w="1951"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P</w:t>
            </w:r>
            <w:r>
              <w:rPr>
                <w:rFonts w:hint="default" w:eastAsia="宋体"/>
                <w:color w:val="auto"/>
                <w:kern w:val="0"/>
                <w:szCs w:val="21"/>
                <w:vertAlign w:val="subscript"/>
              </w:rPr>
              <w:t>max</w:t>
            </w:r>
            <w:r>
              <w:rPr>
                <w:rFonts w:hint="default" w:eastAsia="宋体"/>
                <w:color w:val="auto"/>
                <w:kern w:val="0"/>
                <w:szCs w:val="21"/>
              </w:rPr>
              <w:t>＜37</w:t>
            </w:r>
          </w:p>
        </w:tc>
        <w:tc>
          <w:tcPr>
            <w:tcW w:w="1876"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5.5</w:t>
            </w:r>
          </w:p>
        </w:tc>
        <w:tc>
          <w:tcPr>
            <w:tcW w:w="1874"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7.5</w:t>
            </w:r>
          </w:p>
        </w:tc>
        <w:tc>
          <w:tcPr>
            <w:tcW w:w="1876" w:type="dxa"/>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Cs w:val="21"/>
              </w:rPr>
            </w:pPr>
            <w:r>
              <w:rPr>
                <w:rFonts w:hint="default" w:eastAsia="宋体"/>
                <w:color w:val="auto"/>
                <w:kern w:val="0"/>
                <w:szCs w:val="21"/>
              </w:rPr>
              <w:t>0.60</w:t>
            </w:r>
          </w:p>
        </w:tc>
      </w:tr>
    </w:tbl>
    <w:p>
      <w:pPr>
        <w:pStyle w:val="6"/>
        <w:spacing w:before="156" w:after="156"/>
        <w:rPr>
          <w:color w:val="auto"/>
        </w:rPr>
      </w:pPr>
      <w:bookmarkStart w:id="217" w:name="_Toc19346"/>
      <w:bookmarkStart w:id="218" w:name="_Toc223"/>
      <w:bookmarkStart w:id="219" w:name="_Toc15401"/>
      <w:bookmarkStart w:id="220" w:name="_Toc27805"/>
      <w:r>
        <w:rPr>
          <w:color w:val="auto"/>
        </w:rPr>
        <w:t>噪声排放标准</w:t>
      </w:r>
      <w:bookmarkEnd w:id="217"/>
      <w:bookmarkEnd w:id="218"/>
      <w:bookmarkEnd w:id="219"/>
      <w:bookmarkEnd w:id="220"/>
    </w:p>
    <w:p>
      <w:pPr>
        <w:pStyle w:val="33"/>
        <w:rPr>
          <w:color w:val="auto"/>
        </w:rPr>
      </w:pPr>
      <w:r>
        <w:rPr>
          <w:color w:val="auto"/>
        </w:rPr>
        <w:t>施工期场地噪声执行《建筑施工场界环境噪声排放标准》（GB12523-2011），标准值见</w:t>
      </w:r>
      <w:r>
        <w:rPr>
          <w:rFonts w:hint="eastAsia"/>
          <w:color w:val="auto"/>
        </w:rPr>
        <w:t>下</w:t>
      </w:r>
      <w:r>
        <w:rPr>
          <w:color w:val="auto"/>
        </w:rPr>
        <w:t>表</w:t>
      </w:r>
      <w:r>
        <w:rPr>
          <w:rFonts w:hint="eastAsia"/>
          <w:color w:val="auto"/>
          <w:lang w:val="en-US" w:eastAsia="zh-CN"/>
        </w:rPr>
        <w:t>2.5-8</w:t>
      </w:r>
      <w:r>
        <w:rPr>
          <w:color w:val="auto"/>
        </w:rPr>
        <w:t>。</w:t>
      </w:r>
    </w:p>
    <w:p>
      <w:pPr>
        <w:pStyle w:val="7"/>
        <w:bidi w:val="0"/>
        <w:rPr>
          <w:color w:val="auto"/>
        </w:rPr>
      </w:pPr>
      <w:r>
        <w:rPr>
          <w:rFonts w:hint="eastAsia"/>
          <w:color w:val="auto"/>
        </w:rPr>
        <w:t>建筑施工场界环境噪声排放标准    单位：dB（A）</w:t>
      </w:r>
    </w:p>
    <w:tbl>
      <w:tblPr>
        <w:tblStyle w:val="34"/>
        <w:tblW w:w="90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昼间</w:t>
            </w:r>
          </w:p>
        </w:tc>
        <w:tc>
          <w:tcPr>
            <w:tcW w:w="417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70</w:t>
            </w:r>
          </w:p>
        </w:tc>
        <w:tc>
          <w:tcPr>
            <w:tcW w:w="417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55</w:t>
            </w:r>
          </w:p>
        </w:tc>
      </w:tr>
    </w:tbl>
    <w:p>
      <w:pPr>
        <w:pStyle w:val="6"/>
        <w:spacing w:before="156" w:after="156"/>
        <w:rPr>
          <w:color w:val="auto"/>
        </w:rPr>
      </w:pPr>
      <w:bookmarkStart w:id="221" w:name="_Toc27486"/>
      <w:bookmarkStart w:id="222" w:name="_Toc2633"/>
      <w:bookmarkStart w:id="223" w:name="_Toc884"/>
      <w:bookmarkStart w:id="224" w:name="_Toc27752"/>
      <w:r>
        <w:rPr>
          <w:color w:val="auto"/>
        </w:rPr>
        <w:t>固体废物</w:t>
      </w:r>
      <w:bookmarkEnd w:id="221"/>
      <w:bookmarkEnd w:id="222"/>
      <w:bookmarkEnd w:id="223"/>
      <w:bookmarkEnd w:id="224"/>
    </w:p>
    <w:p>
      <w:pPr>
        <w:pStyle w:val="33"/>
        <w:rPr>
          <w:color w:val="auto"/>
        </w:rPr>
      </w:pPr>
      <w:r>
        <w:rPr>
          <w:color w:val="auto"/>
        </w:rPr>
        <w:t>（1）施工期</w:t>
      </w:r>
      <w:r>
        <w:rPr>
          <w:rFonts w:hint="eastAsia"/>
          <w:color w:val="auto"/>
        </w:rPr>
        <w:t>及</w:t>
      </w:r>
      <w:r>
        <w:rPr>
          <w:color w:val="auto"/>
        </w:rPr>
        <w:t>运营期产生的生活垃圾执行《城市生活垃圾管理办法》（中华人民共和国建设部令第157号令）。</w:t>
      </w:r>
    </w:p>
    <w:p>
      <w:pPr>
        <w:pStyle w:val="33"/>
        <w:rPr>
          <w:color w:val="auto"/>
        </w:rPr>
      </w:pPr>
      <w:r>
        <w:rPr>
          <w:color w:val="auto"/>
        </w:rPr>
        <w:t>（2）施工期钻井产生的废纯碱和膨润土包装袋</w:t>
      </w:r>
      <w:r>
        <w:rPr>
          <w:rFonts w:hint="eastAsia"/>
          <w:color w:val="auto"/>
        </w:rPr>
        <w:t>等</w:t>
      </w:r>
      <w:r>
        <w:rPr>
          <w:color w:val="auto"/>
        </w:rPr>
        <w:t>一般工业固体废物，执行</w:t>
      </w:r>
      <w:r>
        <w:rPr>
          <w:rFonts w:hint="eastAsia"/>
          <w:color w:val="auto"/>
        </w:rPr>
        <w:t>《一般工业固体废物贮存、处置场污染控制标准》（GB18599-2020）</w:t>
      </w:r>
      <w:r>
        <w:rPr>
          <w:color w:val="auto"/>
        </w:rPr>
        <w:t>。</w:t>
      </w:r>
    </w:p>
    <w:p>
      <w:pPr>
        <w:pStyle w:val="33"/>
        <w:bidi w:val="0"/>
        <w:rPr>
          <w:color w:val="auto"/>
        </w:rPr>
      </w:pPr>
      <w:r>
        <w:rPr>
          <w:rFonts w:hint="eastAsia"/>
          <w:color w:val="auto"/>
        </w:rPr>
        <w:t>（</w:t>
      </w:r>
      <w:r>
        <w:rPr>
          <w:rFonts w:hint="eastAsia"/>
          <w:color w:val="auto"/>
          <w:lang w:val="en-US" w:eastAsia="zh-CN"/>
        </w:rPr>
        <w:t>3</w:t>
      </w:r>
      <w:r>
        <w:rPr>
          <w:rFonts w:hint="eastAsia"/>
          <w:color w:val="auto"/>
        </w:rPr>
        <w:t>）</w:t>
      </w:r>
      <w:r>
        <w:rPr>
          <w:color w:val="auto"/>
        </w:rPr>
        <w:t>施工期产生的废弃KOH包装袋</w:t>
      </w:r>
      <w:r>
        <w:rPr>
          <w:rFonts w:hint="eastAsia"/>
          <w:color w:val="auto"/>
          <w:lang w:eastAsia="zh-CN"/>
        </w:rPr>
        <w:t>、</w:t>
      </w:r>
      <w:r>
        <w:rPr>
          <w:color w:val="auto"/>
        </w:rPr>
        <w:t>、破损的</w:t>
      </w:r>
      <w:r>
        <w:rPr>
          <w:rFonts w:hint="eastAsia"/>
          <w:color w:val="auto"/>
          <w:lang w:val="en-US" w:eastAsia="zh-CN"/>
        </w:rPr>
        <w:t>沾油</w:t>
      </w:r>
      <w:r>
        <w:rPr>
          <w:color w:val="auto"/>
        </w:rPr>
        <w:t>废防渗布属于危险废物，执行《危险废物贮存污染控制标准》（GB18597-2001）及其修改单规定。</w:t>
      </w:r>
    </w:p>
    <w:bookmarkEnd w:id="127"/>
    <w:bookmarkEnd w:id="128"/>
    <w:bookmarkEnd w:id="129"/>
    <w:bookmarkEnd w:id="130"/>
    <w:bookmarkEnd w:id="131"/>
    <w:p>
      <w:pPr>
        <w:pStyle w:val="4"/>
        <w:spacing w:before="156" w:after="156"/>
        <w:rPr>
          <w:color w:val="auto"/>
        </w:rPr>
      </w:pPr>
      <w:bookmarkStart w:id="225" w:name="_Toc49174605"/>
      <w:bookmarkStart w:id="226" w:name="_Toc49174960"/>
      <w:bookmarkStart w:id="227" w:name="_Toc49174395"/>
      <w:bookmarkStart w:id="228" w:name="_Toc49174714"/>
      <w:bookmarkStart w:id="229" w:name="_Toc6899"/>
      <w:bookmarkStart w:id="230" w:name="_Toc49174785"/>
      <w:bookmarkStart w:id="231" w:name="_Toc30808"/>
      <w:bookmarkStart w:id="232" w:name="_Toc27010"/>
      <w:r>
        <w:rPr>
          <w:color w:val="auto"/>
        </w:rPr>
        <w:t>评价工作等级</w:t>
      </w:r>
      <w:bookmarkEnd w:id="225"/>
      <w:bookmarkEnd w:id="226"/>
      <w:bookmarkEnd w:id="227"/>
      <w:bookmarkEnd w:id="228"/>
      <w:bookmarkEnd w:id="229"/>
      <w:bookmarkEnd w:id="230"/>
      <w:bookmarkStart w:id="233" w:name="_Toc15702"/>
      <w:bookmarkStart w:id="234" w:name="_Toc5267"/>
      <w:bookmarkStart w:id="235" w:name="_Toc8791"/>
    </w:p>
    <w:bookmarkEnd w:id="233"/>
    <w:bookmarkEnd w:id="234"/>
    <w:bookmarkEnd w:id="235"/>
    <w:p>
      <w:pPr>
        <w:pStyle w:val="5"/>
        <w:spacing w:before="156" w:after="156"/>
        <w:rPr>
          <w:color w:val="auto"/>
        </w:rPr>
      </w:pPr>
      <w:bookmarkStart w:id="236" w:name="_Toc49174786"/>
      <w:bookmarkStart w:id="237" w:name="_Toc49174961"/>
      <w:bookmarkStart w:id="238" w:name="_Toc205420844"/>
      <w:r>
        <w:rPr>
          <w:color w:val="auto"/>
        </w:rPr>
        <w:t>大气环境</w:t>
      </w:r>
      <w:bookmarkEnd w:id="236"/>
      <w:bookmarkEnd w:id="237"/>
    </w:p>
    <w:p>
      <w:pPr>
        <w:pStyle w:val="33"/>
        <w:bidi w:val="0"/>
        <w:rPr>
          <w:rFonts w:hint="eastAsia" w:eastAsia="宋体"/>
          <w:color w:val="auto"/>
          <w:lang w:eastAsia="zh-CN"/>
        </w:rPr>
      </w:pPr>
      <w:r>
        <w:rPr>
          <w:rFonts w:hint="eastAsia" w:hAnsi="宋体"/>
          <w:color w:val="auto"/>
          <w:sz w:val="28"/>
          <w:szCs w:val="28"/>
        </w:rPr>
        <w:t>根据《环境影响评价技术导则大气环境》（</w:t>
      </w:r>
      <w:r>
        <w:rPr>
          <w:rFonts w:hAnsi="宋体"/>
          <w:color w:val="auto"/>
          <w:sz w:val="28"/>
          <w:szCs w:val="28"/>
        </w:rPr>
        <w:t>HJ2.2-2018</w:t>
      </w:r>
      <w:r>
        <w:rPr>
          <w:rFonts w:hint="eastAsia" w:hAnsi="宋体"/>
          <w:color w:val="auto"/>
          <w:sz w:val="28"/>
          <w:szCs w:val="28"/>
        </w:rPr>
        <w:t>）中相关要求，选择项目污染源正常排放的主要污染源及排放参数，计算项目污染源的最大环境影响，判定评价等级。本工程仅开展钻井施工、</w:t>
      </w:r>
      <w:r>
        <w:rPr>
          <w:rFonts w:hint="eastAsia" w:hAnsi="宋体"/>
          <w:color w:val="auto"/>
          <w:sz w:val="28"/>
          <w:szCs w:val="28"/>
          <w:lang w:eastAsia="zh-CN"/>
        </w:rPr>
        <w:t>录井、</w:t>
      </w:r>
      <w:r>
        <w:rPr>
          <w:rFonts w:hint="eastAsia" w:hAnsi="宋体"/>
          <w:color w:val="auto"/>
          <w:sz w:val="28"/>
          <w:szCs w:val="28"/>
        </w:rPr>
        <w:t>试气</w:t>
      </w:r>
      <w:r>
        <w:rPr>
          <w:rFonts w:hint="eastAsia" w:hAnsi="宋体"/>
          <w:color w:val="auto"/>
          <w:sz w:val="28"/>
          <w:szCs w:val="28"/>
          <w:lang w:eastAsia="zh-CN"/>
        </w:rPr>
        <w:t>、完井</w:t>
      </w:r>
      <w:r>
        <w:rPr>
          <w:rFonts w:hint="eastAsia" w:hAnsi="宋体"/>
          <w:color w:val="auto"/>
          <w:sz w:val="28"/>
          <w:szCs w:val="28"/>
        </w:rPr>
        <w:t>等作业，不涉及运营期建设内容，废气排放源主要为施工期间柴油及及试气作业期间放空火炬，随着施工作业的结束，各废气排放源随即消失，不产生持续影响，因此不判定本工程大气环境影响评价等级，仅开展相应污染物排放影响分析及排放量核算工作。</w:t>
      </w:r>
    </w:p>
    <w:p>
      <w:pPr>
        <w:pStyle w:val="5"/>
        <w:spacing w:before="156" w:after="156"/>
        <w:rPr>
          <w:color w:val="auto"/>
        </w:rPr>
      </w:pPr>
      <w:bookmarkStart w:id="239" w:name="_Toc49174962"/>
      <w:bookmarkStart w:id="240" w:name="_Toc49174787"/>
      <w:bookmarkStart w:id="241" w:name="_Toc13218"/>
      <w:bookmarkStart w:id="242" w:name="_Toc144"/>
      <w:bookmarkStart w:id="243" w:name="_Toc11217"/>
      <w:bookmarkStart w:id="244" w:name="_Toc17189"/>
      <w:bookmarkStart w:id="245" w:name="_Toc28934"/>
      <w:bookmarkStart w:id="246" w:name="_Toc503"/>
      <w:bookmarkStart w:id="247" w:name="_Toc24171"/>
      <w:r>
        <w:rPr>
          <w:color w:val="auto"/>
        </w:rPr>
        <w:t>地表水环境</w:t>
      </w:r>
      <w:bookmarkEnd w:id="239"/>
      <w:bookmarkEnd w:id="240"/>
    </w:p>
    <w:p>
      <w:pPr>
        <w:pStyle w:val="33"/>
        <w:rPr>
          <w:color w:val="auto"/>
        </w:rPr>
      </w:pPr>
      <w:r>
        <w:rPr>
          <w:rFonts w:hint="eastAsia"/>
          <w:color w:val="auto"/>
        </w:rPr>
        <w:t>本工程在施工期产生污水，但不向地表水体排放废水。本工程钻井过程中产生的钻井污水执行不落地收集处理工艺，</w:t>
      </w:r>
      <w:r>
        <w:rPr>
          <w:rFonts w:hint="eastAsia"/>
          <w:color w:val="auto"/>
          <w:lang w:eastAsia="zh-CN"/>
        </w:rPr>
        <w:t>同</w:t>
      </w:r>
      <w:r>
        <w:rPr>
          <w:rFonts w:hint="eastAsia"/>
          <w:color w:val="auto"/>
        </w:rPr>
        <w:t>废钻井液、岩屑废弃</w:t>
      </w:r>
      <w:r>
        <w:rPr>
          <w:rFonts w:hint="eastAsia"/>
          <w:color w:val="auto"/>
          <w:lang w:eastAsia="zh-CN"/>
        </w:rPr>
        <w:t>一起</w:t>
      </w:r>
      <w:r>
        <w:rPr>
          <w:rFonts w:hint="eastAsia"/>
          <w:color w:val="auto"/>
        </w:rPr>
        <w:t>在井场进行固液分离处理</w:t>
      </w:r>
      <w:r>
        <w:rPr>
          <w:rFonts w:hint="eastAsia"/>
          <w:color w:val="auto"/>
          <w:lang w:eastAsia="zh-CN"/>
        </w:rPr>
        <w:t>，</w:t>
      </w:r>
      <w:r>
        <w:rPr>
          <w:rFonts w:hint="eastAsia"/>
          <w:color w:val="auto"/>
        </w:rPr>
        <w:t>分离出的液相处理达标后循环利用</w:t>
      </w:r>
      <w:r>
        <w:rPr>
          <w:rFonts w:hint="eastAsia"/>
          <w:color w:val="auto"/>
          <w:lang w:eastAsia="zh-CN"/>
        </w:rPr>
        <w:t>；</w:t>
      </w:r>
      <w:r>
        <w:rPr>
          <w:rFonts w:hint="eastAsia"/>
          <w:color w:val="auto"/>
        </w:rPr>
        <w:t>施工期产生的生活污水进入井场生活污水防渗池，施工结束后进行清掏并卫生填埋，场地进行平整</w:t>
      </w:r>
      <w:r>
        <w:rPr>
          <w:rFonts w:hint="eastAsia"/>
          <w:color w:val="auto"/>
          <w:lang w:eastAsia="zh-CN"/>
        </w:rPr>
        <w:t>。</w:t>
      </w:r>
      <w:r>
        <w:rPr>
          <w:rFonts w:hint="eastAsia"/>
          <w:color w:val="auto"/>
        </w:rPr>
        <w:t>依据《环境影响评价技术导则地表水环境》（HJ/2.3-2018）中水污染型建设项目评价等级判定，地表水评价等级为三级B。</w:t>
      </w:r>
    </w:p>
    <w:p>
      <w:pPr>
        <w:pStyle w:val="7"/>
        <w:bidi w:val="0"/>
        <w:rPr>
          <w:color w:val="auto"/>
        </w:rPr>
      </w:pPr>
      <w:r>
        <w:rPr>
          <w:color w:val="auto"/>
        </w:rPr>
        <w:t>水污染影响型建设项目评价等级判定</w:t>
      </w:r>
    </w:p>
    <w:tbl>
      <w:tblPr>
        <w:tblStyle w:val="34"/>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38"/>
        <w:gridCol w:w="2984"/>
        <w:gridCol w:w="3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2138" w:type="dxa"/>
            <w:vMerge w:val="restart"/>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评价等级</w:t>
            </w:r>
          </w:p>
        </w:tc>
        <w:tc>
          <w:tcPr>
            <w:tcW w:w="6943" w:type="dxa"/>
            <w:gridSpan w:val="2"/>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38" w:type="dxa"/>
            <w:vMerge w:val="continue"/>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p>
        </w:tc>
        <w:tc>
          <w:tcPr>
            <w:tcW w:w="2984"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排放方式</w:t>
            </w:r>
          </w:p>
        </w:tc>
        <w:tc>
          <w:tcPr>
            <w:tcW w:w="3959" w:type="dxa"/>
            <w:vAlign w:val="center"/>
          </w:tcPr>
          <w:p>
            <w:pPr>
              <w:keepNext w:val="0"/>
              <w:keepLines w:val="0"/>
              <w:suppressLineNumbers w:val="0"/>
              <w:kinsoku w:val="0"/>
              <w:overflowPunct w:val="0"/>
              <w:autoSpaceDE w:val="0"/>
              <w:autoSpaceDN w:val="0"/>
              <w:adjustRightInd w:val="0"/>
              <w:spacing w:before="0" w:beforeAutospacing="0" w:after="0" w:afterAutospacing="0" w:line="340" w:lineRule="exact"/>
              <w:ind w:left="0" w:right="0"/>
              <w:jc w:val="center"/>
              <w:rPr>
                <w:rFonts w:hint="eastAsia" w:eastAsia="宋体"/>
                <w:color w:val="auto"/>
                <w:szCs w:val="21"/>
                <w:lang w:eastAsia="zh-CN"/>
              </w:rPr>
            </w:pPr>
            <w:r>
              <w:rPr>
                <w:rFonts w:hint="default"/>
                <w:color w:val="auto"/>
                <w:szCs w:val="21"/>
              </w:rPr>
              <w:t xml:space="preserve">废水排放量 </w:t>
            </w:r>
            <w:r>
              <w:rPr>
                <w:rFonts w:hint="default"/>
                <w:i/>
                <w:iCs/>
                <w:color w:val="auto"/>
                <w:szCs w:val="21"/>
              </w:rPr>
              <w:t xml:space="preserve">Q </w:t>
            </w:r>
            <w:r>
              <w:rPr>
                <w:rFonts w:hint="default"/>
                <w:color w:val="auto"/>
                <w:szCs w:val="21"/>
              </w:rPr>
              <w:t>/（m</w:t>
            </w:r>
            <w:r>
              <w:rPr>
                <w:rFonts w:hint="default"/>
                <w:color w:val="auto"/>
                <w:position w:val="6"/>
                <w:szCs w:val="21"/>
              </w:rPr>
              <w:t>3</w:t>
            </w:r>
            <w:r>
              <w:rPr>
                <w:rFonts w:hint="default"/>
                <w:color w:val="auto"/>
                <w:szCs w:val="21"/>
              </w:rPr>
              <w:t>/d）</w:t>
            </w:r>
            <w:r>
              <w:rPr>
                <w:rFonts w:hint="eastAsia"/>
                <w:color w:val="auto"/>
                <w:szCs w:val="21"/>
                <w:lang w:val="en-US" w:eastAsia="zh-CN"/>
              </w:rPr>
              <w:t>;</w:t>
            </w:r>
          </w:p>
          <w:p>
            <w:pPr>
              <w:keepNext w:val="0"/>
              <w:keepLines w:val="0"/>
              <w:suppressLineNumbers w:val="0"/>
              <w:kinsoku w:val="0"/>
              <w:overflowPunct w:val="0"/>
              <w:autoSpaceDE w:val="0"/>
              <w:autoSpaceDN w:val="0"/>
              <w:adjustRightInd w:val="0"/>
              <w:spacing w:before="0" w:beforeAutospacing="0" w:after="0" w:afterAutospacing="0" w:line="340" w:lineRule="exact"/>
              <w:ind w:left="0" w:right="0"/>
              <w:jc w:val="center"/>
              <w:rPr>
                <w:rFonts w:hint="default"/>
                <w:color w:val="auto"/>
                <w:szCs w:val="21"/>
              </w:rPr>
            </w:pPr>
            <w:r>
              <w:rPr>
                <w:rFonts w:hint="default"/>
                <w:color w:val="auto"/>
                <w:szCs w:val="21"/>
              </w:rPr>
              <w:t xml:space="preserve">水污染物当量数 </w:t>
            </w:r>
            <w:r>
              <w:rPr>
                <w:rFonts w:hint="default"/>
                <w:i/>
                <w:iCs/>
                <w:color w:val="auto"/>
                <w:szCs w:val="21"/>
              </w:rPr>
              <w:t xml:space="preserve">W </w:t>
            </w:r>
            <w:r>
              <w:rPr>
                <w:rFonts w:hint="default"/>
                <w:color w:val="auto"/>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38"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一级</w:t>
            </w:r>
          </w:p>
        </w:tc>
        <w:tc>
          <w:tcPr>
            <w:tcW w:w="2984"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直接排放</w:t>
            </w:r>
          </w:p>
        </w:tc>
        <w:tc>
          <w:tcPr>
            <w:tcW w:w="3959" w:type="dxa"/>
            <w:vAlign w:val="center"/>
          </w:tcPr>
          <w:p>
            <w:pPr>
              <w:keepNext w:val="0"/>
              <w:keepLines w:val="0"/>
              <w:suppressLineNumbers w:val="0"/>
              <w:kinsoku w:val="0"/>
              <w:overflowPunct w:val="0"/>
              <w:autoSpaceDE w:val="0"/>
              <w:autoSpaceDN w:val="0"/>
              <w:adjustRightInd w:val="0"/>
              <w:spacing w:before="0" w:beforeAutospacing="0" w:after="0" w:afterAutospacing="0" w:line="340" w:lineRule="exact"/>
              <w:ind w:left="0" w:right="0"/>
              <w:jc w:val="center"/>
              <w:rPr>
                <w:rFonts w:hint="default"/>
                <w:color w:val="auto"/>
                <w:szCs w:val="21"/>
              </w:rPr>
            </w:pPr>
            <w:r>
              <w:rPr>
                <w:rFonts w:hint="default"/>
                <w:i/>
                <w:iCs/>
                <w:color w:val="auto"/>
                <w:szCs w:val="21"/>
              </w:rPr>
              <w:t>Q</w:t>
            </w:r>
            <w:r>
              <w:rPr>
                <w:rFonts w:hint="default"/>
                <w:color w:val="auto"/>
                <w:szCs w:val="21"/>
              </w:rPr>
              <w:t xml:space="preserve">≥20000  或 </w:t>
            </w:r>
            <w:r>
              <w:rPr>
                <w:rFonts w:hint="default"/>
                <w:i/>
                <w:iCs/>
                <w:color w:val="auto"/>
                <w:szCs w:val="21"/>
              </w:rPr>
              <w:t>W</w:t>
            </w:r>
            <w:r>
              <w:rPr>
                <w:rFonts w:hint="default"/>
                <w:color w:val="auto"/>
                <w:szCs w:val="21"/>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38"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二级</w:t>
            </w:r>
          </w:p>
        </w:tc>
        <w:tc>
          <w:tcPr>
            <w:tcW w:w="2984"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直接排放</w:t>
            </w:r>
          </w:p>
        </w:tc>
        <w:tc>
          <w:tcPr>
            <w:tcW w:w="3959" w:type="dxa"/>
            <w:vAlign w:val="center"/>
          </w:tcPr>
          <w:p>
            <w:pPr>
              <w:keepNext w:val="0"/>
              <w:keepLines w:val="0"/>
              <w:suppressLineNumbers w:val="0"/>
              <w:kinsoku w:val="0"/>
              <w:overflowPunct w:val="0"/>
              <w:autoSpaceDE w:val="0"/>
              <w:autoSpaceDN w:val="0"/>
              <w:adjustRightInd w:val="0"/>
              <w:spacing w:before="0" w:beforeAutospacing="0" w:after="0" w:afterAutospacing="0" w:line="340" w:lineRule="exact"/>
              <w:ind w:left="0" w:right="0"/>
              <w:jc w:val="center"/>
              <w:rPr>
                <w:rFonts w:hint="default"/>
                <w:color w:val="auto"/>
                <w:szCs w:val="21"/>
              </w:rPr>
            </w:pPr>
            <w:r>
              <w:rPr>
                <w:rFonts w:hint="default"/>
                <w:color w:val="auto"/>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38"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三级 A</w:t>
            </w:r>
          </w:p>
        </w:tc>
        <w:tc>
          <w:tcPr>
            <w:tcW w:w="2984"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直接排放</w:t>
            </w:r>
          </w:p>
        </w:tc>
        <w:tc>
          <w:tcPr>
            <w:tcW w:w="3959" w:type="dxa"/>
            <w:vAlign w:val="center"/>
          </w:tcPr>
          <w:p>
            <w:pPr>
              <w:keepNext w:val="0"/>
              <w:keepLines w:val="0"/>
              <w:suppressLineNumbers w:val="0"/>
              <w:kinsoku w:val="0"/>
              <w:overflowPunct w:val="0"/>
              <w:autoSpaceDE w:val="0"/>
              <w:autoSpaceDN w:val="0"/>
              <w:adjustRightInd w:val="0"/>
              <w:spacing w:before="0" w:beforeAutospacing="0" w:after="0" w:afterAutospacing="0" w:line="340" w:lineRule="exact"/>
              <w:ind w:left="0" w:right="0"/>
              <w:jc w:val="center"/>
              <w:rPr>
                <w:rFonts w:hint="default"/>
                <w:color w:val="auto"/>
                <w:szCs w:val="21"/>
              </w:rPr>
            </w:pPr>
            <w:r>
              <w:rPr>
                <w:rFonts w:hint="default"/>
                <w:i/>
                <w:iCs/>
                <w:color w:val="auto"/>
                <w:szCs w:val="21"/>
              </w:rPr>
              <w:t>Q</w:t>
            </w:r>
            <w:r>
              <w:rPr>
                <w:rFonts w:hint="default"/>
                <w:color w:val="auto"/>
                <w:szCs w:val="21"/>
              </w:rPr>
              <w:t xml:space="preserve">＜200  且 </w:t>
            </w:r>
            <w:r>
              <w:rPr>
                <w:rFonts w:hint="default"/>
                <w:i/>
                <w:iCs/>
                <w:color w:val="auto"/>
                <w:szCs w:val="21"/>
              </w:rPr>
              <w:t>W</w:t>
            </w:r>
            <w:r>
              <w:rPr>
                <w:rFonts w:hint="default"/>
                <w:color w:val="auto"/>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138"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三级 B</w:t>
            </w:r>
          </w:p>
        </w:tc>
        <w:tc>
          <w:tcPr>
            <w:tcW w:w="2984" w:type="dxa"/>
            <w:vAlign w:val="center"/>
          </w:tcPr>
          <w:p>
            <w:pPr>
              <w:keepNext w:val="0"/>
              <w:keepLines w:val="0"/>
              <w:suppressLineNumbers w:val="0"/>
              <w:kinsoku w:val="0"/>
              <w:overflowPunct w:val="0"/>
              <w:autoSpaceDE w:val="0"/>
              <w:autoSpaceDN w:val="0"/>
              <w:adjustRightInd w:val="0"/>
              <w:spacing w:before="0" w:beforeAutospacing="0" w:after="0" w:afterAutospacing="0" w:line="300" w:lineRule="exact"/>
              <w:ind w:left="0" w:right="0"/>
              <w:jc w:val="center"/>
              <w:rPr>
                <w:rFonts w:hint="default"/>
                <w:color w:val="auto"/>
                <w:szCs w:val="21"/>
              </w:rPr>
            </w:pPr>
            <w:r>
              <w:rPr>
                <w:rFonts w:hint="default"/>
                <w:color w:val="auto"/>
                <w:szCs w:val="21"/>
              </w:rPr>
              <w:t>间接排放</w:t>
            </w:r>
          </w:p>
        </w:tc>
        <w:tc>
          <w:tcPr>
            <w:tcW w:w="3959" w:type="dxa"/>
            <w:vAlign w:val="center"/>
          </w:tcPr>
          <w:p>
            <w:pPr>
              <w:keepNext w:val="0"/>
              <w:keepLines w:val="0"/>
              <w:suppressLineNumbers w:val="0"/>
              <w:kinsoku w:val="0"/>
              <w:overflowPunct w:val="0"/>
              <w:autoSpaceDE w:val="0"/>
              <w:autoSpaceDN w:val="0"/>
              <w:adjustRightInd w:val="0"/>
              <w:spacing w:before="0" w:beforeAutospacing="0" w:after="0" w:afterAutospacing="0" w:line="340" w:lineRule="exact"/>
              <w:ind w:left="0" w:right="0"/>
              <w:jc w:val="center"/>
              <w:rPr>
                <w:rFonts w:hint="default"/>
                <w:color w:val="auto"/>
                <w:szCs w:val="21"/>
              </w:rPr>
            </w:pPr>
            <w:r>
              <w:rPr>
                <w:rFonts w:hint="default"/>
                <w:color w:val="auto"/>
                <w:szCs w:val="21"/>
              </w:rPr>
              <w:t>—</w:t>
            </w:r>
          </w:p>
        </w:tc>
      </w:tr>
      <w:bookmarkEnd w:id="238"/>
      <w:bookmarkEnd w:id="241"/>
      <w:bookmarkEnd w:id="242"/>
      <w:bookmarkEnd w:id="243"/>
      <w:bookmarkEnd w:id="244"/>
      <w:bookmarkEnd w:id="245"/>
      <w:bookmarkEnd w:id="246"/>
      <w:bookmarkEnd w:id="247"/>
    </w:tbl>
    <w:p>
      <w:pPr>
        <w:pStyle w:val="5"/>
        <w:spacing w:before="156" w:after="156"/>
        <w:rPr>
          <w:color w:val="auto"/>
        </w:rPr>
      </w:pPr>
      <w:bookmarkStart w:id="248" w:name="_Toc24910"/>
      <w:bookmarkStart w:id="249" w:name="_Toc29939"/>
      <w:bookmarkStart w:id="250" w:name="_Toc49174963"/>
      <w:bookmarkStart w:id="251" w:name="_Toc26735"/>
      <w:bookmarkStart w:id="252" w:name="_Toc49174788"/>
      <w:bookmarkStart w:id="253" w:name="_Toc17634"/>
      <w:bookmarkStart w:id="254" w:name="_Toc23776"/>
      <w:bookmarkStart w:id="255" w:name="_Toc12863"/>
      <w:bookmarkStart w:id="256" w:name="_Toc1103"/>
      <w:r>
        <w:rPr>
          <w:color w:val="auto"/>
        </w:rPr>
        <w:t>地下水环境</w:t>
      </w:r>
      <w:bookmarkEnd w:id="248"/>
      <w:bookmarkEnd w:id="249"/>
      <w:bookmarkEnd w:id="250"/>
      <w:bookmarkEnd w:id="251"/>
      <w:bookmarkEnd w:id="252"/>
      <w:bookmarkEnd w:id="253"/>
      <w:bookmarkEnd w:id="254"/>
      <w:bookmarkEnd w:id="255"/>
      <w:bookmarkEnd w:id="256"/>
    </w:p>
    <w:p>
      <w:pPr>
        <w:pStyle w:val="83"/>
        <w:bidi w:val="0"/>
        <w:rPr>
          <w:rFonts w:hint="eastAsia" w:eastAsia="宋体"/>
          <w:color w:val="auto"/>
          <w:lang w:eastAsia="zh-CN"/>
        </w:rPr>
      </w:pPr>
      <w:r>
        <w:rPr>
          <w:rFonts w:hint="eastAsia"/>
          <w:color w:val="auto"/>
        </w:rPr>
        <w:t>根据地下水导则附录 A 中地下水环境影响评价行业分类表中规定，本项目属于F石油、天然气中第40类气库（不含加气站的气库），地下水环境影响评价项目类别为IV类项目，可不开展地下水环境影响评价。本工程施工期可能对地下水造成影响的污染源主要为施工期的</w:t>
      </w:r>
      <w:r>
        <w:rPr>
          <w:rFonts w:hint="eastAsia"/>
          <w:color w:val="auto"/>
          <w:lang w:eastAsia="zh-CN"/>
        </w:rPr>
        <w:t>钻井污水和生活污水，每个钻井井场设置一个防渗生活污水池，用于收集生活污水，施工结束后及时清掏做农家肥。钻井废水与废弃钻井液、钻井岩屑构成废弃钻井泥浆，本工程钻井过程中产生的钻井污水、</w:t>
      </w:r>
      <w:r>
        <w:rPr>
          <w:rFonts w:hint="eastAsia"/>
          <w:color w:val="auto"/>
          <w:lang w:val="en-US" w:eastAsia="zh-CN"/>
        </w:rPr>
        <w:t>废弃水基</w:t>
      </w:r>
      <w:r>
        <w:rPr>
          <w:rFonts w:hint="eastAsia"/>
          <w:color w:val="auto"/>
          <w:lang w:eastAsia="zh-CN"/>
        </w:rPr>
        <w:t>钻井液、岩屑执行不落地收集处理工艺，废弃泥浆在井场进行固液分离处理。分离出的液相处理达标后循环利用，分离出的无法利用的固相废弃物，就近拉运至大庆市采油八厂废弃钻井液集中处理站统一处理，泥饼统一收集后转运至大庆油田采油八厂指定地点，作为油田铺路、铺垫井场等综合利用。</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r>
        <w:rPr>
          <w:rFonts w:hint="eastAsia"/>
          <w:color w:val="auto"/>
          <w:lang w:eastAsia="zh-CN"/>
        </w:rPr>
        <w:t>本工程在正常且各项环境保护措施落实到位情况下对地下水环境影响较小，但在事故状态下可能对地下水环境造成影响，但在各项地下水污染防控措施及应急措施落实到位的情况下，对地下水环境影响可接受。</w:t>
      </w:r>
    </w:p>
    <w:p>
      <w:pPr>
        <w:pStyle w:val="6"/>
        <w:spacing w:before="156" w:after="156"/>
        <w:rPr>
          <w:color w:val="auto"/>
        </w:rPr>
      </w:pPr>
      <w:r>
        <w:rPr>
          <w:rFonts w:hint="eastAsia"/>
          <w:color w:val="auto"/>
        </w:rPr>
        <w:t>划分</w:t>
      </w:r>
      <w:r>
        <w:rPr>
          <w:color w:val="auto"/>
        </w:rPr>
        <w:t xml:space="preserve">依据 </w:t>
      </w:r>
    </w:p>
    <w:p>
      <w:pPr>
        <w:pStyle w:val="5"/>
        <w:spacing w:before="156" w:after="156"/>
        <w:rPr>
          <w:color w:val="auto"/>
        </w:rPr>
      </w:pPr>
      <w:bookmarkStart w:id="257" w:name="_Toc8923"/>
      <w:bookmarkStart w:id="258" w:name="_Toc8524"/>
      <w:bookmarkStart w:id="259" w:name="_Toc31833"/>
      <w:bookmarkStart w:id="260" w:name="_Toc205420845"/>
      <w:bookmarkStart w:id="261" w:name="_Toc24835"/>
      <w:bookmarkStart w:id="262" w:name="_Toc49174964"/>
      <w:bookmarkStart w:id="263" w:name="_Toc21456"/>
      <w:bookmarkStart w:id="264" w:name="_Toc49174789"/>
      <w:bookmarkStart w:id="265" w:name="_Toc12624"/>
      <w:bookmarkStart w:id="266" w:name="_Toc9013"/>
      <w:r>
        <w:rPr>
          <w:color w:val="auto"/>
        </w:rPr>
        <w:t>声环境</w:t>
      </w:r>
      <w:bookmarkEnd w:id="257"/>
      <w:bookmarkEnd w:id="258"/>
      <w:bookmarkEnd w:id="259"/>
      <w:bookmarkEnd w:id="260"/>
      <w:bookmarkEnd w:id="261"/>
      <w:bookmarkEnd w:id="262"/>
      <w:bookmarkEnd w:id="263"/>
      <w:bookmarkEnd w:id="264"/>
      <w:bookmarkEnd w:id="265"/>
      <w:bookmarkEnd w:id="266"/>
    </w:p>
    <w:p>
      <w:pPr>
        <w:pStyle w:val="33"/>
        <w:rPr>
          <w:color w:val="auto"/>
        </w:rPr>
      </w:pPr>
      <w:bookmarkStart w:id="267" w:name="_Toc282976788"/>
      <w:bookmarkStart w:id="268" w:name="_Toc15268"/>
      <w:bookmarkStart w:id="269" w:name="_Toc22435"/>
      <w:bookmarkStart w:id="270" w:name="_Toc25056"/>
      <w:bookmarkStart w:id="271" w:name="_Toc14310"/>
      <w:bookmarkStart w:id="272" w:name="_Toc18537"/>
      <w:bookmarkStart w:id="273" w:name="_Toc18799"/>
      <w:bookmarkStart w:id="274" w:name="_Toc15423"/>
      <w:r>
        <w:rPr>
          <w:rFonts w:hint="eastAsia"/>
          <w:color w:val="auto"/>
        </w:rPr>
        <w:t>根据《环境影响评价技术导则 声环境》（HJ2.4-2021）中噪声环境影响评价等级划分的基本原则，本项目所处的声环境功能区为GB 3096规定的1类、2类地区，项目建设前后评价范围内声环境保护目标噪声级增量在5 dB(A)以下，受影响人口数量增加不明显，因此，声环境评价等级为二级。</w:t>
      </w:r>
    </w:p>
    <w:p>
      <w:pPr>
        <w:pStyle w:val="33"/>
        <w:rPr>
          <w:b/>
          <w:bCs/>
          <w:color w:val="auto"/>
        </w:rPr>
      </w:pPr>
      <w:r>
        <w:rPr>
          <w:rFonts w:hint="eastAsia"/>
          <w:color w:val="auto"/>
        </w:rPr>
        <w:t>项目选址于黑龙江省绥化市</w:t>
      </w:r>
      <w:r>
        <w:rPr>
          <w:rFonts w:hint="eastAsia"/>
          <w:color w:val="auto"/>
          <w:lang w:eastAsia="zh-CN"/>
        </w:rPr>
        <w:t>安达</w:t>
      </w:r>
      <w:r>
        <w:rPr>
          <w:rFonts w:hint="eastAsia"/>
          <w:color w:val="auto"/>
        </w:rPr>
        <w:t>市境内的</w:t>
      </w:r>
      <w:r>
        <w:rPr>
          <w:rFonts w:hint="eastAsia"/>
          <w:color w:val="auto"/>
          <w:lang w:eastAsia="zh-CN"/>
        </w:rPr>
        <w:t>升平镇</w:t>
      </w:r>
      <w:r>
        <w:rPr>
          <w:rFonts w:hint="eastAsia"/>
          <w:color w:val="auto"/>
        </w:rPr>
        <w:t>，所在功能区属于声功能区划的1类区和2类区，项目建设前后评价范围内敏感目标噪声级增量小于5dB(A)，且建成后噪声受影响人口变化不大，因此，声环境评价等级为二级。</w:t>
      </w:r>
    </w:p>
    <w:p>
      <w:pPr>
        <w:pStyle w:val="5"/>
        <w:spacing w:before="156" w:after="156"/>
        <w:rPr>
          <w:color w:val="auto"/>
        </w:rPr>
      </w:pPr>
      <w:bookmarkStart w:id="275" w:name="_Toc49174965"/>
      <w:bookmarkStart w:id="276" w:name="_Toc49174790"/>
      <w:r>
        <w:rPr>
          <w:color w:val="auto"/>
        </w:rPr>
        <w:t>土壤环境</w:t>
      </w:r>
      <w:bookmarkEnd w:id="275"/>
      <w:bookmarkEnd w:id="276"/>
    </w:p>
    <w:p>
      <w:pPr>
        <w:spacing w:line="480" w:lineRule="exact"/>
        <w:ind w:firstLine="560" w:firstLineChars="200"/>
        <w:rPr>
          <w:color w:val="auto"/>
          <w:sz w:val="28"/>
          <w:szCs w:val="28"/>
        </w:rPr>
      </w:pPr>
      <w:bookmarkStart w:id="277" w:name="_Toc49174966"/>
      <w:bookmarkStart w:id="278" w:name="_Toc49174791"/>
      <w:r>
        <w:rPr>
          <w:color w:val="auto"/>
          <w:sz w:val="28"/>
          <w:szCs w:val="28"/>
        </w:rPr>
        <w:t>（1）项目类别</w:t>
      </w:r>
    </w:p>
    <w:p>
      <w:pPr>
        <w:spacing w:line="480" w:lineRule="exact"/>
        <w:ind w:firstLine="560" w:firstLineChars="200"/>
        <w:rPr>
          <w:rFonts w:hint="eastAsia" w:eastAsia="宋体"/>
          <w:color w:val="auto"/>
          <w:sz w:val="28"/>
          <w:szCs w:val="28"/>
          <w:lang w:eastAsia="zh-CN"/>
        </w:rPr>
      </w:pPr>
      <w:r>
        <w:rPr>
          <w:rFonts w:ascii="Times New Roman" w:hAnsi="Times New Roman" w:cs="Times New Roman"/>
          <w:color w:val="auto"/>
          <w:sz w:val="28"/>
          <w:szCs w:val="28"/>
        </w:rPr>
        <w:t>根据《环境影响评价技术导则-土壤环境（试行）》（HJ964-2018）附录A：本项目为交通运输仓储邮政业中涉及危险化学品的仓储类，项目属于</w:t>
      </w:r>
      <w:r>
        <w:rPr>
          <w:rFonts w:hint="eastAsia" w:ascii="宋体" w:hAnsi="宋体" w:cs="宋体"/>
          <w:color w:val="auto"/>
          <w:sz w:val="28"/>
          <w:szCs w:val="28"/>
        </w:rPr>
        <w:t>Ⅱ</w:t>
      </w:r>
      <w:r>
        <w:rPr>
          <w:rFonts w:ascii="Times New Roman" w:hAnsi="Times New Roman" w:cs="Times New Roman"/>
          <w:color w:val="auto"/>
          <w:sz w:val="28"/>
          <w:szCs w:val="28"/>
        </w:rPr>
        <w:t>类项目</w:t>
      </w:r>
      <w:r>
        <w:rPr>
          <w:rFonts w:hint="eastAsia" w:hAnsi="宋体"/>
          <w:color w:val="auto"/>
          <w:sz w:val="28"/>
          <w:szCs w:val="28"/>
          <w:lang w:eastAsia="zh-CN"/>
        </w:rPr>
        <w:t>。</w:t>
      </w:r>
    </w:p>
    <w:p>
      <w:pPr>
        <w:spacing w:line="480" w:lineRule="exact"/>
        <w:ind w:firstLine="560" w:firstLineChars="200"/>
        <w:rPr>
          <w:color w:val="auto"/>
          <w:sz w:val="28"/>
          <w:szCs w:val="28"/>
        </w:rPr>
      </w:pPr>
      <w:r>
        <w:rPr>
          <w:color w:val="auto"/>
          <w:sz w:val="28"/>
          <w:szCs w:val="28"/>
        </w:rPr>
        <w:t>（2）环境影响类型和途径</w:t>
      </w:r>
    </w:p>
    <w:p>
      <w:pPr>
        <w:spacing w:line="480" w:lineRule="exact"/>
        <w:ind w:firstLine="560" w:firstLineChars="200"/>
        <w:rPr>
          <w:color w:val="auto"/>
          <w:sz w:val="28"/>
          <w:szCs w:val="28"/>
        </w:rPr>
      </w:pPr>
      <w:r>
        <w:rPr>
          <w:color w:val="auto"/>
          <w:sz w:val="28"/>
          <w:szCs w:val="28"/>
        </w:rPr>
        <w:t>该项目油田开发过程中对土壤环境的影响主要表现为施工期排放的废弃</w:t>
      </w:r>
      <w:r>
        <w:rPr>
          <w:rFonts w:hint="eastAsia"/>
          <w:color w:val="auto"/>
          <w:sz w:val="28"/>
          <w:szCs w:val="28"/>
        </w:rPr>
        <w:t>钻井</w:t>
      </w:r>
      <w:r>
        <w:rPr>
          <w:color w:val="auto"/>
          <w:sz w:val="28"/>
          <w:szCs w:val="28"/>
        </w:rPr>
        <w:t>泥浆</w:t>
      </w:r>
      <w:r>
        <w:rPr>
          <w:rFonts w:hint="eastAsia"/>
          <w:color w:val="auto"/>
          <w:sz w:val="28"/>
          <w:szCs w:val="28"/>
          <w:lang w:eastAsia="zh-CN"/>
        </w:rPr>
        <w:t>、岩屑</w:t>
      </w:r>
      <w:r>
        <w:rPr>
          <w:color w:val="auto"/>
          <w:sz w:val="28"/>
          <w:szCs w:val="28"/>
        </w:rPr>
        <w:t>等污染物对土壤环境的污染，可对土壤的化学、生物性质等方面造成影响。建设项目土壤环境影响类型与影响途径见表2.</w:t>
      </w:r>
      <w:r>
        <w:rPr>
          <w:rFonts w:hint="eastAsia"/>
          <w:color w:val="auto"/>
          <w:sz w:val="28"/>
          <w:szCs w:val="28"/>
          <w:lang w:val="en-US" w:eastAsia="zh-CN"/>
        </w:rPr>
        <w:t>6</w:t>
      </w:r>
      <w:r>
        <w:rPr>
          <w:color w:val="auto"/>
          <w:sz w:val="28"/>
          <w:szCs w:val="28"/>
        </w:rPr>
        <w:t>-</w:t>
      </w:r>
      <w:r>
        <w:rPr>
          <w:rFonts w:hint="eastAsia"/>
          <w:color w:val="auto"/>
          <w:sz w:val="28"/>
          <w:szCs w:val="28"/>
          <w:lang w:val="en-US" w:eastAsia="zh-CN"/>
        </w:rPr>
        <w:t>2</w:t>
      </w:r>
      <w:r>
        <w:rPr>
          <w:color w:val="auto"/>
          <w:sz w:val="28"/>
          <w:szCs w:val="28"/>
        </w:rPr>
        <w:t>。</w:t>
      </w:r>
    </w:p>
    <w:p>
      <w:pPr>
        <w:pStyle w:val="7"/>
        <w:bidi w:val="0"/>
        <w:rPr>
          <w:color w:val="auto"/>
        </w:rPr>
      </w:pPr>
      <w:r>
        <w:rPr>
          <w:color w:val="auto"/>
        </w:rPr>
        <w:t>建设项目土壤环境影响类型与影响途径表</w:t>
      </w:r>
    </w:p>
    <w:tbl>
      <w:tblPr>
        <w:tblStyle w:val="34"/>
        <w:tblW w:w="0" w:type="auto"/>
        <w:jc w:val="center"/>
        <w:tblLayout w:type="fixed"/>
        <w:tblCellMar>
          <w:top w:w="0" w:type="dxa"/>
          <w:left w:w="0" w:type="dxa"/>
          <w:bottom w:w="0" w:type="dxa"/>
          <w:right w:w="0" w:type="dxa"/>
        </w:tblCellMar>
      </w:tblPr>
      <w:tblGrid>
        <w:gridCol w:w="2260"/>
        <w:gridCol w:w="1706"/>
        <w:gridCol w:w="1706"/>
        <w:gridCol w:w="1706"/>
        <w:gridCol w:w="1706"/>
      </w:tblGrid>
      <w:tr>
        <w:tblPrEx>
          <w:tblCellMar>
            <w:top w:w="0" w:type="dxa"/>
            <w:left w:w="0" w:type="dxa"/>
            <w:bottom w:w="0" w:type="dxa"/>
            <w:right w:w="0" w:type="dxa"/>
          </w:tblCellMar>
        </w:tblPrEx>
        <w:trPr>
          <w:trHeight w:val="340" w:hRule="atLeast"/>
          <w:jc w:val="center"/>
        </w:trPr>
        <w:tc>
          <w:tcPr>
            <w:tcW w:w="2260" w:type="dxa"/>
            <w:vMerge w:val="restart"/>
            <w:tcBorders>
              <w:top w:val="single" w:color="000000" w:sz="6" w:space="0"/>
              <w:left w:val="single" w:color="000000" w:sz="6"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不同时段</w:t>
            </w:r>
          </w:p>
        </w:tc>
        <w:tc>
          <w:tcPr>
            <w:tcW w:w="6824" w:type="dxa"/>
            <w:gridSpan w:val="4"/>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污染影响型</w:t>
            </w:r>
          </w:p>
        </w:tc>
      </w:tr>
      <w:tr>
        <w:tblPrEx>
          <w:tblCellMar>
            <w:top w:w="0" w:type="dxa"/>
            <w:left w:w="0" w:type="dxa"/>
            <w:bottom w:w="0" w:type="dxa"/>
            <w:right w:w="0" w:type="dxa"/>
          </w:tblCellMar>
        </w:tblPrEx>
        <w:trPr>
          <w:trHeight w:val="340" w:hRule="atLeast"/>
          <w:jc w:val="center"/>
        </w:trPr>
        <w:tc>
          <w:tcPr>
            <w:tcW w:w="2260" w:type="dxa"/>
            <w:vMerge w:val="continue"/>
            <w:tcBorders>
              <w:top w:val="single" w:color="000000" w:sz="6" w:space="0"/>
              <w:left w:val="single" w:color="000000" w:sz="6"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p>
        </w:tc>
        <w:tc>
          <w:tcPr>
            <w:tcW w:w="1706"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大气沉降</w:t>
            </w:r>
          </w:p>
        </w:tc>
        <w:tc>
          <w:tcPr>
            <w:tcW w:w="1706"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地面漫流</w:t>
            </w:r>
          </w:p>
        </w:tc>
        <w:tc>
          <w:tcPr>
            <w:tcW w:w="1706"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垂直入渗</w:t>
            </w:r>
          </w:p>
        </w:tc>
        <w:tc>
          <w:tcPr>
            <w:tcW w:w="1706"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其他</w:t>
            </w:r>
          </w:p>
        </w:tc>
      </w:tr>
      <w:tr>
        <w:tblPrEx>
          <w:tblCellMar>
            <w:top w:w="0" w:type="dxa"/>
            <w:left w:w="0" w:type="dxa"/>
            <w:bottom w:w="0" w:type="dxa"/>
            <w:right w:w="0" w:type="dxa"/>
          </w:tblCellMar>
        </w:tblPrEx>
        <w:trPr>
          <w:trHeight w:val="340" w:hRule="atLeast"/>
          <w:jc w:val="center"/>
        </w:trPr>
        <w:tc>
          <w:tcPr>
            <w:tcW w:w="2260" w:type="dxa"/>
            <w:tcBorders>
              <w:top w:val="single" w:color="000000" w:sz="6"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建设期</w:t>
            </w:r>
          </w:p>
        </w:tc>
        <w:tc>
          <w:tcPr>
            <w:tcW w:w="1706"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eastAsia" w:eastAsia="宋体"/>
                <w:color w:val="auto"/>
                <w:kern w:val="0"/>
                <w:szCs w:val="21"/>
              </w:rPr>
              <w:t>/</w:t>
            </w:r>
          </w:p>
        </w:tc>
        <w:tc>
          <w:tcPr>
            <w:tcW w:w="1706"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eastAsia" w:eastAsia="宋体"/>
                <w:color w:val="auto"/>
                <w:kern w:val="0"/>
                <w:szCs w:val="21"/>
              </w:rPr>
              <w:t>/</w:t>
            </w:r>
          </w:p>
        </w:tc>
        <w:tc>
          <w:tcPr>
            <w:tcW w:w="1706"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w:t>
            </w:r>
          </w:p>
        </w:tc>
        <w:tc>
          <w:tcPr>
            <w:tcW w:w="1706"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eastAsia" w:eastAsia="宋体"/>
                <w:color w:val="auto"/>
                <w:kern w:val="0"/>
                <w:szCs w:val="21"/>
              </w:rPr>
              <w:t>/</w:t>
            </w:r>
          </w:p>
        </w:tc>
      </w:tr>
      <w:tr>
        <w:tblPrEx>
          <w:tblCellMar>
            <w:top w:w="0" w:type="dxa"/>
            <w:left w:w="0" w:type="dxa"/>
            <w:bottom w:w="0" w:type="dxa"/>
            <w:right w:w="0" w:type="dxa"/>
          </w:tblCellMar>
        </w:tblPrEx>
        <w:trPr>
          <w:trHeight w:val="340" w:hRule="atLeast"/>
          <w:jc w:val="center"/>
        </w:trPr>
        <w:tc>
          <w:tcPr>
            <w:tcW w:w="2260"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运营期</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eastAsia" w:eastAsia="宋体"/>
                <w:color w:val="auto"/>
                <w:kern w:val="0"/>
                <w:szCs w:val="21"/>
              </w:rPr>
              <w:t>/</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eastAsia" w:eastAsia="宋体"/>
                <w:color w:val="auto"/>
                <w:kern w:val="0"/>
                <w:szCs w:val="21"/>
              </w:rPr>
              <w:t>/</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eastAsia" w:eastAsia="宋体"/>
                <w:color w:val="auto"/>
                <w:kern w:val="0"/>
                <w:szCs w:val="21"/>
              </w:rPr>
              <w:t>/</w:t>
            </w:r>
          </w:p>
        </w:tc>
      </w:tr>
    </w:tbl>
    <w:p>
      <w:pPr>
        <w:spacing w:line="480" w:lineRule="exact"/>
        <w:ind w:firstLine="560" w:firstLineChars="200"/>
        <w:rPr>
          <w:color w:val="auto"/>
          <w:sz w:val="28"/>
          <w:szCs w:val="28"/>
        </w:rPr>
      </w:pPr>
      <w:r>
        <w:rPr>
          <w:color w:val="auto"/>
          <w:sz w:val="28"/>
          <w:szCs w:val="28"/>
        </w:rPr>
        <w:t>根据上表可知，本项目属于污染型影响建设项目，污染型影响型土壤环境影响源及影响因子识别见表2.</w:t>
      </w:r>
      <w:r>
        <w:rPr>
          <w:rFonts w:hint="eastAsia"/>
          <w:color w:val="auto"/>
          <w:sz w:val="28"/>
          <w:szCs w:val="28"/>
          <w:lang w:val="en-US" w:eastAsia="zh-CN"/>
        </w:rPr>
        <w:t>6-3</w:t>
      </w:r>
      <w:r>
        <w:rPr>
          <w:color w:val="auto"/>
          <w:sz w:val="28"/>
          <w:szCs w:val="28"/>
        </w:rPr>
        <w:t>。</w:t>
      </w:r>
    </w:p>
    <w:p>
      <w:pPr>
        <w:pStyle w:val="7"/>
        <w:bidi w:val="0"/>
        <w:rPr>
          <w:color w:val="auto"/>
        </w:rPr>
      </w:pPr>
      <w:r>
        <w:rPr>
          <w:color w:val="auto"/>
        </w:rPr>
        <w:t>污染影响型建设项目土壤环境影响源及影响因子识别表</w:t>
      </w:r>
    </w:p>
    <w:tbl>
      <w:tblPr>
        <w:tblStyle w:val="34"/>
        <w:tblW w:w="0" w:type="auto"/>
        <w:tblInd w:w="-11" w:type="dxa"/>
        <w:tblLayout w:type="fixed"/>
        <w:tblCellMar>
          <w:top w:w="0" w:type="dxa"/>
          <w:left w:w="0" w:type="dxa"/>
          <w:bottom w:w="0" w:type="dxa"/>
          <w:right w:w="0" w:type="dxa"/>
        </w:tblCellMar>
      </w:tblPr>
      <w:tblGrid>
        <w:gridCol w:w="1523"/>
        <w:gridCol w:w="1732"/>
        <w:gridCol w:w="1764"/>
        <w:gridCol w:w="1777"/>
        <w:gridCol w:w="1293"/>
        <w:gridCol w:w="993"/>
      </w:tblGrid>
      <w:tr>
        <w:tblPrEx>
          <w:tblCellMar>
            <w:top w:w="0" w:type="dxa"/>
            <w:left w:w="0" w:type="dxa"/>
            <w:bottom w:w="0" w:type="dxa"/>
            <w:right w:w="0" w:type="dxa"/>
          </w:tblCellMar>
        </w:tblPrEx>
        <w:trPr>
          <w:trHeight w:val="340" w:hRule="atLeast"/>
        </w:trPr>
        <w:tc>
          <w:tcPr>
            <w:tcW w:w="1523" w:type="dxa"/>
            <w:tcBorders>
              <w:top w:val="single" w:color="000000" w:sz="6" w:space="0"/>
              <w:left w:val="single" w:color="000000" w:sz="6"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污染源</w:t>
            </w:r>
          </w:p>
        </w:tc>
        <w:tc>
          <w:tcPr>
            <w:tcW w:w="1732" w:type="dxa"/>
            <w:tcBorders>
              <w:top w:val="single" w:color="000000" w:sz="6"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工艺流程/节点</w:t>
            </w:r>
          </w:p>
        </w:tc>
        <w:tc>
          <w:tcPr>
            <w:tcW w:w="1764" w:type="dxa"/>
            <w:tcBorders>
              <w:top w:val="single" w:color="000000" w:sz="6"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污染途径</w:t>
            </w:r>
          </w:p>
        </w:tc>
        <w:tc>
          <w:tcPr>
            <w:tcW w:w="1777" w:type="dxa"/>
            <w:tcBorders>
              <w:top w:val="single" w:color="000000" w:sz="6"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全部污染物指标</w:t>
            </w:r>
            <w:r>
              <w:rPr>
                <w:rFonts w:hint="default" w:eastAsia="宋体"/>
                <w:color w:val="auto"/>
                <w:kern w:val="0"/>
                <w:position w:val="6"/>
                <w:szCs w:val="21"/>
              </w:rPr>
              <w:t>a</w:t>
            </w:r>
          </w:p>
        </w:tc>
        <w:tc>
          <w:tcPr>
            <w:tcW w:w="1293" w:type="dxa"/>
            <w:tcBorders>
              <w:top w:val="single" w:color="000000" w:sz="6"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特征因子</w:t>
            </w:r>
          </w:p>
        </w:tc>
        <w:tc>
          <w:tcPr>
            <w:tcW w:w="993" w:type="dxa"/>
            <w:tcBorders>
              <w:top w:val="single" w:color="000000" w:sz="6" w:space="0"/>
              <w:left w:val="single" w:color="000000" w:sz="4" w:space="0"/>
              <w:bottom w:val="single" w:color="000000" w:sz="6"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备注</w:t>
            </w:r>
            <w:r>
              <w:rPr>
                <w:rFonts w:hint="default" w:eastAsia="宋体"/>
                <w:color w:val="auto"/>
                <w:kern w:val="0"/>
                <w:position w:val="6"/>
                <w:szCs w:val="21"/>
              </w:rPr>
              <w:t>b</w:t>
            </w:r>
          </w:p>
        </w:tc>
      </w:tr>
      <w:tr>
        <w:tblPrEx>
          <w:tblCellMar>
            <w:top w:w="0" w:type="dxa"/>
            <w:left w:w="0" w:type="dxa"/>
            <w:bottom w:w="0" w:type="dxa"/>
            <w:right w:w="0" w:type="dxa"/>
          </w:tblCellMar>
        </w:tblPrEx>
        <w:trPr>
          <w:trHeight w:val="340" w:hRule="atLeast"/>
        </w:trPr>
        <w:tc>
          <w:tcPr>
            <w:tcW w:w="1523" w:type="dxa"/>
            <w:vMerge w:val="restart"/>
            <w:tcBorders>
              <w:top w:val="single" w:color="000000" w:sz="6" w:space="0"/>
              <w:left w:val="single" w:color="000000" w:sz="6" w:space="0"/>
              <w:bottom w:val="single" w:color="000000" w:sz="4" w:space="0"/>
              <w:right w:val="single" w:color="000000" w:sz="4" w:space="0"/>
            </w:tcBorders>
            <w:noWrap w:val="0"/>
            <w:vAlign w:val="center"/>
          </w:tcPr>
          <w:p>
            <w:pPr>
              <w:pStyle w:val="81"/>
              <w:keepNext w:val="0"/>
              <w:keepLines w:val="0"/>
              <w:suppressLineNumbers w:val="0"/>
              <w:spacing w:before="0" w:beforeAutospacing="0" w:after="0" w:afterAutospacing="0" w:line="240" w:lineRule="auto"/>
              <w:ind w:left="0" w:right="0"/>
              <w:rPr>
                <w:rFonts w:hint="default" w:eastAsia="宋体"/>
                <w:color w:val="auto"/>
                <w:lang w:val="en-US" w:eastAsia="zh-CN"/>
              </w:rPr>
            </w:pPr>
            <w:r>
              <w:rPr>
                <w:rFonts w:hint="default" w:eastAsia="宋体"/>
                <w:color w:val="auto"/>
                <w:lang w:val="en-US" w:eastAsia="zh-CN"/>
              </w:rPr>
              <w:t>柴油罐、井场</w:t>
            </w:r>
          </w:p>
        </w:tc>
        <w:tc>
          <w:tcPr>
            <w:tcW w:w="1732" w:type="dxa"/>
            <w:vMerge w:val="restart"/>
            <w:tcBorders>
              <w:top w:val="single" w:color="000000" w:sz="6" w:space="0"/>
              <w:left w:val="single" w:color="000000" w:sz="4" w:space="0"/>
              <w:bottom w:val="single" w:color="000000" w:sz="4" w:space="0"/>
              <w:right w:val="single" w:color="000000" w:sz="4" w:space="0"/>
            </w:tcBorders>
            <w:noWrap w:val="0"/>
            <w:vAlign w:val="center"/>
          </w:tcPr>
          <w:p>
            <w:pPr>
              <w:pStyle w:val="81"/>
              <w:keepNext w:val="0"/>
              <w:keepLines w:val="0"/>
              <w:suppressLineNumbers w:val="0"/>
              <w:spacing w:before="0" w:beforeAutospacing="0" w:after="0" w:afterAutospacing="0" w:line="240" w:lineRule="auto"/>
              <w:ind w:left="0" w:right="0"/>
              <w:rPr>
                <w:rFonts w:hint="default" w:eastAsia="宋体"/>
                <w:color w:val="auto"/>
                <w:lang w:val="en-US" w:eastAsia="zh-CN"/>
              </w:rPr>
            </w:pPr>
            <w:r>
              <w:rPr>
                <w:rFonts w:hint="default" w:eastAsia="宋体"/>
                <w:color w:val="auto"/>
                <w:lang w:val="en-US" w:eastAsia="zh-CN"/>
              </w:rPr>
              <w:t>钻井</w:t>
            </w:r>
          </w:p>
        </w:tc>
        <w:tc>
          <w:tcPr>
            <w:tcW w:w="1764"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大气沉降</w:t>
            </w:r>
          </w:p>
        </w:tc>
        <w:tc>
          <w:tcPr>
            <w:tcW w:w="1777"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eastAsia" w:eastAsia="宋体"/>
                <w:color w:val="auto"/>
                <w:kern w:val="0"/>
                <w:szCs w:val="21"/>
              </w:rPr>
              <w:t>/</w:t>
            </w:r>
          </w:p>
        </w:tc>
        <w:tc>
          <w:tcPr>
            <w:tcW w:w="1293"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kern w:val="0"/>
                <w:szCs w:val="21"/>
              </w:rPr>
              <w:t>/</w:t>
            </w:r>
          </w:p>
        </w:tc>
        <w:tc>
          <w:tcPr>
            <w:tcW w:w="993" w:type="dxa"/>
            <w:tcBorders>
              <w:top w:val="single" w:color="000000" w:sz="6" w:space="0"/>
              <w:left w:val="single" w:color="000000" w:sz="4" w:space="0"/>
              <w:bottom w:val="single" w:color="000000" w:sz="4" w:space="0"/>
              <w:right w:val="single" w:color="000000" w:sz="6"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kern w:val="0"/>
                <w:szCs w:val="21"/>
              </w:rPr>
              <w:t>/</w:t>
            </w:r>
          </w:p>
        </w:tc>
      </w:tr>
      <w:tr>
        <w:tblPrEx>
          <w:tblCellMar>
            <w:top w:w="0" w:type="dxa"/>
            <w:left w:w="0" w:type="dxa"/>
            <w:bottom w:w="0" w:type="dxa"/>
            <w:right w:w="0" w:type="dxa"/>
          </w:tblCellMar>
        </w:tblPrEx>
        <w:trPr>
          <w:trHeight w:val="340" w:hRule="atLeast"/>
        </w:trPr>
        <w:tc>
          <w:tcPr>
            <w:tcW w:w="1523" w:type="dxa"/>
            <w:vMerge w:val="continue"/>
            <w:tcBorders>
              <w:top w:val="single" w:color="000000" w:sz="6" w:space="0"/>
              <w:left w:val="single" w:color="000000" w:sz="6"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p>
        </w:tc>
        <w:tc>
          <w:tcPr>
            <w:tcW w:w="1732" w:type="dxa"/>
            <w:vMerge w:val="continue"/>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地面漫流</w:t>
            </w:r>
          </w:p>
        </w:tc>
        <w:tc>
          <w:tcPr>
            <w:tcW w:w="1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kern w:val="0"/>
                <w:szCs w:val="21"/>
              </w:rPr>
              <w:t>/</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kern w:val="0"/>
                <w:szCs w:val="21"/>
              </w:rPr>
              <w:t>/</w:t>
            </w:r>
          </w:p>
        </w:tc>
        <w:tc>
          <w:tcPr>
            <w:tcW w:w="993"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kern w:val="0"/>
                <w:szCs w:val="21"/>
              </w:rPr>
              <w:t>/</w:t>
            </w:r>
          </w:p>
        </w:tc>
      </w:tr>
      <w:tr>
        <w:tblPrEx>
          <w:tblCellMar>
            <w:top w:w="0" w:type="dxa"/>
            <w:left w:w="0" w:type="dxa"/>
            <w:bottom w:w="0" w:type="dxa"/>
            <w:right w:w="0" w:type="dxa"/>
          </w:tblCellMar>
        </w:tblPrEx>
        <w:trPr>
          <w:trHeight w:val="340" w:hRule="atLeast"/>
        </w:trPr>
        <w:tc>
          <w:tcPr>
            <w:tcW w:w="1523" w:type="dxa"/>
            <w:vMerge w:val="continue"/>
            <w:tcBorders>
              <w:top w:val="single" w:color="000000" w:sz="6" w:space="0"/>
              <w:left w:val="single" w:color="000000" w:sz="6"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p>
        </w:tc>
        <w:tc>
          <w:tcPr>
            <w:tcW w:w="1732" w:type="dxa"/>
            <w:vMerge w:val="continue"/>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垂直入渗</w:t>
            </w:r>
          </w:p>
        </w:tc>
        <w:tc>
          <w:tcPr>
            <w:tcW w:w="1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石油烃</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石油烃</w:t>
            </w:r>
          </w:p>
        </w:tc>
        <w:tc>
          <w:tcPr>
            <w:tcW w:w="993"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事故</w:t>
            </w:r>
          </w:p>
        </w:tc>
      </w:tr>
      <w:tr>
        <w:tblPrEx>
          <w:tblCellMar>
            <w:top w:w="0" w:type="dxa"/>
            <w:left w:w="0" w:type="dxa"/>
            <w:bottom w:w="0" w:type="dxa"/>
            <w:right w:w="0" w:type="dxa"/>
          </w:tblCellMar>
        </w:tblPrEx>
        <w:trPr>
          <w:trHeight w:val="340" w:hRule="atLeast"/>
        </w:trPr>
        <w:tc>
          <w:tcPr>
            <w:tcW w:w="1523" w:type="dxa"/>
            <w:vMerge w:val="continue"/>
            <w:tcBorders>
              <w:top w:val="single" w:color="000000" w:sz="6" w:space="0"/>
              <w:left w:val="single" w:color="000000" w:sz="6"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p>
        </w:tc>
        <w:tc>
          <w:tcPr>
            <w:tcW w:w="1732" w:type="dxa"/>
            <w:vMerge w:val="continue"/>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eastAsia="宋体"/>
                <w:color w:val="auto"/>
                <w:kern w:val="0"/>
                <w:szCs w:val="21"/>
              </w:rPr>
            </w:pPr>
          </w:p>
        </w:tc>
        <w:tc>
          <w:tcPr>
            <w:tcW w:w="17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其他</w:t>
            </w:r>
          </w:p>
        </w:tc>
        <w:tc>
          <w:tcPr>
            <w:tcW w:w="1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kern w:val="0"/>
                <w:szCs w:val="21"/>
              </w:rPr>
              <w:t>/</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kern w:val="0"/>
                <w:szCs w:val="21"/>
              </w:rPr>
              <w:t>/</w:t>
            </w:r>
          </w:p>
        </w:tc>
        <w:tc>
          <w:tcPr>
            <w:tcW w:w="993"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kern w:val="0"/>
                <w:szCs w:val="21"/>
              </w:rPr>
              <w:t>/</w:t>
            </w:r>
          </w:p>
        </w:tc>
      </w:tr>
    </w:tbl>
    <w:p>
      <w:pPr>
        <w:pStyle w:val="6"/>
        <w:snapToGrid w:val="0"/>
        <w:spacing w:before="159" w:beforeLines="50" w:after="159" w:afterLines="50" w:line="500" w:lineRule="exact"/>
        <w:rPr>
          <w:rFonts w:ascii="Times New Roman" w:hAnsi="Times New Roman" w:eastAsia="宋体"/>
          <w:b w:val="0"/>
          <w:bCs w:val="0"/>
          <w:snapToGrid w:val="0"/>
          <w:color w:val="auto"/>
        </w:rPr>
      </w:pPr>
      <w:r>
        <w:rPr>
          <w:rFonts w:ascii="Times New Roman" w:hAnsi="Times New Roman" w:eastAsia="宋体"/>
          <w:b w:val="0"/>
          <w:bCs w:val="0"/>
          <w:snapToGrid w:val="0"/>
          <w:color w:val="auto"/>
        </w:rPr>
        <w:t>评价等级</w:t>
      </w:r>
    </w:p>
    <w:p>
      <w:pPr>
        <w:spacing w:line="480" w:lineRule="exact"/>
        <w:ind w:firstLine="437"/>
        <w:rPr>
          <w:color w:val="auto"/>
          <w:sz w:val="28"/>
          <w:szCs w:val="28"/>
        </w:rPr>
      </w:pPr>
      <w:r>
        <w:rPr>
          <w:color w:val="auto"/>
          <w:sz w:val="28"/>
          <w:szCs w:val="28"/>
        </w:rPr>
        <w:t>（1）占地规模</w:t>
      </w:r>
    </w:p>
    <w:p>
      <w:pPr>
        <w:spacing w:line="480" w:lineRule="exact"/>
        <w:ind w:firstLine="560" w:firstLineChars="200"/>
        <w:rPr>
          <w:color w:val="auto"/>
          <w:sz w:val="28"/>
          <w:szCs w:val="28"/>
        </w:rPr>
      </w:pPr>
      <w:r>
        <w:rPr>
          <w:color w:val="auto"/>
          <w:sz w:val="28"/>
          <w:szCs w:val="28"/>
        </w:rPr>
        <w:t>根据《环境影响评价技术导则-土壤环境（试行）》（HJ964-2018）：将建设项目占地规模分为大型（≥50hm</w:t>
      </w:r>
      <w:r>
        <w:rPr>
          <w:color w:val="auto"/>
          <w:sz w:val="28"/>
          <w:szCs w:val="28"/>
          <w:vertAlign w:val="superscript"/>
        </w:rPr>
        <w:t>2</w:t>
      </w:r>
      <w:r>
        <w:rPr>
          <w:color w:val="auto"/>
          <w:sz w:val="28"/>
          <w:szCs w:val="28"/>
        </w:rPr>
        <w:t>）、中型（5~50hm</w:t>
      </w:r>
      <w:r>
        <w:rPr>
          <w:color w:val="auto"/>
          <w:sz w:val="28"/>
          <w:szCs w:val="28"/>
          <w:vertAlign w:val="superscript"/>
        </w:rPr>
        <w:t>2</w:t>
      </w:r>
      <w:r>
        <w:rPr>
          <w:color w:val="auto"/>
          <w:sz w:val="28"/>
          <w:szCs w:val="28"/>
        </w:rPr>
        <w:t>）、小型（≤5hm</w:t>
      </w:r>
      <w:r>
        <w:rPr>
          <w:color w:val="auto"/>
          <w:sz w:val="28"/>
          <w:szCs w:val="28"/>
          <w:vertAlign w:val="superscript"/>
        </w:rPr>
        <w:t>2</w:t>
      </w:r>
      <w:r>
        <w:rPr>
          <w:color w:val="auto"/>
          <w:sz w:val="28"/>
          <w:szCs w:val="28"/>
        </w:rPr>
        <w:t>），建设项目占地主要为永久占地。本工程永久占地规模为</w:t>
      </w:r>
      <w:r>
        <w:rPr>
          <w:rFonts w:hint="eastAsia"/>
          <w:color w:val="auto"/>
          <w:sz w:val="28"/>
          <w:szCs w:val="28"/>
          <w:lang w:val="en-US" w:eastAsia="zh-CN"/>
        </w:rPr>
        <w:t xml:space="preserve">1.6 </w:t>
      </w:r>
      <w:r>
        <w:rPr>
          <w:color w:val="auto"/>
          <w:sz w:val="28"/>
          <w:szCs w:val="28"/>
        </w:rPr>
        <w:t>hm</w:t>
      </w:r>
      <w:r>
        <w:rPr>
          <w:color w:val="auto"/>
          <w:sz w:val="28"/>
          <w:szCs w:val="28"/>
          <w:vertAlign w:val="superscript"/>
        </w:rPr>
        <w:t>2</w:t>
      </w:r>
      <w:r>
        <w:rPr>
          <w:color w:val="auto"/>
          <w:sz w:val="28"/>
          <w:szCs w:val="28"/>
        </w:rPr>
        <w:t>，占地规模属于</w:t>
      </w:r>
      <w:r>
        <w:rPr>
          <w:rFonts w:hint="eastAsia"/>
          <w:color w:val="auto"/>
          <w:sz w:val="28"/>
          <w:szCs w:val="28"/>
          <w:lang w:eastAsia="zh-CN"/>
        </w:rPr>
        <w:t>小</w:t>
      </w:r>
      <w:r>
        <w:rPr>
          <w:color w:val="auto"/>
          <w:sz w:val="28"/>
          <w:szCs w:val="28"/>
        </w:rPr>
        <w:t>型。</w:t>
      </w:r>
    </w:p>
    <w:p>
      <w:pPr>
        <w:spacing w:line="480" w:lineRule="exact"/>
        <w:ind w:firstLine="437"/>
        <w:rPr>
          <w:color w:val="auto"/>
          <w:sz w:val="28"/>
          <w:szCs w:val="28"/>
        </w:rPr>
      </w:pPr>
      <w:r>
        <w:rPr>
          <w:color w:val="auto"/>
          <w:sz w:val="28"/>
          <w:szCs w:val="28"/>
        </w:rPr>
        <w:t>（2）环境敏感程度划分</w:t>
      </w:r>
    </w:p>
    <w:p>
      <w:pPr>
        <w:spacing w:line="480" w:lineRule="exact"/>
        <w:ind w:firstLine="560" w:firstLineChars="200"/>
        <w:rPr>
          <w:color w:val="auto"/>
          <w:sz w:val="28"/>
          <w:szCs w:val="28"/>
        </w:rPr>
      </w:pPr>
      <w:r>
        <w:rPr>
          <w:color w:val="auto"/>
          <w:sz w:val="28"/>
          <w:szCs w:val="28"/>
        </w:rPr>
        <w:t>建设项目所在地土壤环境敏感程度判别依据见表2.</w:t>
      </w:r>
      <w:r>
        <w:rPr>
          <w:rFonts w:hint="eastAsia"/>
          <w:color w:val="auto"/>
          <w:sz w:val="28"/>
          <w:szCs w:val="28"/>
          <w:lang w:val="en-US" w:eastAsia="zh-CN"/>
        </w:rPr>
        <w:t>6-6</w:t>
      </w:r>
      <w:r>
        <w:rPr>
          <w:color w:val="auto"/>
          <w:sz w:val="28"/>
          <w:szCs w:val="28"/>
        </w:rPr>
        <w:t>。由于本项目</w:t>
      </w:r>
      <w:r>
        <w:rPr>
          <w:rFonts w:hint="eastAsia"/>
          <w:color w:val="auto"/>
          <w:sz w:val="28"/>
          <w:szCs w:val="28"/>
        </w:rPr>
        <w:t>所在区域分布的草地均为</w:t>
      </w:r>
      <w:r>
        <w:rPr>
          <w:rFonts w:hint="eastAsia"/>
          <w:color w:val="auto"/>
          <w:sz w:val="28"/>
          <w:szCs w:val="28"/>
          <w:lang w:eastAsia="zh-CN"/>
        </w:rPr>
        <w:t>一般草地</w:t>
      </w:r>
      <w:r>
        <w:rPr>
          <w:rFonts w:hint="eastAsia"/>
          <w:color w:val="auto"/>
          <w:sz w:val="28"/>
          <w:szCs w:val="28"/>
        </w:rPr>
        <w:t>，耕地均为基本农田，本工程临时占用基本农田</w:t>
      </w:r>
      <w:r>
        <w:rPr>
          <w:rFonts w:hint="eastAsia"/>
          <w:color w:val="auto"/>
          <w:sz w:val="28"/>
          <w:szCs w:val="28"/>
          <w:lang w:val="en-US" w:eastAsia="zh-CN"/>
        </w:rPr>
        <w:t>10.995</w:t>
      </w:r>
      <w:r>
        <w:rPr>
          <w:rFonts w:hint="eastAsia"/>
          <w:color w:val="auto"/>
          <w:sz w:val="28"/>
          <w:szCs w:val="28"/>
        </w:rPr>
        <w:t>hm</w:t>
      </w:r>
      <w:r>
        <w:rPr>
          <w:rFonts w:hint="eastAsia"/>
          <w:color w:val="auto"/>
          <w:sz w:val="28"/>
          <w:szCs w:val="28"/>
          <w:vertAlign w:val="superscript"/>
        </w:rPr>
        <w:t>2</w:t>
      </w:r>
      <w:r>
        <w:rPr>
          <w:rFonts w:hint="eastAsia"/>
          <w:color w:val="auto"/>
          <w:sz w:val="28"/>
          <w:szCs w:val="28"/>
        </w:rPr>
        <w:t>、</w:t>
      </w:r>
      <w:r>
        <w:rPr>
          <w:rFonts w:hint="eastAsia"/>
          <w:color w:val="auto"/>
          <w:sz w:val="28"/>
          <w:szCs w:val="28"/>
          <w:lang w:eastAsia="zh-CN"/>
        </w:rPr>
        <w:t>一般</w:t>
      </w:r>
      <w:r>
        <w:rPr>
          <w:rFonts w:hint="eastAsia"/>
          <w:color w:val="auto"/>
          <w:sz w:val="28"/>
          <w:szCs w:val="28"/>
        </w:rPr>
        <w:t>草</w:t>
      </w:r>
      <w:r>
        <w:rPr>
          <w:rFonts w:hint="eastAsia"/>
          <w:color w:val="auto"/>
          <w:sz w:val="28"/>
          <w:szCs w:val="28"/>
          <w:lang w:eastAsia="zh-CN"/>
        </w:rPr>
        <w:t>地</w:t>
      </w:r>
      <w:r>
        <w:rPr>
          <w:rFonts w:hint="eastAsia"/>
          <w:color w:val="auto"/>
          <w:sz w:val="28"/>
          <w:szCs w:val="28"/>
          <w:lang w:val="en-US" w:eastAsia="zh-CN"/>
        </w:rPr>
        <w:t>0.845</w:t>
      </w:r>
      <w:r>
        <w:rPr>
          <w:rFonts w:hint="eastAsia"/>
          <w:color w:val="auto"/>
          <w:sz w:val="28"/>
          <w:szCs w:val="28"/>
        </w:rPr>
        <w:t>hm</w:t>
      </w:r>
      <w:r>
        <w:rPr>
          <w:rFonts w:hint="eastAsia"/>
          <w:color w:val="auto"/>
          <w:sz w:val="28"/>
          <w:szCs w:val="28"/>
          <w:vertAlign w:val="superscript"/>
        </w:rPr>
        <w:t>2</w:t>
      </w:r>
      <w:r>
        <w:rPr>
          <w:rFonts w:hint="eastAsia"/>
          <w:color w:val="auto"/>
          <w:sz w:val="28"/>
          <w:szCs w:val="28"/>
        </w:rPr>
        <w:t>，永久占用基本农田</w:t>
      </w:r>
      <w:r>
        <w:rPr>
          <w:rFonts w:hint="eastAsia"/>
          <w:color w:val="auto"/>
          <w:sz w:val="28"/>
          <w:szCs w:val="28"/>
          <w:lang w:val="en-US" w:eastAsia="zh-CN"/>
        </w:rPr>
        <w:t>1.6</w:t>
      </w:r>
      <w:r>
        <w:rPr>
          <w:rFonts w:hint="eastAsia"/>
          <w:color w:val="auto"/>
          <w:sz w:val="28"/>
          <w:szCs w:val="28"/>
        </w:rPr>
        <w:t>hm</w:t>
      </w:r>
      <w:r>
        <w:rPr>
          <w:rFonts w:hint="eastAsia"/>
          <w:color w:val="auto"/>
          <w:sz w:val="28"/>
          <w:szCs w:val="28"/>
          <w:vertAlign w:val="superscript"/>
        </w:rPr>
        <w:t>2</w:t>
      </w:r>
      <w:r>
        <w:rPr>
          <w:rFonts w:hint="eastAsia"/>
          <w:color w:val="auto"/>
          <w:sz w:val="28"/>
          <w:szCs w:val="28"/>
        </w:rPr>
        <w:t>，因此</w:t>
      </w:r>
      <w:r>
        <w:rPr>
          <w:color w:val="auto"/>
          <w:sz w:val="28"/>
          <w:szCs w:val="28"/>
        </w:rPr>
        <w:t>本项目所在地土壤环境敏感程度为敏感。</w:t>
      </w:r>
    </w:p>
    <w:p>
      <w:pPr>
        <w:pStyle w:val="7"/>
        <w:bidi w:val="0"/>
        <w:rPr>
          <w:color w:val="auto"/>
        </w:rPr>
      </w:pPr>
      <w:r>
        <w:rPr>
          <w:color w:val="auto"/>
        </w:rPr>
        <w:t>污染影响型敏感程度分级表</w:t>
      </w:r>
    </w:p>
    <w:tbl>
      <w:tblPr>
        <w:tblStyle w:val="34"/>
        <w:tblW w:w="0" w:type="auto"/>
        <w:jc w:val="center"/>
        <w:tblLayout w:type="fixed"/>
        <w:tblCellMar>
          <w:top w:w="0" w:type="dxa"/>
          <w:left w:w="0" w:type="dxa"/>
          <w:bottom w:w="0" w:type="dxa"/>
          <w:right w:w="0" w:type="dxa"/>
        </w:tblCellMar>
      </w:tblPr>
      <w:tblGrid>
        <w:gridCol w:w="1697"/>
        <w:gridCol w:w="7385"/>
      </w:tblGrid>
      <w:tr>
        <w:tblPrEx>
          <w:tblCellMar>
            <w:top w:w="0" w:type="dxa"/>
            <w:left w:w="0" w:type="dxa"/>
            <w:bottom w:w="0" w:type="dxa"/>
            <w:right w:w="0" w:type="dxa"/>
          </w:tblCellMar>
        </w:tblPrEx>
        <w:trPr>
          <w:trHeight w:val="340" w:hRule="atLeast"/>
          <w:jc w:val="center"/>
        </w:trPr>
        <w:tc>
          <w:tcPr>
            <w:tcW w:w="1697" w:type="dxa"/>
            <w:tcBorders>
              <w:top w:val="single" w:color="000000" w:sz="6" w:space="0"/>
              <w:left w:val="single" w:color="000000" w:sz="6"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敏感程度</w:t>
            </w:r>
          </w:p>
        </w:tc>
        <w:tc>
          <w:tcPr>
            <w:tcW w:w="7385" w:type="dxa"/>
            <w:tcBorders>
              <w:top w:val="single" w:color="000000" w:sz="6" w:space="0"/>
              <w:left w:val="single" w:color="000000" w:sz="4" w:space="0"/>
              <w:bottom w:val="single" w:color="000000" w:sz="6"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判别依据</w:t>
            </w:r>
          </w:p>
        </w:tc>
      </w:tr>
      <w:tr>
        <w:tblPrEx>
          <w:tblCellMar>
            <w:top w:w="0" w:type="dxa"/>
            <w:left w:w="0" w:type="dxa"/>
            <w:bottom w:w="0" w:type="dxa"/>
            <w:right w:w="0" w:type="dxa"/>
          </w:tblCellMar>
        </w:tblPrEx>
        <w:trPr>
          <w:trHeight w:val="340" w:hRule="atLeast"/>
          <w:jc w:val="center"/>
        </w:trPr>
        <w:tc>
          <w:tcPr>
            <w:tcW w:w="1697" w:type="dxa"/>
            <w:tcBorders>
              <w:top w:val="single" w:color="000000" w:sz="6"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敏感</w:t>
            </w:r>
          </w:p>
        </w:tc>
        <w:tc>
          <w:tcPr>
            <w:tcW w:w="7385" w:type="dxa"/>
            <w:tcBorders>
              <w:top w:val="single" w:color="000000" w:sz="6"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建设项目周边存在耕地</w:t>
            </w:r>
            <w:r>
              <w:rPr>
                <w:rFonts w:hint="default" w:eastAsia="宋体"/>
                <w:color w:val="auto"/>
                <w:spacing w:val="-8"/>
                <w:kern w:val="0"/>
                <w:szCs w:val="21"/>
              </w:rPr>
              <w:t>、</w:t>
            </w:r>
            <w:r>
              <w:rPr>
                <w:rFonts w:hint="default" w:eastAsia="宋体"/>
                <w:color w:val="auto"/>
                <w:kern w:val="0"/>
                <w:szCs w:val="21"/>
              </w:rPr>
              <w:t>园地</w:t>
            </w:r>
            <w:r>
              <w:rPr>
                <w:rFonts w:hint="default" w:eastAsia="宋体"/>
                <w:color w:val="auto"/>
                <w:spacing w:val="-8"/>
                <w:kern w:val="0"/>
                <w:szCs w:val="21"/>
              </w:rPr>
              <w:t>、</w:t>
            </w:r>
            <w:r>
              <w:rPr>
                <w:rFonts w:hint="default" w:eastAsia="宋体"/>
                <w:color w:val="auto"/>
                <w:kern w:val="0"/>
                <w:szCs w:val="21"/>
              </w:rPr>
              <w:t>牧草地</w:t>
            </w:r>
            <w:r>
              <w:rPr>
                <w:rFonts w:hint="default" w:eastAsia="宋体"/>
                <w:color w:val="auto"/>
                <w:spacing w:val="-8"/>
                <w:kern w:val="0"/>
                <w:szCs w:val="21"/>
              </w:rPr>
              <w:t>、</w:t>
            </w:r>
            <w:r>
              <w:rPr>
                <w:rFonts w:hint="default" w:eastAsia="宋体"/>
                <w:color w:val="auto"/>
                <w:kern w:val="0"/>
                <w:szCs w:val="21"/>
              </w:rPr>
              <w:t>饮用水水源地或居民区</w:t>
            </w:r>
            <w:r>
              <w:rPr>
                <w:rFonts w:hint="default" w:eastAsia="宋体"/>
                <w:color w:val="auto"/>
                <w:spacing w:val="-5"/>
                <w:kern w:val="0"/>
                <w:szCs w:val="21"/>
              </w:rPr>
              <w:t>、</w:t>
            </w:r>
            <w:r>
              <w:rPr>
                <w:rFonts w:hint="default" w:eastAsia="宋体"/>
                <w:color w:val="auto"/>
                <w:kern w:val="0"/>
                <w:szCs w:val="21"/>
              </w:rPr>
              <w:t>学校</w:t>
            </w:r>
            <w:r>
              <w:rPr>
                <w:rFonts w:hint="default" w:eastAsia="宋体"/>
                <w:color w:val="auto"/>
                <w:spacing w:val="-8"/>
                <w:kern w:val="0"/>
                <w:szCs w:val="21"/>
              </w:rPr>
              <w:t>、</w:t>
            </w:r>
            <w:r>
              <w:rPr>
                <w:rFonts w:hint="default" w:eastAsia="宋体"/>
                <w:color w:val="auto"/>
                <w:kern w:val="0"/>
                <w:szCs w:val="21"/>
              </w:rPr>
              <w:t>医院</w:t>
            </w:r>
            <w:r>
              <w:rPr>
                <w:rFonts w:hint="default" w:eastAsia="宋体"/>
                <w:color w:val="auto"/>
                <w:spacing w:val="-8"/>
                <w:kern w:val="0"/>
                <w:szCs w:val="21"/>
              </w:rPr>
              <w:t>、</w:t>
            </w:r>
            <w:r>
              <w:rPr>
                <w:rFonts w:hint="default" w:eastAsia="宋体"/>
                <w:color w:val="auto"/>
                <w:kern w:val="0"/>
                <w:szCs w:val="21"/>
              </w:rPr>
              <w:t>疗养院</w:t>
            </w:r>
            <w:r>
              <w:rPr>
                <w:rFonts w:hint="default" w:eastAsia="宋体"/>
                <w:color w:val="auto"/>
                <w:spacing w:val="-5"/>
                <w:kern w:val="0"/>
                <w:szCs w:val="21"/>
              </w:rPr>
              <w:t>、</w:t>
            </w:r>
            <w:r>
              <w:rPr>
                <w:rFonts w:hint="default" w:eastAsia="宋体"/>
                <w:color w:val="auto"/>
                <w:kern w:val="0"/>
                <w:szCs w:val="21"/>
              </w:rPr>
              <w:t>养老院等土壤环境敏感目标的</w:t>
            </w:r>
          </w:p>
        </w:tc>
      </w:tr>
      <w:tr>
        <w:tblPrEx>
          <w:tblCellMar>
            <w:top w:w="0" w:type="dxa"/>
            <w:left w:w="0" w:type="dxa"/>
            <w:bottom w:w="0" w:type="dxa"/>
            <w:right w:w="0" w:type="dxa"/>
          </w:tblCellMar>
        </w:tblPrEx>
        <w:trPr>
          <w:trHeight w:val="340" w:hRule="atLeast"/>
          <w:jc w:val="center"/>
        </w:trPr>
        <w:tc>
          <w:tcPr>
            <w:tcW w:w="1697"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较敏感</w:t>
            </w:r>
          </w:p>
        </w:tc>
        <w:tc>
          <w:tcPr>
            <w:tcW w:w="7385"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建设项目周边存在其他土壤环境敏感目标的</w:t>
            </w:r>
          </w:p>
        </w:tc>
      </w:tr>
      <w:tr>
        <w:tblPrEx>
          <w:tblCellMar>
            <w:top w:w="0" w:type="dxa"/>
            <w:left w:w="0" w:type="dxa"/>
            <w:bottom w:w="0" w:type="dxa"/>
            <w:right w:w="0" w:type="dxa"/>
          </w:tblCellMar>
        </w:tblPrEx>
        <w:trPr>
          <w:trHeight w:val="340" w:hRule="atLeast"/>
          <w:jc w:val="center"/>
        </w:trPr>
        <w:tc>
          <w:tcPr>
            <w:tcW w:w="1697" w:type="dxa"/>
            <w:tcBorders>
              <w:top w:val="single" w:color="000000" w:sz="4" w:space="0"/>
              <w:left w:val="single" w:color="000000" w:sz="6"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不敏感</w:t>
            </w:r>
          </w:p>
        </w:tc>
        <w:tc>
          <w:tcPr>
            <w:tcW w:w="7385" w:type="dxa"/>
            <w:tcBorders>
              <w:top w:val="single" w:color="000000" w:sz="4" w:space="0"/>
              <w:left w:val="single" w:color="000000" w:sz="4" w:space="0"/>
              <w:bottom w:val="single" w:color="000000" w:sz="6"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ind w:left="0" w:right="0"/>
              <w:jc w:val="center"/>
              <w:rPr>
                <w:rFonts w:hint="default" w:eastAsia="宋体"/>
                <w:color w:val="auto"/>
                <w:kern w:val="0"/>
                <w:szCs w:val="21"/>
              </w:rPr>
            </w:pPr>
            <w:r>
              <w:rPr>
                <w:rFonts w:hint="default" w:eastAsia="宋体"/>
                <w:color w:val="auto"/>
                <w:kern w:val="0"/>
                <w:szCs w:val="21"/>
              </w:rPr>
              <w:t>其他情况</w:t>
            </w:r>
          </w:p>
        </w:tc>
      </w:tr>
    </w:tbl>
    <w:p>
      <w:pPr>
        <w:spacing w:line="480" w:lineRule="exact"/>
        <w:ind w:firstLine="437"/>
        <w:rPr>
          <w:color w:val="auto"/>
          <w:sz w:val="28"/>
          <w:szCs w:val="28"/>
        </w:rPr>
      </w:pPr>
      <w:r>
        <w:rPr>
          <w:color w:val="auto"/>
          <w:sz w:val="28"/>
          <w:szCs w:val="28"/>
        </w:rPr>
        <w:t>（3）评价等级的确定</w:t>
      </w:r>
    </w:p>
    <w:p>
      <w:pPr>
        <w:spacing w:line="480" w:lineRule="exact"/>
        <w:ind w:firstLine="560" w:firstLineChars="200"/>
        <w:rPr>
          <w:rFonts w:hint="eastAsia"/>
          <w:color w:val="auto"/>
          <w:sz w:val="28"/>
          <w:szCs w:val="28"/>
        </w:rPr>
      </w:pPr>
      <w:r>
        <w:rPr>
          <w:color w:val="auto"/>
          <w:sz w:val="28"/>
          <w:szCs w:val="28"/>
        </w:rPr>
        <w:t>根据《环境影响评价技术导则-土壤环境（试行）》（HJ964-2018）中关于评价等级的规定，本项目污染影响型评价等级划分见表2.</w:t>
      </w:r>
      <w:r>
        <w:rPr>
          <w:rFonts w:hint="eastAsia"/>
          <w:color w:val="auto"/>
          <w:sz w:val="28"/>
          <w:szCs w:val="28"/>
          <w:lang w:val="en-US" w:eastAsia="zh-CN"/>
        </w:rPr>
        <w:t>6</w:t>
      </w:r>
      <w:r>
        <w:rPr>
          <w:color w:val="auto"/>
          <w:sz w:val="28"/>
          <w:szCs w:val="28"/>
        </w:rPr>
        <w:t>-</w:t>
      </w:r>
      <w:r>
        <w:rPr>
          <w:rFonts w:hint="eastAsia"/>
          <w:color w:val="auto"/>
          <w:sz w:val="28"/>
          <w:szCs w:val="28"/>
          <w:lang w:val="en-US" w:eastAsia="zh-CN"/>
        </w:rPr>
        <w:t>7</w:t>
      </w:r>
      <w:r>
        <w:rPr>
          <w:color w:val="auto"/>
          <w:sz w:val="28"/>
          <w:szCs w:val="28"/>
        </w:rPr>
        <w:t>。</w:t>
      </w:r>
      <w:r>
        <w:rPr>
          <w:rFonts w:hAnsi="宋体"/>
          <w:color w:val="auto"/>
          <w:sz w:val="28"/>
          <w:szCs w:val="28"/>
        </w:rPr>
        <w:t>本项目为</w:t>
      </w:r>
      <w:r>
        <w:rPr>
          <w:color w:val="auto"/>
          <w:sz w:val="28"/>
          <w:szCs w:val="28"/>
        </w:rPr>
        <w:t>II</w:t>
      </w:r>
      <w:r>
        <w:rPr>
          <w:rFonts w:hAnsi="宋体"/>
          <w:color w:val="auto"/>
          <w:sz w:val="28"/>
          <w:szCs w:val="28"/>
        </w:rPr>
        <w:t>类</w:t>
      </w:r>
      <w:r>
        <w:rPr>
          <w:rFonts w:hint="eastAsia" w:hAnsi="宋体"/>
          <w:color w:val="auto"/>
          <w:sz w:val="28"/>
          <w:szCs w:val="28"/>
        </w:rPr>
        <w:t>小</w:t>
      </w:r>
      <w:r>
        <w:rPr>
          <w:rFonts w:hAnsi="宋体"/>
          <w:color w:val="auto"/>
          <w:sz w:val="28"/>
          <w:szCs w:val="28"/>
        </w:rPr>
        <w:t>型占地项目，且敏感程度为敏感，所以污染影响型评价工作等级为</w:t>
      </w:r>
      <w:r>
        <w:rPr>
          <w:rFonts w:hint="eastAsia" w:hAnsi="宋体"/>
          <w:color w:val="auto"/>
          <w:sz w:val="28"/>
          <w:szCs w:val="28"/>
        </w:rPr>
        <w:t>二</w:t>
      </w:r>
      <w:r>
        <w:rPr>
          <w:rFonts w:hAnsi="宋体"/>
          <w:color w:val="auto"/>
          <w:sz w:val="28"/>
          <w:szCs w:val="28"/>
        </w:rPr>
        <w:t>级</w:t>
      </w:r>
      <w:r>
        <w:rPr>
          <w:color w:val="auto"/>
          <w:sz w:val="28"/>
          <w:szCs w:val="28"/>
        </w:rPr>
        <w:t>。</w:t>
      </w:r>
    </w:p>
    <w:p>
      <w:pPr>
        <w:pStyle w:val="7"/>
        <w:bidi w:val="0"/>
        <w:rPr>
          <w:color w:val="auto"/>
        </w:rPr>
      </w:pPr>
      <w:r>
        <w:rPr>
          <w:color w:val="auto"/>
        </w:rPr>
        <w:t>污染影响型评价工作等级划分表</w:t>
      </w:r>
    </w:p>
    <w:tbl>
      <w:tblPr>
        <w:tblStyle w:val="34"/>
        <w:tblW w:w="0" w:type="auto"/>
        <w:tblInd w:w="-11" w:type="dxa"/>
        <w:tblLayout w:type="fixed"/>
        <w:tblCellMar>
          <w:top w:w="0" w:type="dxa"/>
          <w:left w:w="0" w:type="dxa"/>
          <w:bottom w:w="0" w:type="dxa"/>
          <w:right w:w="0" w:type="dxa"/>
        </w:tblCellMar>
      </w:tblPr>
      <w:tblGrid>
        <w:gridCol w:w="2484"/>
        <w:gridCol w:w="732"/>
        <w:gridCol w:w="733"/>
        <w:gridCol w:w="734"/>
        <w:gridCol w:w="733"/>
        <w:gridCol w:w="732"/>
        <w:gridCol w:w="735"/>
        <w:gridCol w:w="732"/>
        <w:gridCol w:w="732"/>
        <w:gridCol w:w="739"/>
      </w:tblGrid>
      <w:tr>
        <w:trPr>
          <w:trHeight w:val="340" w:hRule="atLeast"/>
          <w:tblHeader/>
        </w:trPr>
        <w:tc>
          <w:tcPr>
            <w:tcW w:w="2484" w:type="dxa"/>
            <w:vMerge w:val="restart"/>
            <w:tcBorders>
              <w:top w:val="single" w:color="000000" w:sz="6" w:space="0"/>
              <w:left w:val="single" w:color="000000" w:sz="6"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320" w:lineRule="exact"/>
              <w:ind w:left="0" w:right="0"/>
              <w:jc w:val="center"/>
              <w:rPr>
                <w:rFonts w:hint="default" w:eastAsia="宋体"/>
                <w:color w:val="auto"/>
                <w:kern w:val="0"/>
                <w:szCs w:val="21"/>
              </w:rPr>
            </w:pPr>
            <w:r>
              <w:rPr>
                <w:rFonts w:hint="default" w:eastAsia="宋体"/>
                <w:color w:val="auto"/>
              </w:rPr>
              <mc:AlternateContent>
                <mc:Choice Requires="wps">
                  <w:drawing>
                    <wp:anchor distT="0" distB="0" distL="114300" distR="114300" simplePos="0" relativeHeight="251668480" behindDoc="0" locked="0" layoutInCell="1" allowOverlap="1">
                      <wp:simplePos x="0" y="0"/>
                      <wp:positionH relativeFrom="column">
                        <wp:posOffset>12700</wp:posOffset>
                      </wp:positionH>
                      <wp:positionV relativeFrom="paragraph">
                        <wp:posOffset>281305</wp:posOffset>
                      </wp:positionV>
                      <wp:extent cx="1572895" cy="298450"/>
                      <wp:effectExtent l="635" t="4445" r="7620" b="20955"/>
                      <wp:wrapNone/>
                      <wp:docPr id="47" name="直接箭头连接符 47"/>
                      <wp:cNvGraphicFramePr/>
                      <a:graphic xmlns:a="http://schemas.openxmlformats.org/drawingml/2006/main">
                        <a:graphicData uri="http://schemas.microsoft.com/office/word/2010/wordprocessingShape">
                          <wps:wsp>
                            <wps:cNvCnPr/>
                            <wps:spPr>
                              <a:xfrm flipH="1" flipV="1">
                                <a:off x="0" y="0"/>
                                <a:ext cx="1572895" cy="2984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1pt;margin-top:22.15pt;height:23.5pt;width:123.85pt;z-index:251668480;mso-width-relative:page;mso-height-relative:page;" filled="f" stroked="t" coordsize="21600,21600" o:gfxdata="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PzjirZAAAABwEAAA8AAAAAAAAA&#10;AQAgAAAAIgAAAGRycy9kb3ducmV2LnhtbFBLAQIUABQAAAAIAIdO4kC8a5L6EAIAAAcEAAAOAAAA&#10;AAAAAAEAIAAAACgBAABkcnMvZTJvRG9jLnhtbFBLBQYAAAAABgAGAFkBAACqBQAAAAA=&#10;">
                      <v:fill on="f" focussize="0,0"/>
                      <v:stroke color="#000000" joinstyle="round"/>
                      <v:imagedata o:title=""/>
                      <o:lock v:ext="edit" aspectratio="f"/>
                    </v:shape>
                  </w:pict>
                </mc:Fallback>
              </mc:AlternateContent>
            </w:r>
            <w:r>
              <w:rPr>
                <w:rFonts w:hint="default" w:eastAsia="宋体"/>
                <w:color w:val="auto"/>
                <w:spacing w:val="-20"/>
                <w:kern w:val="0"/>
                <w:szCs w:val="21"/>
              </w:rPr>
              <mc:AlternateContent>
                <mc:Choice Requires="wps">
                  <w:drawing>
                    <wp:anchor distT="0" distB="0" distL="114300" distR="114300" simplePos="0" relativeHeight="251667456" behindDoc="0" locked="0" layoutInCell="1" allowOverlap="1">
                      <wp:simplePos x="0" y="0"/>
                      <wp:positionH relativeFrom="column">
                        <wp:posOffset>853440</wp:posOffset>
                      </wp:positionH>
                      <wp:positionV relativeFrom="paragraph">
                        <wp:posOffset>5715</wp:posOffset>
                      </wp:positionV>
                      <wp:extent cx="694690" cy="594360"/>
                      <wp:effectExtent l="3175" t="3810" r="6985" b="11430"/>
                      <wp:wrapNone/>
                      <wp:docPr id="4" name="直接箭头连接符 4"/>
                      <wp:cNvGraphicFramePr/>
                      <a:graphic xmlns:a="http://schemas.openxmlformats.org/drawingml/2006/main">
                        <a:graphicData uri="http://schemas.microsoft.com/office/word/2010/wordprocessingShape">
                          <wps:wsp>
                            <wps:cNvCnPr/>
                            <wps:spPr>
                              <a:xfrm flipH="1" flipV="1">
                                <a:off x="0" y="0"/>
                                <a:ext cx="694690" cy="5943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67.2pt;margin-top:0.45pt;height:46.8pt;width:54.7pt;z-index:251667456;mso-width-relative:page;mso-height-relative:page;" filled="f" stroked="t" coordsize="21600,21600" o:gfxdata="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lVAMNcAAAAHAQAADwAAAAAAAAABACAA&#10;AAAiAAAAZHJzL2Rvd25yZXYueG1sUEsBAhQAFAAAAAgAh07iQKPUqD4OAgAABAQAAA4AAAAAAAAA&#10;AQAgAAAAJgEAAGRycy9lMm9Eb2MueG1sUEsFBgAAAAAGAAYAWQEAAKYFAAAAAA==&#10;">
                      <v:fill on="f" focussize="0,0"/>
                      <v:stroke color="#000000" joinstyle="round"/>
                      <v:imagedata o:title=""/>
                      <o:lock v:ext="edit" aspectratio="f"/>
                    </v:shape>
                  </w:pict>
                </mc:Fallback>
              </mc:AlternateContent>
            </w:r>
            <w:r>
              <w:rPr>
                <w:rFonts w:hint="default" w:eastAsia="宋体"/>
                <w:color w:val="auto"/>
                <w:spacing w:val="-20"/>
                <w:kern w:val="0"/>
                <w:szCs w:val="21"/>
              </w:rPr>
              <w:t xml:space="preserve">                           占</w:t>
            </w:r>
            <w:r>
              <w:rPr>
                <w:rFonts w:hint="default" w:eastAsia="宋体"/>
                <w:color w:val="auto"/>
                <w:spacing w:val="-22"/>
                <w:kern w:val="0"/>
                <w:szCs w:val="21"/>
              </w:rPr>
              <w:t>地</w:t>
            </w:r>
            <w:r>
              <w:rPr>
                <w:rFonts w:hint="default" w:eastAsia="宋体"/>
                <w:color w:val="auto"/>
                <w:spacing w:val="-20"/>
                <w:kern w:val="0"/>
                <w:szCs w:val="21"/>
              </w:rPr>
              <w:t>规</w:t>
            </w:r>
            <w:r>
              <w:rPr>
                <w:rFonts w:hint="default" w:eastAsia="宋体"/>
                <w:color w:val="auto"/>
                <w:kern w:val="0"/>
                <w:szCs w:val="21"/>
              </w:rPr>
              <w:t>模</w:t>
            </w:r>
          </w:p>
          <w:p>
            <w:pPr>
              <w:keepNext w:val="0"/>
              <w:keepLines w:val="0"/>
              <w:suppressLineNumbers w:val="0"/>
              <w:kinsoku w:val="0"/>
              <w:overflowPunct w:val="0"/>
              <w:autoSpaceDE w:val="0"/>
              <w:autoSpaceDN w:val="0"/>
              <w:adjustRightInd w:val="0"/>
              <w:spacing w:before="0" w:beforeAutospacing="0" w:after="0" w:afterAutospacing="0" w:line="320" w:lineRule="exact"/>
              <w:ind w:left="0" w:right="0"/>
              <w:jc w:val="center"/>
              <w:rPr>
                <w:rFonts w:hint="default" w:eastAsia="宋体"/>
                <w:color w:val="auto"/>
                <w:kern w:val="0"/>
                <w:szCs w:val="21"/>
              </w:rPr>
            </w:pPr>
            <w:r>
              <w:rPr>
                <w:rFonts w:hint="default" w:eastAsia="宋体"/>
                <w:color w:val="auto"/>
                <w:kern w:val="0"/>
                <w:szCs w:val="21"/>
              </w:rPr>
              <w:t>评价工作等级</w:t>
            </w:r>
          </w:p>
          <w:p>
            <w:pPr>
              <w:keepNext w:val="0"/>
              <w:keepLines w:val="0"/>
              <w:suppressLineNumbers w:val="0"/>
              <w:kinsoku w:val="0"/>
              <w:overflowPunct w:val="0"/>
              <w:autoSpaceDE w:val="0"/>
              <w:autoSpaceDN w:val="0"/>
              <w:adjustRightInd w:val="0"/>
              <w:spacing w:before="0" w:beforeAutospacing="0" w:after="0" w:afterAutospacing="0" w:line="320" w:lineRule="exact"/>
              <w:ind w:left="0" w:right="0"/>
              <w:rPr>
                <w:rFonts w:hint="default" w:eastAsia="宋体"/>
                <w:color w:val="auto"/>
                <w:kern w:val="0"/>
                <w:szCs w:val="21"/>
              </w:rPr>
            </w:pPr>
            <w:r>
              <w:rPr>
                <w:rFonts w:hint="default" w:eastAsia="宋体"/>
                <w:color w:val="auto"/>
                <w:kern w:val="0"/>
                <w:szCs w:val="21"/>
              </w:rPr>
              <w:t>敏感程度</w:t>
            </w:r>
          </w:p>
        </w:tc>
        <w:tc>
          <w:tcPr>
            <w:tcW w:w="2199" w:type="dxa"/>
            <w:gridSpan w:val="3"/>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eastAsia" w:ascii="宋体" w:hAnsi="宋体" w:eastAsia="宋体" w:cs="宋体"/>
                <w:color w:val="auto"/>
                <w:kern w:val="0"/>
                <w:szCs w:val="21"/>
              </w:rPr>
              <w:t>Ⅰ</w:t>
            </w:r>
            <w:r>
              <w:rPr>
                <w:rFonts w:hint="default" w:eastAsia="宋体"/>
                <w:color w:val="auto"/>
                <w:kern w:val="0"/>
                <w:szCs w:val="21"/>
              </w:rPr>
              <w:t>类</w:t>
            </w:r>
          </w:p>
        </w:tc>
        <w:tc>
          <w:tcPr>
            <w:tcW w:w="2200" w:type="dxa"/>
            <w:gridSpan w:val="3"/>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eastAsia" w:ascii="宋体" w:hAnsi="宋体" w:eastAsia="宋体" w:cs="宋体"/>
                <w:color w:val="auto"/>
                <w:kern w:val="0"/>
                <w:szCs w:val="21"/>
              </w:rPr>
              <w:t>Ⅱ</w:t>
            </w:r>
            <w:r>
              <w:rPr>
                <w:rFonts w:hint="default" w:eastAsia="宋体"/>
                <w:color w:val="auto"/>
                <w:kern w:val="0"/>
                <w:szCs w:val="21"/>
              </w:rPr>
              <w:t>类</w:t>
            </w:r>
          </w:p>
        </w:tc>
        <w:tc>
          <w:tcPr>
            <w:tcW w:w="2199" w:type="dxa"/>
            <w:gridSpan w:val="3"/>
            <w:tcBorders>
              <w:top w:val="single" w:color="000000" w:sz="6"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eastAsia" w:ascii="宋体" w:hAnsi="宋体" w:eastAsia="宋体" w:cs="宋体"/>
                <w:color w:val="auto"/>
                <w:kern w:val="0"/>
                <w:szCs w:val="21"/>
              </w:rPr>
              <w:t>Ⅲ</w:t>
            </w:r>
            <w:r>
              <w:rPr>
                <w:rFonts w:hint="default" w:eastAsia="宋体"/>
                <w:color w:val="auto"/>
                <w:kern w:val="0"/>
                <w:szCs w:val="21"/>
              </w:rPr>
              <w:t>类</w:t>
            </w:r>
          </w:p>
        </w:tc>
      </w:tr>
      <w:tr>
        <w:tblPrEx>
          <w:tblCellMar>
            <w:top w:w="0" w:type="dxa"/>
            <w:left w:w="0" w:type="dxa"/>
            <w:bottom w:w="0" w:type="dxa"/>
            <w:right w:w="0" w:type="dxa"/>
          </w:tblCellMar>
        </w:tblPrEx>
        <w:trPr>
          <w:trHeight w:val="340" w:hRule="atLeast"/>
          <w:tblHeader/>
        </w:trPr>
        <w:tc>
          <w:tcPr>
            <w:tcW w:w="2484" w:type="dxa"/>
            <w:vMerge w:val="continue"/>
            <w:tcBorders>
              <w:top w:val="single" w:color="000000" w:sz="6" w:space="0"/>
              <w:left w:val="single" w:color="000000" w:sz="6"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大</w:t>
            </w:r>
          </w:p>
        </w:tc>
        <w:tc>
          <w:tcPr>
            <w:tcW w:w="733"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中</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小</w:t>
            </w:r>
          </w:p>
        </w:tc>
        <w:tc>
          <w:tcPr>
            <w:tcW w:w="733"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大</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中</w:t>
            </w:r>
          </w:p>
        </w:tc>
        <w:tc>
          <w:tcPr>
            <w:tcW w:w="733"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小</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大</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中</w:t>
            </w:r>
          </w:p>
        </w:tc>
        <w:tc>
          <w:tcPr>
            <w:tcW w:w="739" w:type="dxa"/>
            <w:tcBorders>
              <w:top w:val="single" w:color="000000" w:sz="4" w:space="0"/>
              <w:left w:val="single" w:color="000000" w:sz="4" w:space="0"/>
              <w:bottom w:val="single" w:color="000000" w:sz="6"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小</w:t>
            </w:r>
          </w:p>
        </w:tc>
      </w:tr>
      <w:tr>
        <w:tblPrEx>
          <w:tblCellMar>
            <w:top w:w="0" w:type="dxa"/>
            <w:left w:w="0" w:type="dxa"/>
            <w:bottom w:w="0" w:type="dxa"/>
            <w:right w:w="0" w:type="dxa"/>
          </w:tblCellMar>
        </w:tblPrEx>
        <w:trPr>
          <w:trHeight w:val="340" w:hRule="atLeast"/>
        </w:trPr>
        <w:tc>
          <w:tcPr>
            <w:tcW w:w="2484" w:type="dxa"/>
            <w:tcBorders>
              <w:top w:val="single" w:color="000000" w:sz="6"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敏感</w:t>
            </w:r>
          </w:p>
        </w:tc>
        <w:tc>
          <w:tcPr>
            <w:tcW w:w="732"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一级</w:t>
            </w:r>
          </w:p>
        </w:tc>
        <w:tc>
          <w:tcPr>
            <w:tcW w:w="733"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一级</w:t>
            </w:r>
          </w:p>
        </w:tc>
        <w:tc>
          <w:tcPr>
            <w:tcW w:w="732"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一级</w:t>
            </w:r>
          </w:p>
        </w:tc>
        <w:tc>
          <w:tcPr>
            <w:tcW w:w="733"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2"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3"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2"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c>
          <w:tcPr>
            <w:tcW w:w="732"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c>
          <w:tcPr>
            <w:tcW w:w="739" w:type="dxa"/>
            <w:tcBorders>
              <w:top w:val="single" w:color="000000" w:sz="6"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r>
      <w:tr>
        <w:tblPrEx>
          <w:tblCellMar>
            <w:top w:w="0" w:type="dxa"/>
            <w:left w:w="0" w:type="dxa"/>
            <w:bottom w:w="0" w:type="dxa"/>
            <w:right w:w="0" w:type="dxa"/>
          </w:tblCellMar>
        </w:tblPrEx>
        <w:trPr>
          <w:trHeight w:val="340" w:hRule="atLeast"/>
        </w:trPr>
        <w:tc>
          <w:tcPr>
            <w:tcW w:w="2484"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较敏感</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一级</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一级</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c>
          <w:tcPr>
            <w:tcW w:w="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c>
          <w:tcPr>
            <w:tcW w:w="739"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w:t>
            </w:r>
          </w:p>
        </w:tc>
      </w:tr>
      <w:tr>
        <w:tblPrEx>
          <w:tblCellMar>
            <w:top w:w="0" w:type="dxa"/>
            <w:left w:w="0" w:type="dxa"/>
            <w:bottom w:w="0" w:type="dxa"/>
            <w:right w:w="0" w:type="dxa"/>
          </w:tblCellMar>
        </w:tblPrEx>
        <w:trPr>
          <w:trHeight w:val="340" w:hRule="atLeast"/>
        </w:trPr>
        <w:tc>
          <w:tcPr>
            <w:tcW w:w="2484" w:type="dxa"/>
            <w:tcBorders>
              <w:top w:val="single" w:color="000000" w:sz="4" w:space="0"/>
              <w:left w:val="single" w:color="000000" w:sz="6"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不敏感</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一级</w:t>
            </w:r>
          </w:p>
        </w:tc>
        <w:tc>
          <w:tcPr>
            <w:tcW w:w="733"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3"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二级</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c>
          <w:tcPr>
            <w:tcW w:w="733"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三级</w:t>
            </w:r>
          </w:p>
        </w:tc>
        <w:tc>
          <w:tcPr>
            <w:tcW w:w="732"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w:t>
            </w:r>
          </w:p>
        </w:tc>
        <w:tc>
          <w:tcPr>
            <w:tcW w:w="739" w:type="dxa"/>
            <w:tcBorders>
              <w:top w:val="single" w:color="000000" w:sz="4" w:space="0"/>
              <w:left w:val="single" w:color="000000" w:sz="4" w:space="0"/>
              <w:bottom w:val="single" w:color="000000" w:sz="6"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jc w:val="center"/>
              <w:rPr>
                <w:rFonts w:hint="default" w:eastAsia="宋体"/>
                <w:color w:val="auto"/>
                <w:kern w:val="0"/>
                <w:szCs w:val="21"/>
              </w:rPr>
            </w:pPr>
            <w:r>
              <w:rPr>
                <w:rFonts w:hint="default" w:eastAsia="宋体"/>
                <w:color w:val="auto"/>
                <w:kern w:val="0"/>
                <w:szCs w:val="21"/>
              </w:rPr>
              <w:t>-</w:t>
            </w:r>
          </w:p>
        </w:tc>
      </w:tr>
      <w:tr>
        <w:tblPrEx>
          <w:tblCellMar>
            <w:top w:w="0" w:type="dxa"/>
            <w:left w:w="0" w:type="dxa"/>
            <w:bottom w:w="0" w:type="dxa"/>
            <w:right w:w="0" w:type="dxa"/>
          </w:tblCellMar>
        </w:tblPrEx>
        <w:trPr>
          <w:trHeight w:val="340" w:hRule="atLeast"/>
        </w:trPr>
        <w:tc>
          <w:tcPr>
            <w:tcW w:w="9082" w:type="dxa"/>
            <w:gridSpan w:val="10"/>
            <w:tcBorders>
              <w:top w:val="single" w:color="000000" w:sz="6" w:space="0"/>
              <w:left w:val="single" w:color="000000" w:sz="6" w:space="0"/>
              <w:bottom w:val="single" w:color="000000" w:sz="6"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80" w:lineRule="exact"/>
              <w:ind w:left="0" w:right="0"/>
              <w:rPr>
                <w:rFonts w:hint="default" w:eastAsia="宋体"/>
                <w:color w:val="auto"/>
                <w:kern w:val="0"/>
                <w:szCs w:val="21"/>
              </w:rPr>
            </w:pPr>
            <w:r>
              <w:rPr>
                <w:rFonts w:hint="default" w:eastAsia="宋体"/>
                <w:color w:val="auto"/>
                <w:kern w:val="0"/>
                <w:szCs w:val="21"/>
              </w:rPr>
              <w:t>注：“-”表示可不开展土壤环境影响评价工作。</w:t>
            </w:r>
          </w:p>
        </w:tc>
      </w:tr>
    </w:tbl>
    <w:p>
      <w:pPr>
        <w:pStyle w:val="5"/>
        <w:spacing w:before="156" w:after="156"/>
        <w:rPr>
          <w:color w:val="auto"/>
        </w:rPr>
      </w:pPr>
      <w:r>
        <w:rPr>
          <w:color w:val="auto"/>
        </w:rPr>
        <w:t>生态环境</w:t>
      </w:r>
      <w:bookmarkEnd w:id="277"/>
      <w:bookmarkEnd w:id="278"/>
    </w:p>
    <w:p>
      <w:pPr>
        <w:pStyle w:val="83"/>
        <w:bidi w:val="0"/>
        <w:rPr>
          <w:color w:val="auto"/>
          <w:lang w:val="en-US"/>
        </w:rPr>
      </w:pPr>
      <w:r>
        <w:rPr>
          <w:rFonts w:hint="eastAsia"/>
          <w:color w:val="auto"/>
          <w:lang w:val="en-US" w:eastAsia="zh-CN"/>
        </w:rPr>
        <w:t>根据《环境影响评价技术导则</w:t>
      </w:r>
      <w:r>
        <w:rPr>
          <w:rFonts w:hint="default"/>
          <w:color w:val="auto"/>
          <w:lang w:val="en-US" w:eastAsia="zh-CN"/>
        </w:rPr>
        <w:t xml:space="preserve"> </w:t>
      </w:r>
      <w:r>
        <w:rPr>
          <w:rFonts w:hint="eastAsia"/>
          <w:color w:val="auto"/>
          <w:lang w:val="en-US" w:eastAsia="zh-CN"/>
        </w:rPr>
        <w:t>生态影响》（</w:t>
      </w:r>
      <w:r>
        <w:rPr>
          <w:rFonts w:hint="default"/>
          <w:color w:val="auto"/>
          <w:lang w:val="en-US" w:eastAsia="zh-CN"/>
        </w:rPr>
        <w:t>HJ19-2022</w:t>
      </w:r>
      <w:r>
        <w:rPr>
          <w:rFonts w:hint="eastAsia"/>
          <w:color w:val="auto"/>
          <w:lang w:val="en-US" w:eastAsia="zh-CN"/>
        </w:rPr>
        <w:t>），按以下原则确定评价等级：</w:t>
      </w:r>
    </w:p>
    <w:p>
      <w:pPr>
        <w:pStyle w:val="83"/>
        <w:bidi w:val="0"/>
        <w:rPr>
          <w:color w:val="auto"/>
          <w:lang w:val="en-US"/>
        </w:rPr>
      </w:pPr>
      <w:r>
        <w:rPr>
          <w:rFonts w:hint="eastAsia"/>
          <w:color w:val="auto"/>
          <w:lang w:val="en-US" w:eastAsia="zh-CN"/>
        </w:rPr>
        <w:t>（</w:t>
      </w:r>
      <w:r>
        <w:rPr>
          <w:rFonts w:hint="default"/>
          <w:color w:val="auto"/>
          <w:lang w:val="en-US" w:eastAsia="zh-CN"/>
        </w:rPr>
        <w:t>1</w:t>
      </w:r>
      <w:r>
        <w:rPr>
          <w:rFonts w:hint="eastAsia"/>
          <w:color w:val="auto"/>
          <w:lang w:val="en-US" w:eastAsia="zh-CN"/>
        </w:rPr>
        <w:t>）涉及国家公园、自然保护区、世界自然遗产、重要生境时，评价等级为一级；</w:t>
      </w:r>
    </w:p>
    <w:p>
      <w:pPr>
        <w:pStyle w:val="83"/>
        <w:bidi w:val="0"/>
        <w:rPr>
          <w:color w:val="auto"/>
          <w:lang w:val="en-US"/>
        </w:rPr>
      </w:pPr>
      <w:r>
        <w:rPr>
          <w:rFonts w:hint="eastAsia"/>
          <w:color w:val="auto"/>
          <w:lang w:val="en-US" w:eastAsia="zh-CN"/>
        </w:rPr>
        <w:t>（</w:t>
      </w:r>
      <w:r>
        <w:rPr>
          <w:rFonts w:hint="default"/>
          <w:color w:val="auto"/>
          <w:lang w:val="en-US" w:eastAsia="zh-CN"/>
        </w:rPr>
        <w:t>2</w:t>
      </w:r>
      <w:r>
        <w:rPr>
          <w:rFonts w:hint="eastAsia"/>
          <w:color w:val="auto"/>
          <w:lang w:val="en-US" w:eastAsia="zh-CN"/>
        </w:rPr>
        <w:t>）涉及自然公园时，评价等级为二级；</w:t>
      </w:r>
    </w:p>
    <w:p>
      <w:pPr>
        <w:pStyle w:val="83"/>
        <w:bidi w:val="0"/>
        <w:rPr>
          <w:color w:val="auto"/>
          <w:lang w:val="en-US"/>
        </w:rPr>
      </w:pPr>
      <w:r>
        <w:rPr>
          <w:rFonts w:hint="eastAsia"/>
          <w:color w:val="auto"/>
          <w:lang w:val="en-US" w:eastAsia="zh-CN"/>
        </w:rPr>
        <w:t>（</w:t>
      </w:r>
      <w:r>
        <w:rPr>
          <w:rFonts w:hint="default"/>
          <w:color w:val="auto"/>
          <w:lang w:val="en-US" w:eastAsia="zh-CN"/>
        </w:rPr>
        <w:t>3</w:t>
      </w:r>
      <w:r>
        <w:rPr>
          <w:rFonts w:hint="eastAsia"/>
          <w:color w:val="auto"/>
          <w:lang w:val="en-US" w:eastAsia="zh-CN"/>
        </w:rPr>
        <w:t>）涉及生态保护红线时，评价等级不低于二级；</w:t>
      </w:r>
    </w:p>
    <w:p>
      <w:pPr>
        <w:pStyle w:val="83"/>
        <w:bidi w:val="0"/>
        <w:rPr>
          <w:color w:val="auto"/>
          <w:lang w:val="en-US"/>
        </w:rPr>
      </w:pPr>
      <w:r>
        <w:rPr>
          <w:rFonts w:hint="eastAsia"/>
          <w:color w:val="auto"/>
          <w:lang w:val="en-US" w:eastAsia="zh-CN"/>
        </w:rPr>
        <w:t>（</w:t>
      </w:r>
      <w:r>
        <w:rPr>
          <w:rFonts w:hint="default"/>
          <w:color w:val="auto"/>
          <w:lang w:val="en-US" w:eastAsia="zh-CN"/>
        </w:rPr>
        <w:t>4</w:t>
      </w:r>
      <w:r>
        <w:rPr>
          <w:rFonts w:hint="eastAsia"/>
          <w:color w:val="auto"/>
          <w:lang w:val="en-US" w:eastAsia="zh-CN"/>
        </w:rPr>
        <w:t>）根据</w:t>
      </w:r>
      <w:r>
        <w:rPr>
          <w:rFonts w:hint="default"/>
          <w:color w:val="auto"/>
          <w:lang w:val="en-US" w:eastAsia="zh-CN"/>
        </w:rPr>
        <w:t>HJ 2.3</w:t>
      </w:r>
      <w:r>
        <w:rPr>
          <w:rFonts w:hint="eastAsia"/>
          <w:color w:val="auto"/>
          <w:lang w:val="en-US" w:eastAsia="zh-CN"/>
        </w:rPr>
        <w:t>判断属于水文要素影响型且地表水评价等级不低于二级的建设项目，生态影响评价等级不低于二级；</w:t>
      </w:r>
    </w:p>
    <w:p>
      <w:pPr>
        <w:pStyle w:val="83"/>
        <w:bidi w:val="0"/>
        <w:rPr>
          <w:color w:val="auto"/>
          <w:lang w:val="en-US"/>
        </w:rPr>
      </w:pPr>
      <w:r>
        <w:rPr>
          <w:rFonts w:hint="eastAsia"/>
          <w:color w:val="auto"/>
          <w:lang w:val="en-US" w:eastAsia="zh-CN"/>
        </w:rPr>
        <w:t>（</w:t>
      </w:r>
      <w:r>
        <w:rPr>
          <w:rFonts w:hint="default"/>
          <w:color w:val="auto"/>
          <w:lang w:val="en-US" w:eastAsia="zh-CN"/>
        </w:rPr>
        <w:t>5</w:t>
      </w:r>
      <w:r>
        <w:rPr>
          <w:rFonts w:hint="eastAsia"/>
          <w:color w:val="auto"/>
          <w:lang w:val="en-US" w:eastAsia="zh-CN"/>
        </w:rPr>
        <w:t>）根据</w:t>
      </w:r>
      <w:r>
        <w:rPr>
          <w:rFonts w:hint="default"/>
          <w:color w:val="auto"/>
          <w:lang w:val="en-US" w:eastAsia="zh-CN"/>
        </w:rPr>
        <w:t>HJ 610</w:t>
      </w:r>
      <w:r>
        <w:rPr>
          <w:rFonts w:hint="eastAsia"/>
          <w:color w:val="auto"/>
          <w:lang w:val="en-US" w:eastAsia="zh-CN"/>
        </w:rPr>
        <w:t>、</w:t>
      </w:r>
      <w:r>
        <w:rPr>
          <w:rFonts w:hint="default"/>
          <w:color w:val="auto"/>
          <w:lang w:val="en-US" w:eastAsia="zh-CN"/>
        </w:rPr>
        <w:t>HJ 964</w:t>
      </w:r>
      <w:r>
        <w:rPr>
          <w:rFonts w:hint="eastAsia"/>
          <w:color w:val="auto"/>
          <w:lang w:val="en-US" w:eastAsia="zh-CN"/>
        </w:rPr>
        <w:t>判断地下水水位或土壤影响范围内分布有天然林、公益林、湿地等生态保护目标的建设项目，生态影响评价等级不低于二级；</w:t>
      </w:r>
    </w:p>
    <w:p>
      <w:pPr>
        <w:pStyle w:val="83"/>
        <w:bidi w:val="0"/>
        <w:rPr>
          <w:color w:val="auto"/>
          <w:lang w:val="en-US"/>
        </w:rPr>
      </w:pPr>
      <w:r>
        <w:rPr>
          <w:rFonts w:hint="eastAsia"/>
          <w:color w:val="auto"/>
          <w:lang w:val="en-US" w:eastAsia="zh-CN"/>
        </w:rPr>
        <w:t>（</w:t>
      </w:r>
      <w:r>
        <w:rPr>
          <w:rFonts w:hint="default"/>
          <w:color w:val="auto"/>
          <w:lang w:val="en-US" w:eastAsia="zh-CN"/>
        </w:rPr>
        <w:t>6</w:t>
      </w:r>
      <w:r>
        <w:rPr>
          <w:rFonts w:hint="eastAsia"/>
          <w:color w:val="auto"/>
          <w:lang w:val="en-US" w:eastAsia="zh-CN"/>
        </w:rPr>
        <w:t>）当工程占地规模</w:t>
      </w:r>
      <w:bookmarkStart w:id="279" w:name="OLE_LINK9"/>
      <w:bookmarkStart w:id="280" w:name="OLE_LINK11"/>
      <w:r>
        <w:rPr>
          <w:rFonts w:hint="eastAsia"/>
          <w:color w:val="auto"/>
          <w:lang w:val="en-US" w:eastAsia="zh-CN"/>
        </w:rPr>
        <w:t>大于</w:t>
      </w:r>
      <w:r>
        <w:rPr>
          <w:rFonts w:hint="default"/>
          <w:color w:val="auto"/>
          <w:lang w:val="en-US" w:eastAsia="zh-CN"/>
        </w:rPr>
        <w:t>20 km</w:t>
      </w:r>
      <w:r>
        <w:rPr>
          <w:rFonts w:hint="default"/>
          <w:color w:val="auto"/>
          <w:vertAlign w:val="superscript"/>
          <w:lang w:val="en-US" w:eastAsia="zh-CN"/>
        </w:rPr>
        <w:t>2</w:t>
      </w:r>
      <w:r>
        <w:rPr>
          <w:rFonts w:hint="eastAsia"/>
          <w:color w:val="auto"/>
          <w:lang w:val="en-US" w:eastAsia="zh-CN"/>
        </w:rPr>
        <w:t>时</w:t>
      </w:r>
      <w:bookmarkEnd w:id="279"/>
      <w:bookmarkEnd w:id="280"/>
      <w:r>
        <w:rPr>
          <w:rFonts w:hint="eastAsia"/>
          <w:color w:val="auto"/>
          <w:lang w:val="en-US" w:eastAsia="zh-CN"/>
        </w:rPr>
        <w:t>，评价等级不低于二级；改扩建项目的占地范围以新增占地（包括陆域和水域）确定；</w:t>
      </w:r>
    </w:p>
    <w:p>
      <w:pPr>
        <w:pStyle w:val="83"/>
        <w:bidi w:val="0"/>
        <w:rPr>
          <w:color w:val="auto"/>
          <w:lang w:val="en-US"/>
        </w:rPr>
      </w:pPr>
      <w:r>
        <w:rPr>
          <w:rFonts w:hint="eastAsia"/>
          <w:color w:val="auto"/>
          <w:lang w:val="en-US" w:eastAsia="zh-CN"/>
        </w:rPr>
        <w:t>（</w:t>
      </w:r>
      <w:r>
        <w:rPr>
          <w:rFonts w:hint="default"/>
          <w:color w:val="auto"/>
          <w:lang w:val="en-US" w:eastAsia="zh-CN"/>
        </w:rPr>
        <w:t>7</w:t>
      </w:r>
      <w:r>
        <w:rPr>
          <w:rFonts w:hint="eastAsia"/>
          <w:color w:val="auto"/>
          <w:lang w:val="en-US" w:eastAsia="zh-CN"/>
        </w:rPr>
        <w:t>）除本条（</w:t>
      </w:r>
      <w:r>
        <w:rPr>
          <w:rFonts w:hint="default"/>
          <w:color w:val="auto"/>
          <w:lang w:val="en-US" w:eastAsia="zh-CN"/>
        </w:rPr>
        <w:t>1</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6</w:t>
      </w:r>
      <w:r>
        <w:rPr>
          <w:rFonts w:hint="eastAsia"/>
          <w:color w:val="auto"/>
          <w:lang w:val="en-US" w:eastAsia="zh-CN"/>
        </w:rPr>
        <w:t>）以外的情况，评价等级为三级。</w:t>
      </w:r>
    </w:p>
    <w:p>
      <w:pPr>
        <w:pStyle w:val="83"/>
        <w:bidi w:val="0"/>
        <w:rPr>
          <w:color w:val="auto"/>
        </w:rPr>
      </w:pPr>
      <w:r>
        <w:rPr>
          <w:rFonts w:hint="eastAsia"/>
          <w:color w:val="auto"/>
          <w:lang w:val="en-US" w:eastAsia="zh-CN"/>
        </w:rPr>
        <w:t>本项目不涉及国家公园、自然保护区、世界自然遗产、重要生境、自然公园、生态保护红线，不属于水文要素影响型建设项目，地下水水位或土壤影响范围内无天然林、公益林、湿地等生态保护目标分布，占地规模小于</w:t>
      </w:r>
      <w:r>
        <w:rPr>
          <w:rFonts w:hint="default"/>
          <w:color w:val="auto"/>
          <w:lang w:val="en-US" w:eastAsia="zh-CN"/>
        </w:rPr>
        <w:t>20 km</w:t>
      </w:r>
      <w:r>
        <w:rPr>
          <w:rFonts w:hint="default"/>
          <w:color w:val="auto"/>
          <w:vertAlign w:val="superscript"/>
          <w:lang w:val="en-US" w:eastAsia="zh-CN"/>
        </w:rPr>
        <w:t>2</w:t>
      </w:r>
      <w:r>
        <w:rPr>
          <w:rFonts w:hint="eastAsia"/>
          <w:color w:val="auto"/>
          <w:lang w:val="en-US" w:eastAsia="zh-CN"/>
        </w:rPr>
        <w:t>，因此，该项目生态评价等级确定为三级。</w:t>
      </w:r>
    </w:p>
    <w:bookmarkEnd w:id="267"/>
    <w:p>
      <w:pPr>
        <w:pStyle w:val="5"/>
        <w:spacing w:before="156" w:after="156"/>
        <w:rPr>
          <w:color w:val="auto"/>
        </w:rPr>
      </w:pPr>
      <w:bookmarkStart w:id="281" w:name="_Toc49174967"/>
      <w:bookmarkStart w:id="282" w:name="_Toc49174792"/>
      <w:r>
        <w:rPr>
          <w:color w:val="auto"/>
        </w:rPr>
        <w:t>风险评价</w:t>
      </w:r>
      <w:bookmarkEnd w:id="268"/>
      <w:bookmarkEnd w:id="269"/>
      <w:bookmarkEnd w:id="270"/>
      <w:bookmarkEnd w:id="271"/>
      <w:bookmarkEnd w:id="272"/>
      <w:bookmarkEnd w:id="273"/>
      <w:bookmarkEnd w:id="274"/>
      <w:bookmarkEnd w:id="281"/>
      <w:bookmarkEnd w:id="282"/>
    </w:p>
    <w:p>
      <w:pPr>
        <w:pStyle w:val="6"/>
        <w:snapToGrid w:val="0"/>
        <w:spacing w:before="159" w:beforeLines="50" w:after="159" w:afterLines="50" w:line="500" w:lineRule="exact"/>
        <w:rPr>
          <w:rFonts w:ascii="Times New Roman" w:hAnsi="Times New Roman" w:eastAsia="宋体"/>
          <w:b w:val="0"/>
          <w:bCs w:val="0"/>
          <w:snapToGrid w:val="0"/>
          <w:color w:val="auto"/>
        </w:rPr>
      </w:pPr>
      <w:r>
        <w:rPr>
          <w:rFonts w:ascii="Times New Roman" w:hAnsi="Times New Roman" w:eastAsia="宋体"/>
          <w:b w:val="0"/>
          <w:bCs w:val="0"/>
          <w:snapToGrid w:val="0"/>
          <w:color w:val="auto"/>
        </w:rPr>
        <w:t>风险潜势初判</w:t>
      </w:r>
    </w:p>
    <w:p>
      <w:pPr>
        <w:spacing w:line="480" w:lineRule="exact"/>
        <w:ind w:firstLine="588" w:firstLineChars="210"/>
        <w:rPr>
          <w:color w:val="auto"/>
          <w:sz w:val="28"/>
          <w:szCs w:val="28"/>
        </w:rPr>
      </w:pPr>
      <w:r>
        <w:rPr>
          <w:rFonts w:hAnsi="宋体"/>
          <w:color w:val="auto"/>
          <w:sz w:val="28"/>
          <w:szCs w:val="28"/>
        </w:rPr>
        <w:t>本工程为</w:t>
      </w:r>
      <w:r>
        <w:rPr>
          <w:rFonts w:hint="eastAsia" w:hAnsi="宋体"/>
          <w:color w:val="auto"/>
          <w:sz w:val="28"/>
          <w:szCs w:val="28"/>
          <w:lang w:eastAsia="zh-CN"/>
        </w:rPr>
        <w:t>升平储气库钻井工程</w:t>
      </w:r>
      <w:r>
        <w:rPr>
          <w:rFonts w:hAnsi="宋体"/>
          <w:color w:val="auto"/>
          <w:sz w:val="28"/>
          <w:szCs w:val="28"/>
        </w:rPr>
        <w:t>，施工现场不涉及原油和天然气储存，但井场设有</w:t>
      </w:r>
      <w:r>
        <w:rPr>
          <w:color w:val="auto"/>
          <w:sz w:val="28"/>
          <w:szCs w:val="28"/>
        </w:rPr>
        <w:t>2</w:t>
      </w:r>
      <w:r>
        <w:rPr>
          <w:rFonts w:hAnsi="宋体"/>
          <w:color w:val="auto"/>
          <w:sz w:val="28"/>
          <w:szCs w:val="28"/>
        </w:rPr>
        <w:t>座柴油罐，总容积</w:t>
      </w:r>
      <w:r>
        <w:rPr>
          <w:rFonts w:hint="eastAsia"/>
          <w:color w:val="auto"/>
          <w:sz w:val="28"/>
          <w:szCs w:val="28"/>
        </w:rPr>
        <w:t>8</w:t>
      </w:r>
      <w:r>
        <w:rPr>
          <w:color w:val="auto"/>
          <w:sz w:val="28"/>
          <w:szCs w:val="28"/>
        </w:rPr>
        <w:t>0m</w:t>
      </w:r>
      <w:r>
        <w:rPr>
          <w:color w:val="auto"/>
          <w:sz w:val="28"/>
          <w:szCs w:val="28"/>
          <w:vertAlign w:val="superscript"/>
        </w:rPr>
        <w:t>3</w:t>
      </w:r>
      <w:r>
        <w:rPr>
          <w:rFonts w:hAnsi="宋体"/>
          <w:color w:val="auto"/>
          <w:sz w:val="28"/>
          <w:szCs w:val="28"/>
        </w:rPr>
        <w:t>，储量约</w:t>
      </w:r>
      <w:r>
        <w:rPr>
          <w:rFonts w:hint="eastAsia"/>
          <w:color w:val="auto"/>
          <w:sz w:val="28"/>
          <w:szCs w:val="28"/>
          <w:lang w:val="en-US" w:eastAsia="zh-CN"/>
        </w:rPr>
        <w:t>5</w:t>
      </w:r>
      <w:r>
        <w:rPr>
          <w:color w:val="auto"/>
          <w:sz w:val="28"/>
          <w:szCs w:val="28"/>
        </w:rPr>
        <w:t>0t</w:t>
      </w:r>
      <w:r>
        <w:rPr>
          <w:rFonts w:hAnsi="宋体"/>
          <w:color w:val="auto"/>
          <w:sz w:val="28"/>
          <w:szCs w:val="28"/>
        </w:rPr>
        <w:t>。</w:t>
      </w:r>
      <w:r>
        <w:rPr>
          <w:rFonts w:hint="eastAsia" w:hAnsi="宋体"/>
          <w:color w:val="auto"/>
          <w:sz w:val="28"/>
          <w:szCs w:val="28"/>
          <w:lang w:eastAsia="zh-CN"/>
        </w:rPr>
        <w:t>根据本项目钻井液成分分析，</w:t>
      </w:r>
      <w:r>
        <w:rPr>
          <w:rFonts w:hint="eastAsia"/>
          <w:color w:val="auto"/>
          <w:sz w:val="28"/>
          <w:szCs w:val="28"/>
        </w:rPr>
        <w:t>KOH最大量为</w:t>
      </w:r>
      <w:r>
        <w:rPr>
          <w:rFonts w:hint="eastAsia"/>
          <w:color w:val="auto"/>
          <w:sz w:val="28"/>
          <w:szCs w:val="28"/>
          <w:lang w:val="en-US" w:eastAsia="zh-CN"/>
        </w:rPr>
        <w:t>2.7</w:t>
      </w:r>
      <w:r>
        <w:rPr>
          <w:rFonts w:hint="eastAsia"/>
          <w:color w:val="auto"/>
          <w:sz w:val="28"/>
          <w:szCs w:val="28"/>
        </w:rPr>
        <w:t>t，本工程均为</w:t>
      </w:r>
      <w:r>
        <w:rPr>
          <w:rFonts w:hint="eastAsia"/>
          <w:color w:val="auto"/>
          <w:sz w:val="28"/>
          <w:szCs w:val="28"/>
          <w:lang w:eastAsia="zh-CN"/>
        </w:rPr>
        <w:t>平台</w:t>
      </w:r>
      <w:r>
        <w:rPr>
          <w:rFonts w:hint="eastAsia"/>
          <w:color w:val="auto"/>
          <w:sz w:val="28"/>
          <w:szCs w:val="28"/>
        </w:rPr>
        <w:t>井场</w:t>
      </w:r>
      <w:r>
        <w:rPr>
          <w:rFonts w:hint="eastAsia"/>
          <w:color w:val="auto"/>
          <w:sz w:val="28"/>
          <w:szCs w:val="28"/>
          <w:lang w:eastAsia="zh-CN"/>
        </w:rPr>
        <w:t>最多钻井数为</w:t>
      </w:r>
      <w:r>
        <w:rPr>
          <w:rFonts w:hint="eastAsia"/>
          <w:color w:val="auto"/>
          <w:sz w:val="28"/>
          <w:szCs w:val="28"/>
          <w:lang w:val="en-US" w:eastAsia="zh-CN"/>
        </w:rPr>
        <w:t>5口</w:t>
      </w:r>
      <w:r>
        <w:rPr>
          <w:rFonts w:hint="eastAsia"/>
          <w:color w:val="auto"/>
          <w:sz w:val="28"/>
          <w:szCs w:val="28"/>
        </w:rPr>
        <w:t>，每个井场为一个单元，因此按每个井场所储存的危险物质来进行核算</w:t>
      </w:r>
      <w:r>
        <w:rPr>
          <w:color w:val="auto"/>
          <w:sz w:val="28"/>
          <w:szCs w:val="28"/>
        </w:rPr>
        <w:t>。</w:t>
      </w:r>
      <w:r>
        <w:rPr>
          <w:rFonts w:hint="eastAsia" w:hAnsi="宋体"/>
          <w:color w:val="auto"/>
          <w:sz w:val="28"/>
          <w:szCs w:val="28"/>
          <w:lang w:eastAsia="zh-CN"/>
        </w:rPr>
        <w:t>井场</w:t>
      </w:r>
      <w:r>
        <w:rPr>
          <w:rFonts w:hAnsi="宋体"/>
          <w:color w:val="auto"/>
          <w:sz w:val="28"/>
          <w:szCs w:val="28"/>
        </w:rPr>
        <w:t>根据《建设项目环境风险评价技术导则》（</w:t>
      </w:r>
      <w:r>
        <w:rPr>
          <w:color w:val="auto"/>
          <w:sz w:val="28"/>
          <w:szCs w:val="28"/>
        </w:rPr>
        <w:t>HJ169-2018</w:t>
      </w:r>
      <w:r>
        <w:rPr>
          <w:rFonts w:hAnsi="宋体"/>
          <w:color w:val="auto"/>
          <w:sz w:val="28"/>
          <w:szCs w:val="28"/>
        </w:rPr>
        <w:t>），定量分析危险物质数量与临界量的比值（</w:t>
      </w:r>
      <w:r>
        <w:rPr>
          <w:color w:val="auto"/>
          <w:sz w:val="28"/>
          <w:szCs w:val="28"/>
        </w:rPr>
        <w:t>Q</w:t>
      </w:r>
      <w:r>
        <w:rPr>
          <w:rFonts w:hAnsi="宋体"/>
          <w:color w:val="auto"/>
          <w:sz w:val="28"/>
          <w:szCs w:val="28"/>
        </w:rPr>
        <w:t>），当</w:t>
      </w:r>
      <w:r>
        <w:rPr>
          <w:color w:val="auto"/>
          <w:sz w:val="28"/>
          <w:szCs w:val="28"/>
        </w:rPr>
        <w:t>Q</w:t>
      </w:r>
      <w:r>
        <w:rPr>
          <w:rFonts w:hAnsi="宋体"/>
          <w:color w:val="auto"/>
          <w:sz w:val="28"/>
          <w:szCs w:val="28"/>
        </w:rPr>
        <w:t>＜</w:t>
      </w:r>
      <w:r>
        <w:rPr>
          <w:color w:val="auto"/>
          <w:sz w:val="28"/>
          <w:szCs w:val="28"/>
        </w:rPr>
        <w:t>1</w:t>
      </w:r>
      <w:r>
        <w:rPr>
          <w:rFonts w:hAnsi="宋体"/>
          <w:color w:val="auto"/>
          <w:sz w:val="28"/>
          <w:szCs w:val="28"/>
        </w:rPr>
        <w:t>时，该项目环境风险潜势为</w:t>
      </w:r>
      <w:r>
        <w:rPr>
          <w:rFonts w:hint="default" w:ascii="Times New Roman" w:hAnsi="Times New Roman" w:cs="Times New Roman"/>
          <w:color w:val="auto"/>
          <w:sz w:val="28"/>
          <w:szCs w:val="28"/>
        </w:rPr>
        <w:t>Ⅰ</w:t>
      </w:r>
      <w:r>
        <w:rPr>
          <w:rFonts w:hAnsi="宋体"/>
          <w:color w:val="auto"/>
          <w:sz w:val="28"/>
          <w:szCs w:val="28"/>
        </w:rPr>
        <w:t>。本项目的</w:t>
      </w:r>
      <w:r>
        <w:rPr>
          <w:color w:val="auto"/>
          <w:sz w:val="28"/>
          <w:szCs w:val="28"/>
        </w:rPr>
        <w:t>Q</w:t>
      </w:r>
      <w:r>
        <w:rPr>
          <w:rFonts w:hAnsi="宋体"/>
          <w:color w:val="auto"/>
          <w:sz w:val="28"/>
          <w:szCs w:val="28"/>
        </w:rPr>
        <w:t>值确定情况见表</w:t>
      </w:r>
      <w:r>
        <w:rPr>
          <w:color w:val="auto"/>
          <w:sz w:val="28"/>
          <w:szCs w:val="28"/>
        </w:rPr>
        <w:t>2.</w:t>
      </w:r>
      <w:r>
        <w:rPr>
          <w:rFonts w:hint="eastAsia"/>
          <w:color w:val="auto"/>
          <w:sz w:val="28"/>
          <w:szCs w:val="28"/>
          <w:lang w:val="en-US" w:eastAsia="zh-CN"/>
        </w:rPr>
        <w:t>6-6</w:t>
      </w:r>
      <w:r>
        <w:rPr>
          <w:rFonts w:hAnsi="宋体"/>
          <w:color w:val="auto"/>
          <w:sz w:val="28"/>
          <w:szCs w:val="28"/>
        </w:rPr>
        <w:t>。</w:t>
      </w:r>
    </w:p>
    <w:p>
      <w:pPr>
        <w:pStyle w:val="7"/>
        <w:bidi w:val="0"/>
        <w:rPr>
          <w:bCs/>
          <w:color w:val="auto"/>
          <w:sz w:val="28"/>
          <w:szCs w:val="28"/>
        </w:rPr>
      </w:pPr>
      <w:r>
        <w:rPr>
          <w:rFonts w:hAnsi="宋体"/>
          <w:bCs/>
          <w:color w:val="auto"/>
          <w:sz w:val="28"/>
          <w:szCs w:val="28"/>
        </w:rPr>
        <w:t>危险物质数量与临界量的比值（</w:t>
      </w:r>
      <w:r>
        <w:rPr>
          <w:bCs/>
          <w:color w:val="auto"/>
          <w:sz w:val="28"/>
          <w:szCs w:val="28"/>
        </w:rPr>
        <w:t>Q</w:t>
      </w:r>
      <w:r>
        <w:rPr>
          <w:rFonts w:hAnsi="宋体"/>
          <w:bCs/>
          <w:color w:val="auto"/>
          <w:sz w:val="28"/>
          <w:szCs w:val="28"/>
        </w:rPr>
        <w:t>）确定情况</w:t>
      </w:r>
    </w:p>
    <w:tbl>
      <w:tblPr>
        <w:tblStyle w:val="34"/>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28" w:type="dxa"/>
          <w:bottom w:w="0" w:type="dxa"/>
          <w:right w:w="28" w:type="dxa"/>
        </w:tblCellMar>
      </w:tblPr>
      <w:tblGrid>
        <w:gridCol w:w="618"/>
        <w:gridCol w:w="1687"/>
        <w:gridCol w:w="1933"/>
        <w:gridCol w:w="1933"/>
        <w:gridCol w:w="1286"/>
        <w:gridCol w:w="197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18" w:type="dxa"/>
            <w:noWrap w:val="0"/>
            <w:tcMar>
              <w:left w:w="28" w:type="dxa"/>
              <w:right w:w="28" w:type="dxa"/>
            </w:tcMar>
            <w:vAlign w:val="center"/>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hAnsi="宋体"/>
                <w:color w:val="auto"/>
                <w:szCs w:val="21"/>
              </w:rPr>
              <w:t>序号</w:t>
            </w:r>
          </w:p>
        </w:tc>
        <w:tc>
          <w:tcPr>
            <w:tcW w:w="1687" w:type="dxa"/>
            <w:tcBorders>
              <w:right w:val="single" w:color="auto" w:sz="2" w:space="0"/>
            </w:tcBorders>
            <w:noWrap w:val="0"/>
            <w:vAlign w:val="center"/>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hAnsi="宋体"/>
                <w:color w:val="auto"/>
                <w:szCs w:val="21"/>
              </w:rPr>
              <w:t>危险物质</w:t>
            </w:r>
          </w:p>
        </w:tc>
        <w:tc>
          <w:tcPr>
            <w:tcW w:w="1933" w:type="dxa"/>
            <w:noWrap w:val="0"/>
            <w:vAlign w:val="top"/>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color w:val="auto"/>
                <w:szCs w:val="21"/>
              </w:rPr>
              <w:t>CAS</w:t>
            </w:r>
            <w:r>
              <w:rPr>
                <w:rFonts w:hint="default" w:hAnsi="宋体"/>
                <w:color w:val="auto"/>
                <w:szCs w:val="21"/>
              </w:rPr>
              <w:t>号</w:t>
            </w:r>
          </w:p>
        </w:tc>
        <w:tc>
          <w:tcPr>
            <w:tcW w:w="1933" w:type="dxa"/>
            <w:noWrap w:val="0"/>
            <w:vAlign w:val="center"/>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hAnsi="宋体"/>
                <w:color w:val="auto"/>
                <w:szCs w:val="21"/>
              </w:rPr>
              <w:t>最大存在总量（</w:t>
            </w:r>
            <w:r>
              <w:rPr>
                <w:rFonts w:hint="default"/>
                <w:color w:val="auto"/>
                <w:szCs w:val="21"/>
              </w:rPr>
              <w:t>t</w:t>
            </w:r>
            <w:r>
              <w:rPr>
                <w:rFonts w:hint="default" w:hAnsi="宋体"/>
                <w:color w:val="auto"/>
                <w:szCs w:val="21"/>
              </w:rPr>
              <w:t>）</w:t>
            </w:r>
          </w:p>
        </w:tc>
        <w:tc>
          <w:tcPr>
            <w:tcW w:w="1286" w:type="dxa"/>
            <w:noWrap w:val="0"/>
            <w:vAlign w:val="center"/>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hAnsi="宋体"/>
                <w:color w:val="auto"/>
                <w:szCs w:val="21"/>
              </w:rPr>
              <w:t>临界量（</w:t>
            </w:r>
            <w:r>
              <w:rPr>
                <w:rFonts w:hint="default"/>
                <w:color w:val="auto"/>
                <w:szCs w:val="21"/>
              </w:rPr>
              <w:t>t</w:t>
            </w:r>
            <w:r>
              <w:rPr>
                <w:rFonts w:hint="default" w:hAnsi="宋体"/>
                <w:color w:val="auto"/>
                <w:szCs w:val="21"/>
              </w:rPr>
              <w:t>）</w:t>
            </w:r>
          </w:p>
        </w:tc>
        <w:tc>
          <w:tcPr>
            <w:tcW w:w="1978" w:type="dxa"/>
            <w:noWrap w:val="0"/>
            <w:vAlign w:val="top"/>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hAnsi="宋体"/>
                <w:color w:val="auto"/>
                <w:szCs w:val="21"/>
              </w:rPr>
              <w:t>物质</w:t>
            </w:r>
            <w:r>
              <w:rPr>
                <w:rFonts w:hint="default"/>
                <w:color w:val="auto"/>
                <w:szCs w:val="21"/>
              </w:rPr>
              <w:t>Q</w:t>
            </w:r>
            <w:r>
              <w:rPr>
                <w:rFonts w:hint="default" w:hAnsi="宋体"/>
                <w:color w:val="auto"/>
                <w:szCs w:val="21"/>
              </w:rPr>
              <w:t>值</w:t>
            </w:r>
            <w:r>
              <w:rPr>
                <w:rFonts w:hint="default"/>
                <w:color w:val="auto"/>
                <w:szCs w:val="21"/>
              </w:rPr>
              <w:t>q</w:t>
            </w:r>
            <w:r>
              <w:rPr>
                <w:rFonts w:hint="default"/>
                <w:color w:val="auto"/>
                <w:szCs w:val="21"/>
                <w:vertAlign w:val="subscript"/>
              </w:rPr>
              <w:t>n</w:t>
            </w:r>
            <w:r>
              <w:rPr>
                <w:rFonts w:hint="default"/>
                <w:color w:val="auto"/>
                <w:szCs w:val="21"/>
              </w:rPr>
              <w:t>/Q</w:t>
            </w:r>
            <w:r>
              <w:rPr>
                <w:rFonts w:hint="default"/>
                <w:color w:val="auto"/>
                <w:szCs w:val="21"/>
                <w:vertAlign w:val="subscript"/>
              </w:rPr>
              <w:t>n</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218" w:hRule="atLeast"/>
          <w:jc w:val="center"/>
        </w:trPr>
        <w:tc>
          <w:tcPr>
            <w:tcW w:w="618" w:type="dxa"/>
            <w:noWrap w:val="0"/>
            <w:tcMar>
              <w:left w:w="28" w:type="dxa"/>
              <w:right w:w="28" w:type="dxa"/>
            </w:tcMar>
            <w:vAlign w:val="center"/>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color w:val="auto"/>
                <w:szCs w:val="21"/>
              </w:rPr>
              <w:t>1</w:t>
            </w:r>
          </w:p>
        </w:tc>
        <w:tc>
          <w:tcPr>
            <w:tcW w:w="1687" w:type="dxa"/>
            <w:tcBorders>
              <w:right w:val="single" w:color="auto" w:sz="2"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柴油</w:t>
            </w:r>
          </w:p>
        </w:tc>
        <w:tc>
          <w:tcPr>
            <w:tcW w:w="1933"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p>
        </w:tc>
        <w:tc>
          <w:tcPr>
            <w:tcW w:w="1933"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eastAsia"/>
                <w:color w:val="auto"/>
                <w:szCs w:val="21"/>
                <w:lang w:val="en-US" w:eastAsia="zh-CN"/>
              </w:rPr>
              <w:t>5</w:t>
            </w:r>
            <w:r>
              <w:rPr>
                <w:rFonts w:hint="default"/>
                <w:color w:val="auto"/>
                <w:szCs w:val="21"/>
              </w:rPr>
              <w:t>0</w:t>
            </w:r>
          </w:p>
        </w:tc>
        <w:tc>
          <w:tcPr>
            <w:tcW w:w="1286"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2500</w:t>
            </w:r>
          </w:p>
        </w:tc>
        <w:tc>
          <w:tcPr>
            <w:tcW w:w="1978" w:type="dxa"/>
            <w:noWrap w:val="0"/>
            <w:vAlign w:val="center"/>
          </w:tcPr>
          <w:p>
            <w:pPr>
              <w:keepNext w:val="0"/>
              <w:keepLines w:val="0"/>
              <w:suppressLineNumbers w:val="0"/>
              <w:spacing w:before="0" w:beforeAutospacing="0" w:after="0" w:afterAutospacing="0" w:line="240" w:lineRule="exact"/>
              <w:ind w:left="0" w:right="0"/>
              <w:jc w:val="center"/>
              <w:rPr>
                <w:rFonts w:hint="eastAsia"/>
                <w:color w:val="auto"/>
                <w:szCs w:val="21"/>
              </w:rPr>
            </w:pPr>
            <w:r>
              <w:rPr>
                <w:rFonts w:hint="default"/>
                <w:color w:val="auto"/>
                <w:szCs w:val="21"/>
              </w:rPr>
              <w:t>0.0</w:t>
            </w:r>
            <w:r>
              <w:rPr>
                <w:rFonts w:hint="eastAsia"/>
                <w:color w:val="auto"/>
                <w:szCs w:val="21"/>
              </w:rPr>
              <w:t>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218" w:hRule="atLeast"/>
          <w:jc w:val="center"/>
        </w:trPr>
        <w:tc>
          <w:tcPr>
            <w:tcW w:w="618" w:type="dxa"/>
            <w:noWrap w:val="0"/>
            <w:tcMar>
              <w:left w:w="28" w:type="dxa"/>
              <w:right w:w="28" w:type="dxa"/>
            </w:tcMar>
            <w:vAlign w:val="center"/>
          </w:tcPr>
          <w:p>
            <w:pPr>
              <w:keepNext w:val="0"/>
              <w:keepLines w:val="0"/>
              <w:suppressLineNumbers w:val="0"/>
              <w:spacing w:before="0" w:beforeAutospacing="0" w:after="0" w:afterAutospacing="0" w:line="360" w:lineRule="exact"/>
              <w:ind w:left="0" w:right="0"/>
              <w:jc w:val="center"/>
              <w:rPr>
                <w:rFonts w:hint="eastAsia" w:eastAsia="宋体"/>
                <w:color w:val="auto"/>
                <w:szCs w:val="21"/>
                <w:lang w:val="en-US" w:eastAsia="zh-CN"/>
              </w:rPr>
            </w:pPr>
            <w:r>
              <w:rPr>
                <w:rFonts w:hint="eastAsia"/>
                <w:color w:val="auto"/>
                <w:szCs w:val="21"/>
                <w:lang w:val="en-US" w:eastAsia="zh-CN"/>
              </w:rPr>
              <w:t>2</w:t>
            </w:r>
          </w:p>
        </w:tc>
        <w:tc>
          <w:tcPr>
            <w:tcW w:w="1687" w:type="dxa"/>
            <w:tcBorders>
              <w:right w:val="single" w:color="auto" w:sz="2" w:space="0"/>
            </w:tcBorders>
            <w:noWrap w:val="0"/>
            <w:vAlign w:val="center"/>
          </w:tcPr>
          <w:p>
            <w:pPr>
              <w:keepNext w:val="0"/>
              <w:keepLines w:val="0"/>
              <w:suppressLineNumbers w:val="0"/>
              <w:spacing w:before="0" w:beforeAutospacing="0" w:after="0" w:afterAutospacing="0" w:line="240" w:lineRule="exact"/>
              <w:ind w:left="0" w:right="0"/>
              <w:jc w:val="center"/>
              <w:rPr>
                <w:rFonts w:hint="default" w:hAnsi="宋体" w:eastAsia="宋体"/>
                <w:color w:val="auto"/>
                <w:szCs w:val="21"/>
                <w:lang w:val="en-US" w:eastAsia="zh-CN"/>
              </w:rPr>
            </w:pPr>
            <w:r>
              <w:rPr>
                <w:rFonts w:hint="eastAsia"/>
                <w:color w:val="auto"/>
                <w:szCs w:val="21"/>
                <w:lang w:val="en-US" w:eastAsia="zh-CN"/>
              </w:rPr>
              <w:t>KOH</w:t>
            </w:r>
          </w:p>
        </w:tc>
        <w:tc>
          <w:tcPr>
            <w:tcW w:w="1933"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eastAsia="宋体"/>
                <w:color w:val="auto"/>
                <w:szCs w:val="21"/>
              </w:rPr>
              <w:t>/</w:t>
            </w:r>
          </w:p>
        </w:tc>
        <w:tc>
          <w:tcPr>
            <w:tcW w:w="1933" w:type="dxa"/>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13.5</w:t>
            </w:r>
          </w:p>
        </w:tc>
        <w:tc>
          <w:tcPr>
            <w:tcW w:w="1286"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eastAsia="宋体"/>
                <w:color w:val="auto"/>
                <w:szCs w:val="21"/>
              </w:rPr>
              <w:t>50</w:t>
            </w:r>
          </w:p>
        </w:tc>
        <w:tc>
          <w:tcPr>
            <w:tcW w:w="1978" w:type="dxa"/>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eastAsia="宋体"/>
                <w:color w:val="auto"/>
                <w:szCs w:val="21"/>
              </w:rPr>
              <w:t>0.</w:t>
            </w:r>
            <w:r>
              <w:rPr>
                <w:rFonts w:hint="eastAsia"/>
                <w:color w:val="auto"/>
                <w:szCs w:val="21"/>
                <w:lang w:val="en-US" w:eastAsia="zh-CN"/>
              </w:rPr>
              <w:t>27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jc w:val="center"/>
        </w:trPr>
        <w:tc>
          <w:tcPr>
            <w:tcW w:w="7457" w:type="dxa"/>
            <w:gridSpan w:val="5"/>
            <w:noWrap w:val="0"/>
            <w:vAlign w:val="top"/>
          </w:tcPr>
          <w:p>
            <w:pPr>
              <w:keepNext w:val="0"/>
              <w:keepLines w:val="0"/>
              <w:suppressLineNumbers w:val="0"/>
              <w:spacing w:before="0" w:beforeAutospacing="0" w:after="0" w:afterAutospacing="0" w:line="360" w:lineRule="exact"/>
              <w:ind w:left="0" w:right="0"/>
              <w:jc w:val="center"/>
              <w:rPr>
                <w:rFonts w:hint="default"/>
                <w:color w:val="auto"/>
                <w:szCs w:val="21"/>
              </w:rPr>
            </w:pPr>
            <w:r>
              <w:rPr>
                <w:rFonts w:hint="default" w:hAnsi="宋体"/>
                <w:color w:val="auto"/>
                <w:szCs w:val="21"/>
              </w:rPr>
              <w:t>项目</w:t>
            </w:r>
            <w:r>
              <w:rPr>
                <w:rFonts w:hint="default"/>
                <w:color w:val="auto"/>
                <w:szCs w:val="21"/>
              </w:rPr>
              <w:t>Q=Σq</w:t>
            </w:r>
            <w:r>
              <w:rPr>
                <w:rFonts w:hint="default"/>
                <w:color w:val="auto"/>
                <w:szCs w:val="21"/>
                <w:vertAlign w:val="subscript"/>
              </w:rPr>
              <w:t>n</w:t>
            </w:r>
            <w:r>
              <w:rPr>
                <w:rFonts w:hint="default"/>
                <w:color w:val="auto"/>
                <w:szCs w:val="21"/>
              </w:rPr>
              <w:t>/Q</w:t>
            </w:r>
            <w:r>
              <w:rPr>
                <w:rFonts w:hint="default"/>
                <w:color w:val="auto"/>
                <w:szCs w:val="21"/>
                <w:vertAlign w:val="subscript"/>
              </w:rPr>
              <w:t>n</w:t>
            </w:r>
          </w:p>
        </w:tc>
        <w:tc>
          <w:tcPr>
            <w:tcW w:w="1978" w:type="dxa"/>
            <w:noWrap w:val="0"/>
            <w:vAlign w:val="top"/>
          </w:tcPr>
          <w:p>
            <w:pPr>
              <w:keepNext w:val="0"/>
              <w:keepLines w:val="0"/>
              <w:suppressLineNumbers w:val="0"/>
              <w:spacing w:before="0" w:beforeAutospacing="0" w:after="0" w:afterAutospacing="0" w:line="360" w:lineRule="exact"/>
              <w:ind w:left="0" w:right="0"/>
              <w:jc w:val="center"/>
              <w:rPr>
                <w:rFonts w:hint="default" w:eastAsia="宋体"/>
                <w:color w:val="auto"/>
                <w:szCs w:val="21"/>
                <w:lang w:val="en-US" w:eastAsia="zh-CN"/>
              </w:rPr>
            </w:pPr>
            <w:r>
              <w:rPr>
                <w:rFonts w:hint="eastAsia"/>
                <w:color w:val="auto"/>
                <w:szCs w:val="21"/>
                <w:lang w:val="en-US" w:eastAsia="zh-CN"/>
              </w:rPr>
              <w:t>0.29</w:t>
            </w:r>
          </w:p>
        </w:tc>
      </w:tr>
    </w:tbl>
    <w:p>
      <w:pPr>
        <w:pStyle w:val="6"/>
        <w:snapToGrid w:val="0"/>
        <w:spacing w:before="159" w:beforeLines="50" w:after="159" w:afterLines="50" w:line="500" w:lineRule="exact"/>
        <w:rPr>
          <w:rFonts w:ascii="Times New Roman" w:hAnsi="Times New Roman" w:eastAsia="宋体"/>
          <w:b w:val="0"/>
          <w:bCs w:val="0"/>
          <w:snapToGrid w:val="0"/>
          <w:color w:val="auto"/>
        </w:rPr>
      </w:pPr>
      <w:r>
        <w:rPr>
          <w:rFonts w:ascii="Times New Roman" w:hAnsi="Times New Roman" w:eastAsia="宋体"/>
          <w:b w:val="0"/>
          <w:bCs w:val="0"/>
          <w:snapToGrid w:val="0"/>
          <w:color w:val="auto"/>
        </w:rPr>
        <w:t>评价等级</w:t>
      </w:r>
    </w:p>
    <w:p>
      <w:pPr>
        <w:spacing w:line="480" w:lineRule="exact"/>
        <w:ind w:firstLine="576" w:firstLineChars="206"/>
        <w:rPr>
          <w:color w:val="auto"/>
          <w:sz w:val="28"/>
          <w:szCs w:val="28"/>
        </w:rPr>
      </w:pPr>
      <w:r>
        <w:rPr>
          <w:color w:val="auto"/>
          <w:sz w:val="28"/>
          <w:szCs w:val="28"/>
        </w:rPr>
        <w:t>根据《建设项目环境风险评价技术导则》（HJ169-2018）中评价等级的判定方法（见表2.</w:t>
      </w:r>
      <w:r>
        <w:rPr>
          <w:rFonts w:hint="eastAsia"/>
          <w:color w:val="auto"/>
          <w:sz w:val="28"/>
          <w:szCs w:val="28"/>
          <w:lang w:val="en-US" w:eastAsia="zh-CN"/>
        </w:rPr>
        <w:t>6</w:t>
      </w:r>
      <w:r>
        <w:rPr>
          <w:color w:val="auto"/>
          <w:sz w:val="28"/>
          <w:szCs w:val="28"/>
        </w:rPr>
        <w:t>-</w:t>
      </w:r>
      <w:r>
        <w:rPr>
          <w:rFonts w:hint="eastAsia"/>
          <w:color w:val="auto"/>
          <w:sz w:val="28"/>
          <w:szCs w:val="28"/>
          <w:lang w:val="en-US" w:eastAsia="zh-CN"/>
        </w:rPr>
        <w:t>7</w:t>
      </w:r>
      <w:r>
        <w:rPr>
          <w:color w:val="auto"/>
          <w:sz w:val="28"/>
          <w:szCs w:val="28"/>
        </w:rPr>
        <w:t>），本项目Q=</w:t>
      </w:r>
      <w:r>
        <w:rPr>
          <w:rFonts w:hint="eastAsia"/>
          <w:color w:val="auto"/>
          <w:sz w:val="28"/>
          <w:szCs w:val="28"/>
          <w:lang w:val="en-US" w:eastAsia="zh-CN"/>
        </w:rPr>
        <w:t>0.29</w:t>
      </w:r>
      <w:r>
        <w:rPr>
          <w:color w:val="auto"/>
          <w:sz w:val="28"/>
          <w:szCs w:val="28"/>
        </w:rPr>
        <w:t>＜1，环境风险潜势为</w:t>
      </w:r>
      <w:r>
        <w:rPr>
          <w:rFonts w:hint="eastAsia" w:ascii="宋体" w:hAnsi="宋体" w:cs="宋体"/>
          <w:color w:val="auto"/>
          <w:sz w:val="28"/>
          <w:szCs w:val="28"/>
        </w:rPr>
        <w:t>Ⅰ</w:t>
      </w:r>
      <w:r>
        <w:rPr>
          <w:color w:val="auto"/>
          <w:sz w:val="28"/>
          <w:szCs w:val="28"/>
        </w:rPr>
        <w:t>，确定本工程风险评价等级为简单分析。</w:t>
      </w:r>
    </w:p>
    <w:p>
      <w:pPr>
        <w:pStyle w:val="7"/>
        <w:bidi w:val="0"/>
        <w:rPr>
          <w:iCs/>
          <w:color w:val="auto"/>
          <w:sz w:val="28"/>
          <w:szCs w:val="28"/>
        </w:rPr>
      </w:pPr>
      <w:r>
        <w:rPr>
          <w:rFonts w:hint="eastAsia"/>
          <w:iCs/>
          <w:color w:val="auto"/>
          <w:sz w:val="28"/>
          <w:szCs w:val="28"/>
        </w:rPr>
        <w:t xml:space="preserve"> </w:t>
      </w:r>
      <w:r>
        <w:rPr>
          <w:iCs/>
          <w:color w:val="auto"/>
          <w:sz w:val="28"/>
          <w:szCs w:val="28"/>
        </w:rPr>
        <w:t>环境风险评价工作级别</w:t>
      </w:r>
    </w:p>
    <w:tbl>
      <w:tblPr>
        <w:tblStyle w:val="34"/>
        <w:tblW w:w="9082" w:type="dxa"/>
        <w:jc w:val="center"/>
        <w:tblLayout w:type="fixed"/>
        <w:tblCellMar>
          <w:top w:w="0" w:type="dxa"/>
          <w:left w:w="0" w:type="dxa"/>
          <w:bottom w:w="0" w:type="dxa"/>
          <w:right w:w="0" w:type="dxa"/>
        </w:tblCellMar>
      </w:tblPr>
      <w:tblGrid>
        <w:gridCol w:w="1701"/>
        <w:gridCol w:w="1604"/>
        <w:gridCol w:w="1846"/>
        <w:gridCol w:w="1846"/>
        <w:gridCol w:w="2085"/>
      </w:tblGrid>
      <w:tr>
        <w:tblPrEx>
          <w:tblCellMar>
            <w:top w:w="0" w:type="dxa"/>
            <w:left w:w="0" w:type="dxa"/>
            <w:bottom w:w="0" w:type="dxa"/>
            <w:right w:w="0" w:type="dxa"/>
          </w:tblCellMar>
        </w:tblPrEx>
        <w:trPr>
          <w:trHeight w:val="340" w:hRule="exact"/>
          <w:jc w:val="center"/>
        </w:trPr>
        <w:tc>
          <w:tcPr>
            <w:tcW w:w="1701" w:type="dxa"/>
            <w:tcBorders>
              <w:top w:val="single" w:color="000000" w:sz="6" w:space="0"/>
              <w:left w:val="single" w:color="000000" w:sz="6" w:space="0"/>
              <w:bottom w:val="single" w:color="000000" w:sz="4" w:space="0"/>
              <w:right w:val="single" w:color="000000" w:sz="4"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环境风险潜势</w:t>
            </w:r>
          </w:p>
        </w:tc>
        <w:tc>
          <w:tcPr>
            <w:tcW w:w="1604" w:type="dxa"/>
            <w:tcBorders>
              <w:top w:val="single" w:color="000000" w:sz="6" w:space="0"/>
              <w:left w:val="single" w:color="000000" w:sz="4" w:space="0"/>
              <w:bottom w:val="single" w:color="000000" w:sz="4" w:space="0"/>
              <w:right w:val="single" w:color="000000" w:sz="4"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eastAsia" w:ascii="宋体" w:hAnsi="宋体" w:eastAsia="宋体" w:cs="宋体"/>
                <w:color w:val="auto"/>
                <w:sz w:val="21"/>
                <w:szCs w:val="21"/>
              </w:rPr>
              <w:t>Ⅳ、Ⅳ</w:t>
            </w:r>
            <w:r>
              <w:rPr>
                <w:rFonts w:hint="eastAsia" w:ascii="宋体" w:hAnsi="宋体" w:eastAsia="宋体" w:cs="宋体"/>
                <w:color w:val="auto"/>
                <w:sz w:val="21"/>
                <w:szCs w:val="21"/>
                <w:vertAlign w:val="superscript"/>
              </w:rPr>
              <w:t>+</w:t>
            </w:r>
          </w:p>
        </w:tc>
        <w:tc>
          <w:tcPr>
            <w:tcW w:w="1846" w:type="dxa"/>
            <w:tcBorders>
              <w:top w:val="single" w:color="000000" w:sz="6" w:space="0"/>
              <w:left w:val="single" w:color="000000" w:sz="4" w:space="0"/>
              <w:bottom w:val="single" w:color="000000" w:sz="4" w:space="0"/>
              <w:right w:val="single" w:color="000000" w:sz="4"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eastAsia" w:ascii="宋体" w:hAnsi="宋体" w:eastAsia="宋体" w:cs="宋体"/>
                <w:color w:val="auto"/>
                <w:sz w:val="21"/>
                <w:szCs w:val="21"/>
              </w:rPr>
              <w:t>Ⅲ</w:t>
            </w:r>
          </w:p>
        </w:tc>
        <w:tc>
          <w:tcPr>
            <w:tcW w:w="1846" w:type="dxa"/>
            <w:tcBorders>
              <w:top w:val="single" w:color="000000" w:sz="6" w:space="0"/>
              <w:left w:val="single" w:color="000000" w:sz="4" w:space="0"/>
              <w:bottom w:val="single" w:color="000000" w:sz="4" w:space="0"/>
              <w:right w:val="single" w:color="000000" w:sz="4"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eastAsia" w:ascii="宋体" w:hAnsi="宋体" w:eastAsia="宋体" w:cs="宋体"/>
                <w:color w:val="auto"/>
                <w:sz w:val="21"/>
                <w:szCs w:val="21"/>
              </w:rPr>
              <w:t>Ⅱ</w:t>
            </w:r>
          </w:p>
        </w:tc>
        <w:tc>
          <w:tcPr>
            <w:tcW w:w="2085" w:type="dxa"/>
            <w:tcBorders>
              <w:top w:val="single" w:color="000000" w:sz="6" w:space="0"/>
              <w:left w:val="single" w:color="000000" w:sz="4" w:space="0"/>
              <w:bottom w:val="single" w:color="000000" w:sz="4" w:space="0"/>
              <w:right w:val="single" w:color="000000" w:sz="6"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eastAsia" w:ascii="宋体" w:hAnsi="宋体" w:eastAsia="宋体" w:cs="宋体"/>
                <w:color w:val="auto"/>
                <w:sz w:val="21"/>
                <w:szCs w:val="21"/>
              </w:rPr>
              <w:t>Ⅰ</w:t>
            </w:r>
          </w:p>
        </w:tc>
      </w:tr>
      <w:tr>
        <w:tblPrEx>
          <w:tblCellMar>
            <w:top w:w="0" w:type="dxa"/>
            <w:left w:w="0" w:type="dxa"/>
            <w:bottom w:w="0" w:type="dxa"/>
            <w:right w:w="0" w:type="dxa"/>
          </w:tblCellMar>
        </w:tblPrEx>
        <w:trPr>
          <w:trHeight w:val="340" w:hRule="exact"/>
          <w:jc w:val="center"/>
        </w:trPr>
        <w:tc>
          <w:tcPr>
            <w:tcW w:w="1701" w:type="dxa"/>
            <w:tcBorders>
              <w:top w:val="single" w:color="000000" w:sz="4" w:space="0"/>
              <w:left w:val="single" w:color="000000" w:sz="6" w:space="0"/>
              <w:bottom w:val="single" w:color="000000" w:sz="4" w:space="0"/>
              <w:right w:val="single" w:color="000000" w:sz="4"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评价工作等级</w:t>
            </w:r>
          </w:p>
        </w:tc>
        <w:tc>
          <w:tcPr>
            <w:tcW w:w="1604" w:type="dxa"/>
            <w:tcBorders>
              <w:top w:val="single" w:color="000000" w:sz="4" w:space="0"/>
              <w:left w:val="single" w:color="000000" w:sz="4" w:space="0"/>
              <w:bottom w:val="single" w:color="000000" w:sz="4" w:space="0"/>
              <w:right w:val="single" w:color="000000" w:sz="4"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一</w:t>
            </w:r>
          </w:p>
        </w:tc>
        <w:tc>
          <w:tcPr>
            <w:tcW w:w="1846" w:type="dxa"/>
            <w:tcBorders>
              <w:top w:val="single" w:color="000000" w:sz="4" w:space="0"/>
              <w:left w:val="single" w:color="000000" w:sz="4" w:space="0"/>
              <w:bottom w:val="single" w:color="000000" w:sz="4" w:space="0"/>
              <w:right w:val="single" w:color="000000" w:sz="4"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二</w:t>
            </w:r>
          </w:p>
        </w:tc>
        <w:tc>
          <w:tcPr>
            <w:tcW w:w="1846" w:type="dxa"/>
            <w:tcBorders>
              <w:top w:val="single" w:color="000000" w:sz="4" w:space="0"/>
              <w:left w:val="single" w:color="000000" w:sz="4" w:space="0"/>
              <w:bottom w:val="single" w:color="000000" w:sz="4" w:space="0"/>
              <w:right w:val="single" w:color="000000" w:sz="4"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三</w:t>
            </w:r>
          </w:p>
        </w:tc>
        <w:tc>
          <w:tcPr>
            <w:tcW w:w="2085" w:type="dxa"/>
            <w:tcBorders>
              <w:top w:val="single" w:color="000000" w:sz="4" w:space="0"/>
              <w:left w:val="single" w:color="000000" w:sz="4" w:space="0"/>
              <w:bottom w:val="single" w:color="000000" w:sz="4" w:space="0"/>
              <w:right w:val="single" w:color="000000" w:sz="6" w:space="0"/>
            </w:tcBorders>
            <w:vAlign w:val="center"/>
          </w:tcPr>
          <w:p>
            <w:pPr>
              <w:pStyle w:val="78"/>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简单分析</w:t>
            </w:r>
          </w:p>
        </w:tc>
      </w:tr>
    </w:tbl>
    <w:p>
      <w:pPr>
        <w:pStyle w:val="4"/>
        <w:spacing w:before="156" w:after="156"/>
        <w:rPr>
          <w:color w:val="auto"/>
        </w:rPr>
      </w:pPr>
      <w:bookmarkStart w:id="283" w:name="_Toc16920"/>
      <w:bookmarkStart w:id="284" w:name="_Toc17941"/>
      <w:bookmarkStart w:id="285" w:name="_Toc28322"/>
      <w:bookmarkStart w:id="286" w:name="_Toc31620"/>
      <w:bookmarkStart w:id="287" w:name="_Toc21496"/>
      <w:bookmarkStart w:id="288" w:name="_Toc49174968"/>
      <w:bookmarkStart w:id="289" w:name="_Toc49174793"/>
      <w:bookmarkStart w:id="290" w:name="_Toc49174396"/>
      <w:bookmarkStart w:id="291" w:name="_Toc49174606"/>
      <w:bookmarkStart w:id="292" w:name="_Toc49174715"/>
      <w:r>
        <w:rPr>
          <w:color w:val="auto"/>
        </w:rPr>
        <w:t>评价范围</w:t>
      </w:r>
      <w:bookmarkEnd w:id="283"/>
      <w:bookmarkEnd w:id="284"/>
      <w:bookmarkEnd w:id="285"/>
      <w:bookmarkEnd w:id="286"/>
      <w:r>
        <w:rPr>
          <w:color w:val="auto"/>
        </w:rPr>
        <w:t>及环境保护目标</w:t>
      </w:r>
      <w:bookmarkEnd w:id="287"/>
      <w:bookmarkEnd w:id="288"/>
      <w:bookmarkEnd w:id="289"/>
      <w:bookmarkEnd w:id="290"/>
      <w:bookmarkEnd w:id="291"/>
      <w:bookmarkEnd w:id="292"/>
    </w:p>
    <w:p>
      <w:pPr>
        <w:pStyle w:val="5"/>
        <w:spacing w:before="156" w:after="156"/>
        <w:rPr>
          <w:color w:val="auto"/>
        </w:rPr>
      </w:pPr>
      <w:bookmarkStart w:id="293" w:name="_Toc16599"/>
      <w:bookmarkStart w:id="294" w:name="_Toc25320"/>
      <w:bookmarkStart w:id="295" w:name="_Toc4717"/>
      <w:bookmarkStart w:id="296" w:name="_Toc17434"/>
      <w:bookmarkStart w:id="297" w:name="_Toc28022"/>
      <w:bookmarkStart w:id="298" w:name="_Toc18121"/>
      <w:bookmarkStart w:id="299" w:name="_Toc22296"/>
      <w:bookmarkStart w:id="300" w:name="_Toc49174969"/>
      <w:bookmarkStart w:id="301" w:name="_Toc49174794"/>
      <w:r>
        <w:rPr>
          <w:color w:val="auto"/>
        </w:rPr>
        <w:t>大气环境</w:t>
      </w:r>
      <w:bookmarkEnd w:id="293"/>
      <w:bookmarkEnd w:id="294"/>
      <w:bookmarkEnd w:id="295"/>
      <w:bookmarkEnd w:id="296"/>
      <w:bookmarkEnd w:id="297"/>
      <w:bookmarkEnd w:id="298"/>
      <w:bookmarkEnd w:id="299"/>
      <w:r>
        <w:rPr>
          <w:color w:val="auto"/>
        </w:rPr>
        <w:t>评价范围及保护目标</w:t>
      </w:r>
      <w:bookmarkEnd w:id="300"/>
      <w:bookmarkEnd w:id="301"/>
    </w:p>
    <w:p>
      <w:pPr>
        <w:pStyle w:val="33"/>
        <w:rPr>
          <w:color w:val="auto"/>
        </w:rPr>
      </w:pPr>
      <w:r>
        <w:rPr>
          <w:rFonts w:hAnsi="宋体"/>
          <w:color w:val="auto"/>
          <w:sz w:val="28"/>
          <w:szCs w:val="28"/>
        </w:rPr>
        <w:t>本项目</w:t>
      </w:r>
      <w:r>
        <w:rPr>
          <w:rFonts w:hint="eastAsia" w:hAnsi="宋体"/>
          <w:color w:val="auto"/>
          <w:sz w:val="28"/>
          <w:szCs w:val="28"/>
        </w:rPr>
        <w:t>不判定本工程大气环境影响评价等级</w:t>
      </w:r>
      <w:r>
        <w:rPr>
          <w:rFonts w:hAnsi="宋体"/>
          <w:color w:val="auto"/>
          <w:sz w:val="28"/>
          <w:szCs w:val="28"/>
        </w:rPr>
        <w:t>，不设置</w:t>
      </w:r>
      <w:r>
        <w:rPr>
          <w:rFonts w:hAnsi="宋体"/>
          <w:snapToGrid w:val="0"/>
          <w:color w:val="auto"/>
          <w:kern w:val="0"/>
          <w:sz w:val="28"/>
          <w:szCs w:val="28"/>
        </w:rPr>
        <w:t>大气环境影响评价范围。</w:t>
      </w:r>
      <w:r>
        <w:rPr>
          <w:rFonts w:hint="eastAsia" w:hAnsi="宋体"/>
          <w:snapToGrid w:val="0"/>
          <w:color w:val="auto"/>
          <w:kern w:val="0"/>
          <w:sz w:val="28"/>
          <w:szCs w:val="28"/>
        </w:rPr>
        <w:t>结合周边环境状况，</w:t>
      </w:r>
      <w:r>
        <w:rPr>
          <w:rFonts w:hint="eastAsia"/>
          <w:color w:val="auto"/>
        </w:rPr>
        <w:t>考虑施工期柴油机烟气、施工扬尘等影响，将拟钻井周边较近的村屯设置为大气环境保护目标，具体见表2.</w:t>
      </w:r>
      <w:r>
        <w:rPr>
          <w:rFonts w:hint="eastAsia"/>
          <w:color w:val="auto"/>
          <w:lang w:val="en-US" w:eastAsia="zh-CN"/>
        </w:rPr>
        <w:t>7</w:t>
      </w:r>
      <w:r>
        <w:rPr>
          <w:rFonts w:hint="eastAsia"/>
          <w:color w:val="auto"/>
        </w:rPr>
        <w:t>-1和</w:t>
      </w:r>
      <w:r>
        <w:rPr>
          <w:rFonts w:hint="eastAsia"/>
          <w:color w:val="auto"/>
          <w:lang w:eastAsia="zh-CN"/>
        </w:rPr>
        <w:t>附图</w:t>
      </w:r>
      <w:r>
        <w:rPr>
          <w:rFonts w:hint="eastAsia"/>
          <w:color w:val="auto"/>
        </w:rPr>
        <w:t>2.</w:t>
      </w:r>
      <w:r>
        <w:rPr>
          <w:rFonts w:hint="eastAsia"/>
          <w:color w:val="auto"/>
          <w:lang w:val="en-US" w:eastAsia="zh-CN"/>
        </w:rPr>
        <w:t>7</w:t>
      </w:r>
      <w:r>
        <w:rPr>
          <w:rFonts w:hint="eastAsia"/>
          <w:color w:val="auto"/>
        </w:rPr>
        <w:t>-1</w:t>
      </w:r>
      <w:r>
        <w:rPr>
          <w:color w:val="auto"/>
        </w:rPr>
        <w:t>。</w:t>
      </w:r>
    </w:p>
    <w:p>
      <w:pPr>
        <w:pStyle w:val="7"/>
        <w:bidi w:val="0"/>
        <w:rPr>
          <w:color w:val="auto"/>
        </w:rPr>
      </w:pPr>
      <w:r>
        <w:rPr>
          <w:rFonts w:hint="eastAsia"/>
          <w:color w:val="auto"/>
        </w:rPr>
        <w:t>本项目大气环境保护目标一览表</w:t>
      </w:r>
    </w:p>
    <w:tbl>
      <w:tblPr>
        <w:tblStyle w:val="34"/>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7"/>
        <w:gridCol w:w="1135"/>
        <w:gridCol w:w="1275"/>
        <w:gridCol w:w="1235"/>
        <w:gridCol w:w="1086"/>
        <w:gridCol w:w="777"/>
        <w:gridCol w:w="1711"/>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blHeader/>
          <w:jc w:val="center"/>
        </w:trPr>
        <w:tc>
          <w:tcPr>
            <w:tcW w:w="997" w:type="dxa"/>
            <w:vMerge w:val="restart"/>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名称</w:t>
            </w:r>
          </w:p>
        </w:tc>
        <w:tc>
          <w:tcPr>
            <w:tcW w:w="2410" w:type="dxa"/>
            <w:gridSpan w:val="2"/>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坐标</w:t>
            </w:r>
          </w:p>
        </w:tc>
        <w:tc>
          <w:tcPr>
            <w:tcW w:w="1235" w:type="dxa"/>
            <w:vMerge w:val="restart"/>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保护</w:t>
            </w:r>
          </w:p>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对象</w:t>
            </w:r>
          </w:p>
        </w:tc>
        <w:tc>
          <w:tcPr>
            <w:tcW w:w="1086" w:type="dxa"/>
            <w:vMerge w:val="restart"/>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保护</w:t>
            </w:r>
          </w:p>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内容</w:t>
            </w:r>
          </w:p>
        </w:tc>
        <w:tc>
          <w:tcPr>
            <w:tcW w:w="777" w:type="dxa"/>
            <w:vMerge w:val="restart"/>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环境功能区</w:t>
            </w:r>
          </w:p>
        </w:tc>
        <w:tc>
          <w:tcPr>
            <w:tcW w:w="1711" w:type="dxa"/>
            <w:vMerge w:val="restart"/>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相对工程</w:t>
            </w:r>
          </w:p>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方位</w:t>
            </w:r>
          </w:p>
        </w:tc>
        <w:tc>
          <w:tcPr>
            <w:tcW w:w="865" w:type="dxa"/>
            <w:vMerge w:val="restart"/>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相对工程距离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3" w:hRule="atLeast"/>
          <w:tblHeader/>
          <w:jc w:val="center"/>
        </w:trPr>
        <w:tc>
          <w:tcPr>
            <w:tcW w:w="997" w:type="dxa"/>
            <w:vMerge w:val="continue"/>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纬度</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lang w:eastAsia="zh-CN"/>
              </w:rPr>
              <w:t>经度</w:t>
            </w:r>
          </w:p>
        </w:tc>
        <w:tc>
          <w:tcPr>
            <w:tcW w:w="1235" w:type="dxa"/>
            <w:vMerge w:val="continue"/>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086" w:type="dxa"/>
            <w:vMerge w:val="continue"/>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777" w:type="dxa"/>
            <w:vMerge w:val="continue"/>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1711" w:type="dxa"/>
            <w:vMerge w:val="continue"/>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c>
          <w:tcPr>
            <w:tcW w:w="865" w:type="dxa"/>
            <w:vMerge w:val="continue"/>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保田村</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125°19'08.5208"</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46°11'20.9873"</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村屯，400人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距离H井场东南侧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229</w:t>
            </w:r>
            <w:r>
              <w:rPr>
                <w:rFonts w:hint="default" w:ascii="Times New Roman" w:hAnsi="Times New Roman" w:cs="Times New Roman"/>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拥护村（十二号）</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125°18'31.0510"</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46°12'56.9257"</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村屯，150人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距离拟建集气站北偏东方向</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289</w:t>
            </w:r>
            <w:r>
              <w:rPr>
                <w:rFonts w:hint="default" w:ascii="Times New Roman" w:hAnsi="Times New Roman" w:cs="Times New Roman"/>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新立屯</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125°20'54.1241"</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46°12'59.2748"</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村屯，150人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距离H井场西北侧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08</w:t>
            </w:r>
            <w:r>
              <w:rPr>
                <w:rFonts w:hint="default" w:ascii="Times New Roman" w:hAnsi="Times New Roman" w:cs="Times New Roman"/>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白家屯</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125°17'25.7087"</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46°13'01.1064"</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村屯，160人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距离D井场北侧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331</w:t>
            </w:r>
            <w:r>
              <w:rPr>
                <w:rFonts w:hint="default" w:ascii="Times New Roman" w:hAnsi="Times New Roman" w:cs="Times New Roman"/>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升平镇</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125°16'06.0306"</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46°12'53.4501"</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村屯，200人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374</w:t>
            </w:r>
            <w:r>
              <w:rPr>
                <w:rFonts w:hint="default" w:ascii="Times New Roman" w:hAnsi="Times New Roman" w:cs="Times New Roman"/>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赵不得了</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125°18'52.1072"</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46°12'01.9093"</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距离H井场井场东南侧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600</w:t>
            </w:r>
            <w:r>
              <w:rPr>
                <w:rFonts w:hint="default" w:ascii="Times New Roman" w:hAnsi="Times New Roman" w:cs="Times New Roman"/>
                <w:color w:val="auto"/>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刘万义屯</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125°15'43.4663"</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46°13'37.9553"</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村屯，400人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距离A井场西北侧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929</w:t>
            </w:r>
            <w:r>
              <w:rPr>
                <w:rFonts w:hint="eastAsia" w:cs="Times New Roman"/>
                <w:color w:val="auto"/>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无名-现场看</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125°18'58.2437"</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46°13'41.0040"</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村屯，150人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距离E井场东北侧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1.25</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韩林屯</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125°18'57.9798"</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46°10'42.7897"</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村屯，150人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距离H井场东南侧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1.375</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胡老拾-王家维子</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125°19'57.4851"</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46°11'55.2951"</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村屯，160人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距离SPKP21井场井场东偏南侧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1.57</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弓朋屯-太平村</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125°16'58.1378"</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46°10'50.8538"</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村屯，200人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距离H井场西南侧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1.68</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胡井安</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125°16'23.1837"</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46°11'40.8716"</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距离C井场西北侧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1.74</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十一号</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125°19'35.1929"</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46°13'39.6828"</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村屯，400人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距离E井场东偏北侧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1.79</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平泉屯</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125°18'30.7141"</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46°10'22.9555"</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村屯，150人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1.834</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曾家屯</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125°15'42.6996"</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46°14'13.3770"</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村屯，150人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距离A井场西北侧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1.86</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王麻店</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125°17'35.6306"</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46°14'25.0039"</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村屯，160人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距离B井场北侧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1.98</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部落</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125°20'08.3242"</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46°11'18.5337"</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村屯，200人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距离H井场东侧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2.02</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王二勺</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125°17'02.3560"</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46°14'39.9224"</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距离B井场东北侧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2.03</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高明礼窝棚</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125°15'39.1262"</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46°12'29.6046"</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村屯，400人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距离C井场西侧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2.15</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魏家屯</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125°15'42.9885"</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46°12'17.9532"</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村屯，150人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距离C井场西侧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2.18</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平力屯</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125°17'03.8556"</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46°10'07.1129"</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村屯，150人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距离H井场西南侧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2.235</w:t>
            </w:r>
            <w:r>
              <w:rPr>
                <w:rFonts w:hint="eastAsia" w:cs="Times New Roman"/>
                <w:color w:val="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中心村</w:t>
            </w:r>
          </w:p>
        </w:tc>
        <w:tc>
          <w:tcPr>
            <w:tcW w:w="11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125°17'56.6878"</w:t>
            </w:r>
          </w:p>
        </w:tc>
        <w:tc>
          <w:tcPr>
            <w:tcW w:w="127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46°14'31.2292"</w:t>
            </w:r>
          </w:p>
        </w:tc>
        <w:tc>
          <w:tcPr>
            <w:tcW w:w="123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村屯，160人</w:t>
            </w:r>
          </w:p>
        </w:tc>
        <w:tc>
          <w:tcPr>
            <w:tcW w:w="1086"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大气环境</w:t>
            </w:r>
          </w:p>
        </w:tc>
        <w:tc>
          <w:tcPr>
            <w:tcW w:w="777"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二类</w:t>
            </w:r>
          </w:p>
        </w:tc>
        <w:tc>
          <w:tcPr>
            <w:tcW w:w="1711"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lang w:val="en-US" w:eastAsia="zh-CN"/>
              </w:rPr>
              <w:t>距离B井场东北侧</w:t>
            </w:r>
          </w:p>
        </w:tc>
        <w:tc>
          <w:tcPr>
            <w:tcW w:w="865" w:type="dxa"/>
            <w:vAlign w:val="center"/>
          </w:tcPr>
          <w:p>
            <w:pPr>
              <w:pStyle w:val="81"/>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2.47</w:t>
            </w:r>
            <w:r>
              <w:rPr>
                <w:rFonts w:hint="eastAsia" w:cs="Times New Roman"/>
                <w:color w:val="auto"/>
                <w:lang w:val="en-US" w:eastAsia="zh-CN"/>
              </w:rPr>
              <w:t>km</w:t>
            </w:r>
          </w:p>
        </w:tc>
      </w:tr>
    </w:tbl>
    <w:p>
      <w:pPr>
        <w:pStyle w:val="5"/>
        <w:spacing w:before="156" w:after="156"/>
        <w:rPr>
          <w:color w:val="auto"/>
        </w:rPr>
      </w:pPr>
      <w:bookmarkStart w:id="302" w:name="_Toc49174795"/>
      <w:bookmarkStart w:id="303" w:name="_Toc49174970"/>
      <w:bookmarkStart w:id="304" w:name="_Toc20832"/>
      <w:bookmarkStart w:id="305" w:name="_Toc8044"/>
      <w:bookmarkStart w:id="306" w:name="_Toc2823"/>
      <w:bookmarkStart w:id="307" w:name="_Toc11461"/>
      <w:bookmarkStart w:id="308" w:name="_Toc29052"/>
      <w:bookmarkStart w:id="309" w:name="_Toc2584"/>
      <w:bookmarkStart w:id="310" w:name="_Toc12813"/>
      <w:r>
        <w:rPr>
          <w:color w:val="auto"/>
        </w:rPr>
        <w:t>声环境评价范围及保护目标</w:t>
      </w:r>
      <w:bookmarkEnd w:id="302"/>
      <w:bookmarkEnd w:id="303"/>
    </w:p>
    <w:p>
      <w:pPr>
        <w:snapToGrid w:val="0"/>
        <w:spacing w:line="500" w:lineRule="exact"/>
        <w:ind w:firstLine="560" w:firstLineChars="200"/>
        <w:rPr>
          <w:snapToGrid w:val="0"/>
          <w:color w:val="auto"/>
          <w:kern w:val="0"/>
          <w:sz w:val="28"/>
          <w:szCs w:val="28"/>
        </w:rPr>
      </w:pPr>
      <w:r>
        <w:rPr>
          <w:rFonts w:hAnsi="宋体"/>
          <w:snapToGrid w:val="0"/>
          <w:color w:val="auto"/>
          <w:sz w:val="28"/>
          <w:szCs w:val="28"/>
        </w:rPr>
        <w:t>本工程声</w:t>
      </w:r>
      <w:r>
        <w:rPr>
          <w:rFonts w:hAnsi="宋体"/>
          <w:snapToGrid w:val="0"/>
          <w:color w:val="auto"/>
          <w:kern w:val="0"/>
          <w:sz w:val="28"/>
          <w:szCs w:val="28"/>
        </w:rPr>
        <w:t>环境评价</w:t>
      </w:r>
      <w:r>
        <w:rPr>
          <w:rFonts w:hAnsi="宋体"/>
          <w:snapToGrid w:val="0"/>
          <w:color w:val="auto"/>
          <w:sz w:val="28"/>
          <w:szCs w:val="28"/>
        </w:rPr>
        <w:t>范围为拟建井场厂界向外</w:t>
      </w:r>
      <w:r>
        <w:rPr>
          <w:snapToGrid w:val="0"/>
          <w:color w:val="auto"/>
          <w:sz w:val="28"/>
          <w:szCs w:val="28"/>
        </w:rPr>
        <w:t>200m</w:t>
      </w:r>
      <w:r>
        <w:rPr>
          <w:rFonts w:hint="eastAsia" w:hAnsi="宋体"/>
          <w:snapToGrid w:val="0"/>
          <w:color w:val="auto"/>
          <w:kern w:val="0"/>
          <w:sz w:val="28"/>
          <w:szCs w:val="28"/>
        </w:rPr>
        <w:t>，在该范围内无</w:t>
      </w:r>
      <w:r>
        <w:rPr>
          <w:rFonts w:hAnsi="宋体"/>
          <w:color w:val="auto"/>
          <w:sz w:val="28"/>
        </w:rPr>
        <w:t>声环境</w:t>
      </w:r>
      <w:r>
        <w:rPr>
          <w:rFonts w:hAnsi="宋体"/>
          <w:snapToGrid w:val="0"/>
          <w:color w:val="auto"/>
          <w:kern w:val="0"/>
          <w:sz w:val="28"/>
          <w:szCs w:val="28"/>
        </w:rPr>
        <w:t>保护目标</w:t>
      </w:r>
      <w:r>
        <w:rPr>
          <w:rFonts w:hAnsi="宋体"/>
          <w:color w:val="auto"/>
          <w:sz w:val="28"/>
        </w:rPr>
        <w:t>。</w:t>
      </w:r>
    </w:p>
    <w:p>
      <w:pPr>
        <w:pStyle w:val="5"/>
        <w:spacing w:before="156" w:after="156"/>
        <w:rPr>
          <w:color w:val="auto"/>
        </w:rPr>
      </w:pPr>
      <w:bookmarkStart w:id="311" w:name="_Toc49174971"/>
      <w:bookmarkStart w:id="312" w:name="_Toc49174796"/>
      <w:r>
        <w:rPr>
          <w:color w:val="auto"/>
        </w:rPr>
        <w:t>生态环境评价范围及保护目标</w:t>
      </w:r>
      <w:bookmarkEnd w:id="311"/>
      <w:bookmarkEnd w:id="312"/>
    </w:p>
    <w:p>
      <w:pPr>
        <w:pStyle w:val="33"/>
        <w:rPr>
          <w:color w:val="auto"/>
        </w:rPr>
      </w:pPr>
      <w:r>
        <w:rPr>
          <w:color w:val="auto"/>
        </w:rPr>
        <w:t>本工程生态环境评价范围为</w:t>
      </w:r>
      <w:r>
        <w:rPr>
          <w:rFonts w:hint="eastAsia"/>
          <w:color w:val="auto"/>
        </w:rPr>
        <w:t>拟建</w:t>
      </w:r>
      <w:r>
        <w:rPr>
          <w:rFonts w:hint="eastAsia"/>
          <w:color w:val="auto"/>
          <w:lang w:eastAsia="zh-CN"/>
        </w:rPr>
        <w:t>井场</w:t>
      </w:r>
      <w:r>
        <w:rPr>
          <w:color w:val="auto"/>
        </w:rPr>
        <w:t>外扩1000m的生态环境。生态环境保护目标详见</w:t>
      </w:r>
      <w:r>
        <w:rPr>
          <w:rFonts w:hint="eastAsia"/>
          <w:color w:val="auto"/>
        </w:rPr>
        <w:t>下</w:t>
      </w:r>
      <w:r>
        <w:rPr>
          <w:color w:val="auto"/>
        </w:rPr>
        <w:t>表，</w:t>
      </w:r>
      <w:r>
        <w:rPr>
          <w:rFonts w:hint="eastAsia"/>
          <w:color w:val="auto"/>
        </w:rPr>
        <w:t>具体见表2.</w:t>
      </w:r>
      <w:r>
        <w:rPr>
          <w:rFonts w:hint="eastAsia"/>
          <w:color w:val="auto"/>
          <w:lang w:val="en-US" w:eastAsia="zh-CN"/>
        </w:rPr>
        <w:t>7</w:t>
      </w:r>
      <w:r>
        <w:rPr>
          <w:rFonts w:hint="eastAsia"/>
          <w:color w:val="auto"/>
        </w:rPr>
        <w:t>-</w:t>
      </w:r>
      <w:r>
        <w:rPr>
          <w:rFonts w:hint="eastAsia"/>
          <w:color w:val="auto"/>
          <w:lang w:val="en-US" w:eastAsia="zh-CN"/>
        </w:rPr>
        <w:t>2</w:t>
      </w:r>
      <w:r>
        <w:rPr>
          <w:rFonts w:hint="eastAsia"/>
          <w:color w:val="auto"/>
        </w:rPr>
        <w:t>和</w:t>
      </w:r>
      <w:r>
        <w:rPr>
          <w:rFonts w:hint="eastAsia"/>
          <w:color w:val="auto"/>
          <w:lang w:eastAsia="zh-CN"/>
        </w:rPr>
        <w:t>附图</w:t>
      </w:r>
      <w:r>
        <w:rPr>
          <w:rFonts w:hint="eastAsia"/>
          <w:color w:val="auto"/>
        </w:rPr>
        <w:t>2.</w:t>
      </w:r>
      <w:r>
        <w:rPr>
          <w:rFonts w:hint="eastAsia"/>
          <w:color w:val="auto"/>
          <w:lang w:val="en-US" w:eastAsia="zh-CN"/>
        </w:rPr>
        <w:t>7</w:t>
      </w:r>
      <w:r>
        <w:rPr>
          <w:rFonts w:hint="eastAsia"/>
          <w:color w:val="auto"/>
        </w:rPr>
        <w:t>-1</w:t>
      </w:r>
      <w:r>
        <w:rPr>
          <w:color w:val="auto"/>
        </w:rPr>
        <w:t>。</w:t>
      </w:r>
    </w:p>
    <w:p>
      <w:pPr>
        <w:pStyle w:val="7"/>
        <w:bidi w:val="0"/>
        <w:rPr>
          <w:color w:val="auto"/>
        </w:rPr>
      </w:pPr>
      <w:r>
        <w:rPr>
          <w:rFonts w:hint="eastAsia"/>
          <w:color w:val="auto"/>
        </w:rPr>
        <w:t>生态环境保护目标统计</w:t>
      </w:r>
    </w:p>
    <w:tbl>
      <w:tblPr>
        <w:tblStyle w:val="34"/>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977"/>
        <w:gridCol w:w="3118"/>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24"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名称</w:t>
            </w:r>
          </w:p>
        </w:tc>
        <w:tc>
          <w:tcPr>
            <w:tcW w:w="2977"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相对井场方位及最近距离</w:t>
            </w:r>
          </w:p>
        </w:tc>
        <w:tc>
          <w:tcPr>
            <w:tcW w:w="3118"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环境特征</w:t>
            </w:r>
          </w:p>
        </w:tc>
        <w:tc>
          <w:tcPr>
            <w:tcW w:w="1563"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r>
              <w:rPr>
                <w:rFonts w:hint="default" w:eastAsia="宋体"/>
                <w:color w:val="auto"/>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4"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rPr>
            </w:pPr>
            <w:bookmarkStart w:id="313" w:name="OLE_LINK3" w:colFirst="0" w:colLast="3"/>
            <w:bookmarkStart w:id="314" w:name="OLE_LINK12" w:colFirst="0" w:colLast="3"/>
            <w:bookmarkStart w:id="315" w:name="_Hlk534377342"/>
            <w:r>
              <w:rPr>
                <w:rFonts w:hint="default" w:eastAsia="宋体"/>
                <w:color w:val="auto"/>
                <w:kern w:val="24"/>
                <w:szCs w:val="21"/>
              </w:rPr>
              <w:t>植被</w:t>
            </w:r>
          </w:p>
        </w:tc>
        <w:tc>
          <w:tcPr>
            <w:tcW w:w="2977" w:type="dxa"/>
            <w:vAlign w:val="center"/>
          </w:tcPr>
          <w:p>
            <w:pPr>
              <w:keepNext w:val="0"/>
              <w:keepLines w:val="0"/>
              <w:suppressLineNumbers w:val="0"/>
              <w:adjustRightInd w:val="0"/>
              <w:snapToGrid w:val="0"/>
              <w:spacing w:before="0" w:beforeAutospacing="0" w:after="0" w:afterAutospacing="0" w:line="240" w:lineRule="exact"/>
              <w:ind w:left="0" w:right="0" w:firstLine="4"/>
              <w:jc w:val="center"/>
              <w:rPr>
                <w:rFonts w:hint="default" w:eastAsia="宋体"/>
                <w:color w:val="auto"/>
                <w:szCs w:val="21"/>
              </w:rPr>
            </w:pPr>
            <w:r>
              <w:rPr>
                <w:rFonts w:hint="default" w:eastAsia="宋体"/>
                <w:color w:val="auto"/>
                <w:kern w:val="24"/>
                <w:szCs w:val="21"/>
              </w:rPr>
              <w:t>油田开发区边界外扩1km</w:t>
            </w:r>
          </w:p>
        </w:tc>
        <w:tc>
          <w:tcPr>
            <w:tcW w:w="3118" w:type="dxa"/>
            <w:vAlign w:val="center"/>
          </w:tcPr>
          <w:p>
            <w:pPr>
              <w:keepNext w:val="0"/>
              <w:keepLines w:val="0"/>
              <w:suppressLineNumbers w:val="0"/>
              <w:spacing w:before="0" w:beforeAutospacing="0" w:after="0" w:afterAutospacing="0" w:line="240" w:lineRule="exact"/>
              <w:ind w:left="0" w:right="0"/>
              <w:rPr>
                <w:rFonts w:hint="eastAsia" w:eastAsia="宋体"/>
                <w:color w:val="auto"/>
                <w:szCs w:val="21"/>
              </w:rPr>
            </w:pPr>
            <w:r>
              <w:rPr>
                <w:rFonts w:hint="eastAsia" w:eastAsia="宋体"/>
                <w:color w:val="auto"/>
                <w:szCs w:val="21"/>
              </w:rPr>
              <w:t>周边耕地（基本农田）生态系统、草地（</w:t>
            </w:r>
            <w:r>
              <w:rPr>
                <w:rFonts w:hint="eastAsia"/>
                <w:color w:val="auto"/>
                <w:szCs w:val="21"/>
                <w:lang w:eastAsia="zh-CN"/>
              </w:rPr>
              <w:t>一般草地</w:t>
            </w:r>
            <w:r>
              <w:rPr>
                <w:rFonts w:hint="eastAsia" w:eastAsia="宋体"/>
                <w:color w:val="auto"/>
                <w:szCs w:val="21"/>
              </w:rPr>
              <w:t>）生态系统、林地生态系统</w:t>
            </w:r>
          </w:p>
        </w:tc>
        <w:tc>
          <w:tcPr>
            <w:tcW w:w="1563"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kern w:val="24"/>
                <w:szCs w:val="21"/>
              </w:rPr>
            </w:pPr>
            <w:r>
              <w:rPr>
                <w:rFonts w:hint="default" w:eastAsia="宋体"/>
                <w:color w:val="auto"/>
                <w:szCs w:val="21"/>
              </w:rPr>
              <w:t>不因本项目造成生态破坏</w:t>
            </w:r>
          </w:p>
        </w:tc>
      </w:tr>
      <w:bookmarkEnd w:id="304"/>
      <w:bookmarkEnd w:id="305"/>
      <w:bookmarkEnd w:id="306"/>
      <w:bookmarkEnd w:id="307"/>
      <w:bookmarkEnd w:id="308"/>
      <w:bookmarkEnd w:id="309"/>
      <w:bookmarkEnd w:id="310"/>
      <w:bookmarkEnd w:id="313"/>
      <w:bookmarkEnd w:id="314"/>
      <w:bookmarkEnd w:id="315"/>
    </w:tbl>
    <w:p>
      <w:pPr>
        <w:pStyle w:val="5"/>
        <w:spacing w:before="156" w:after="156"/>
        <w:rPr>
          <w:color w:val="auto"/>
        </w:rPr>
      </w:pPr>
      <w:bookmarkStart w:id="316" w:name="_Toc30027"/>
      <w:bookmarkStart w:id="317" w:name="_Toc7839"/>
      <w:bookmarkStart w:id="318" w:name="_Toc5045"/>
      <w:bookmarkStart w:id="319" w:name="_Toc4119"/>
      <w:bookmarkStart w:id="320" w:name="_Toc3663"/>
      <w:bookmarkStart w:id="321" w:name="_Toc21781"/>
      <w:bookmarkStart w:id="322" w:name="_Toc49174972"/>
      <w:bookmarkStart w:id="323" w:name="_Toc49174797"/>
      <w:r>
        <w:rPr>
          <w:color w:val="auto"/>
        </w:rPr>
        <w:t>地下水环境</w:t>
      </w:r>
      <w:bookmarkEnd w:id="316"/>
      <w:bookmarkEnd w:id="317"/>
      <w:bookmarkEnd w:id="318"/>
      <w:bookmarkEnd w:id="319"/>
      <w:bookmarkEnd w:id="320"/>
      <w:bookmarkEnd w:id="321"/>
      <w:r>
        <w:rPr>
          <w:color w:val="auto"/>
        </w:rPr>
        <w:t>评价范围及保护目标</w:t>
      </w:r>
      <w:bookmarkEnd w:id="322"/>
      <w:bookmarkEnd w:id="323"/>
    </w:p>
    <w:p>
      <w:pPr>
        <w:pStyle w:val="33"/>
        <w:rPr>
          <w:color w:val="auto"/>
        </w:rPr>
      </w:pPr>
      <w:bookmarkStart w:id="324" w:name="_Toc7958"/>
      <w:bookmarkStart w:id="325" w:name="_Toc13142"/>
      <w:bookmarkStart w:id="326" w:name="_Toc25970"/>
      <w:bookmarkStart w:id="327" w:name="_Toc22249"/>
      <w:bookmarkStart w:id="328" w:name="_Toc11867"/>
      <w:bookmarkStart w:id="329" w:name="_Toc2631"/>
      <w:bookmarkStart w:id="330" w:name="_Toc27558"/>
      <w:r>
        <w:rPr>
          <w:rFonts w:hint="eastAsia"/>
          <w:color w:val="auto"/>
        </w:rPr>
        <w:t>项目周边（1km范围之内）地下水水源保护区调查见下表</w:t>
      </w:r>
      <w:r>
        <w:rPr>
          <w:rFonts w:hint="eastAsia"/>
          <w:color w:val="auto"/>
          <w:lang w:val="en-US" w:eastAsia="zh-CN"/>
        </w:rPr>
        <w:t>2</w:t>
      </w:r>
      <w:r>
        <w:rPr>
          <w:rFonts w:hint="eastAsia"/>
          <w:color w:val="auto"/>
        </w:rPr>
        <w:t>.</w:t>
      </w:r>
      <w:r>
        <w:rPr>
          <w:rFonts w:hint="eastAsia"/>
          <w:color w:val="auto"/>
          <w:lang w:val="en-US" w:eastAsia="zh-CN"/>
        </w:rPr>
        <w:t>7</w:t>
      </w:r>
      <w:r>
        <w:rPr>
          <w:rFonts w:hint="eastAsia"/>
          <w:color w:val="auto"/>
        </w:rPr>
        <w:t>-3。由于地下水环境影响评价项目类别为IV类项目，不开展地下水环境影响评价，所以地下水无评价范围及保护目标。项目周边水源保护区统计表详见表2.</w:t>
      </w:r>
      <w:r>
        <w:rPr>
          <w:rFonts w:hint="eastAsia"/>
          <w:color w:val="auto"/>
          <w:lang w:val="en-US" w:eastAsia="zh-CN"/>
        </w:rPr>
        <w:t>7</w:t>
      </w:r>
      <w:r>
        <w:rPr>
          <w:rFonts w:hint="eastAsia"/>
          <w:color w:val="auto"/>
        </w:rPr>
        <w:t>-</w:t>
      </w:r>
      <w:r>
        <w:rPr>
          <w:rFonts w:hint="eastAsia"/>
          <w:color w:val="auto"/>
          <w:lang w:val="en-US" w:eastAsia="zh-CN"/>
        </w:rPr>
        <w:t>3</w:t>
      </w:r>
      <w:r>
        <w:rPr>
          <w:rFonts w:hint="eastAsia"/>
          <w:color w:val="auto"/>
        </w:rPr>
        <w:t>和</w:t>
      </w:r>
      <w:r>
        <w:rPr>
          <w:rFonts w:hint="eastAsia"/>
          <w:color w:val="auto"/>
          <w:lang w:eastAsia="zh-CN"/>
        </w:rPr>
        <w:t>附图</w:t>
      </w:r>
      <w:r>
        <w:rPr>
          <w:rFonts w:hint="eastAsia"/>
          <w:color w:val="auto"/>
        </w:rPr>
        <w:t>2.</w:t>
      </w:r>
      <w:r>
        <w:rPr>
          <w:rFonts w:hint="eastAsia"/>
          <w:color w:val="auto"/>
          <w:lang w:val="en-US" w:eastAsia="zh-CN"/>
        </w:rPr>
        <w:t>7</w:t>
      </w:r>
      <w:r>
        <w:rPr>
          <w:rFonts w:hint="eastAsia"/>
          <w:color w:val="auto"/>
        </w:rPr>
        <w:t>-1。</w:t>
      </w:r>
    </w:p>
    <w:p>
      <w:pPr>
        <w:pStyle w:val="7"/>
        <w:bidi w:val="0"/>
        <w:rPr>
          <w:color w:val="auto"/>
        </w:rPr>
      </w:pPr>
      <w:r>
        <w:rPr>
          <w:rFonts w:hint="eastAsia"/>
          <w:color w:val="auto"/>
        </w:rPr>
        <w:t>项目周边水源保护区统计表</w:t>
      </w:r>
    </w:p>
    <w:tbl>
      <w:tblPr>
        <w:tblStyle w:val="34"/>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871"/>
        <w:gridCol w:w="2375"/>
        <w:gridCol w:w="3750"/>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exact"/>
          <w:tblHeader/>
          <w:jc w:val="center"/>
        </w:trPr>
        <w:tc>
          <w:tcPr>
            <w:tcW w:w="1871"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 w:val="21"/>
                <w:szCs w:val="21"/>
              </w:rPr>
            </w:pPr>
            <w:r>
              <w:rPr>
                <w:rFonts w:hint="default" w:eastAsia="宋体"/>
                <w:color w:val="auto"/>
                <w:sz w:val="21"/>
                <w:szCs w:val="21"/>
              </w:rPr>
              <w:t>名称</w:t>
            </w:r>
          </w:p>
        </w:tc>
        <w:tc>
          <w:tcPr>
            <w:tcW w:w="2375"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 w:val="21"/>
                <w:szCs w:val="21"/>
              </w:rPr>
            </w:pPr>
            <w:r>
              <w:rPr>
                <w:rFonts w:hint="default" w:eastAsia="宋体"/>
                <w:color w:val="auto"/>
                <w:sz w:val="21"/>
                <w:szCs w:val="21"/>
              </w:rPr>
              <w:t>相对井场方位/最近距离</w:t>
            </w:r>
          </w:p>
        </w:tc>
        <w:tc>
          <w:tcPr>
            <w:tcW w:w="3750"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 w:val="21"/>
                <w:szCs w:val="21"/>
              </w:rPr>
            </w:pPr>
            <w:r>
              <w:rPr>
                <w:rFonts w:hint="default" w:eastAsia="宋体"/>
                <w:color w:val="auto"/>
                <w:sz w:val="21"/>
                <w:szCs w:val="21"/>
              </w:rPr>
              <w:t>环境特征</w:t>
            </w:r>
          </w:p>
        </w:tc>
        <w:tc>
          <w:tcPr>
            <w:tcW w:w="1187"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sz w:val="21"/>
                <w:szCs w:val="21"/>
              </w:rPr>
            </w:pPr>
            <w:r>
              <w:rPr>
                <w:rFonts w:hint="eastAsia" w:eastAsia="宋体"/>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871" w:type="dxa"/>
            <w:vAlign w:val="center"/>
          </w:tcPr>
          <w:p>
            <w:pPr>
              <w:keepNext w:val="0"/>
              <w:keepLines w:val="0"/>
              <w:suppressLineNumbers w:val="0"/>
              <w:bidi w:val="0"/>
              <w:spacing w:before="0" w:beforeAutospacing="0" w:after="0" w:afterAutospacing="0"/>
              <w:ind w:left="0" w:right="0"/>
              <w:rPr>
                <w:rFonts w:hint="default" w:ascii="宋体" w:hAnsi="宋体" w:cs="宋体"/>
                <w:color w:val="auto"/>
                <w:sz w:val="21"/>
                <w:szCs w:val="21"/>
              </w:rPr>
            </w:pPr>
            <w:r>
              <w:rPr>
                <w:rFonts w:hint="eastAsia"/>
                <w:color w:val="auto"/>
                <w:sz w:val="21"/>
                <w:szCs w:val="21"/>
              </w:rPr>
              <w:t>白家屯</w:t>
            </w:r>
            <w:r>
              <w:rPr>
                <w:rFonts w:hint="eastAsia"/>
                <w:color w:val="auto"/>
                <w:sz w:val="21"/>
                <w:szCs w:val="21"/>
                <w:lang w:eastAsia="zh-CN"/>
              </w:rPr>
              <w:t>潜水</w:t>
            </w:r>
            <w:r>
              <w:rPr>
                <w:rFonts w:hint="default"/>
                <w:color w:val="auto"/>
                <w:sz w:val="21"/>
                <w:szCs w:val="21"/>
              </w:rPr>
              <w:t>水井</w:t>
            </w:r>
          </w:p>
        </w:tc>
        <w:tc>
          <w:tcPr>
            <w:tcW w:w="2375" w:type="dxa"/>
            <w:vAlign w:val="center"/>
          </w:tcPr>
          <w:p>
            <w:pPr>
              <w:keepNext w:val="0"/>
              <w:keepLines w:val="0"/>
              <w:suppressLineNumbers w:val="0"/>
              <w:bidi w:val="0"/>
              <w:spacing w:before="0" w:beforeAutospacing="0" w:after="0" w:afterAutospacing="0"/>
              <w:ind w:left="0" w:right="0"/>
              <w:rPr>
                <w:rFonts w:hint="default" w:eastAsia="宋体"/>
                <w:color w:val="auto"/>
                <w:sz w:val="21"/>
                <w:szCs w:val="21"/>
              </w:rPr>
            </w:pPr>
            <w:r>
              <w:rPr>
                <w:rFonts w:hint="eastAsia"/>
                <w:color w:val="auto"/>
                <w:sz w:val="21"/>
                <w:szCs w:val="21"/>
              </w:rPr>
              <w:t>距离D井场北侧331m</w:t>
            </w:r>
          </w:p>
        </w:tc>
        <w:tc>
          <w:tcPr>
            <w:tcW w:w="3750" w:type="dxa"/>
            <w:vMerge w:val="restart"/>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lang w:val="en-US" w:eastAsia="zh-CN"/>
              </w:rPr>
            </w:pPr>
            <w:r>
              <w:rPr>
                <w:rFonts w:hint="eastAsia"/>
                <w:color w:val="auto"/>
                <w:sz w:val="21"/>
                <w:szCs w:val="21"/>
                <w:lang w:eastAsia="zh-CN"/>
              </w:rPr>
              <w:t>本项目评价范围内的村屯</w:t>
            </w:r>
            <w:r>
              <w:rPr>
                <w:rFonts w:hint="eastAsia"/>
                <w:color w:val="auto"/>
                <w:sz w:val="21"/>
                <w:szCs w:val="21"/>
              </w:rPr>
              <w:t>饮用水均来自羊草镇的集中饮用水水源井，距离本项目最近井场</w:t>
            </w:r>
            <w:r>
              <w:rPr>
                <w:rFonts w:hint="eastAsia"/>
                <w:color w:val="auto"/>
                <w:sz w:val="21"/>
                <w:szCs w:val="21"/>
                <w:lang w:eastAsia="zh-CN"/>
              </w:rPr>
              <w:t>6.03</w:t>
            </w:r>
            <w:r>
              <w:rPr>
                <w:rFonts w:hint="eastAsia"/>
                <w:color w:val="auto"/>
                <w:sz w:val="21"/>
                <w:szCs w:val="21"/>
              </w:rPr>
              <w:t>km</w:t>
            </w:r>
            <w:r>
              <w:rPr>
                <w:rFonts w:hint="eastAsia"/>
                <w:color w:val="auto"/>
                <w:sz w:val="21"/>
                <w:szCs w:val="21"/>
                <w:lang w:eastAsia="zh-CN"/>
              </w:rPr>
              <w:t>。不在本工程评价范围内</w:t>
            </w:r>
            <w:r>
              <w:rPr>
                <w:rFonts w:hint="eastAsia"/>
                <w:color w:val="auto"/>
                <w:sz w:val="21"/>
                <w:szCs w:val="21"/>
                <w:lang w:val="en-US" w:eastAsia="zh-CN"/>
              </w:rPr>
              <w:t>.</w:t>
            </w:r>
          </w:p>
          <w:p>
            <w:pPr>
              <w:keepNext w:val="0"/>
              <w:keepLines w:val="0"/>
              <w:suppressLineNumbers w:val="0"/>
              <w:spacing w:before="0" w:beforeAutospacing="0" w:after="0" w:afterAutospacing="0" w:line="240" w:lineRule="exact"/>
              <w:ind w:left="0" w:right="0"/>
              <w:jc w:val="center"/>
              <w:rPr>
                <w:rFonts w:hint="default" w:eastAsia="宋体"/>
                <w:color w:val="auto"/>
                <w:sz w:val="21"/>
                <w:szCs w:val="21"/>
              </w:rPr>
            </w:pPr>
            <w:r>
              <w:rPr>
                <w:rFonts w:hint="default" w:hAnsi="宋体"/>
                <w:color w:val="auto"/>
                <w:sz w:val="21"/>
                <w:szCs w:val="21"/>
              </w:rPr>
              <w:t>少量分散水井，</w:t>
            </w:r>
            <w:r>
              <w:rPr>
                <w:rFonts w:hint="eastAsia" w:hAnsi="宋体"/>
                <w:color w:val="auto"/>
                <w:sz w:val="21"/>
                <w:szCs w:val="21"/>
                <w:lang w:eastAsia="zh-CN"/>
              </w:rPr>
              <w:t>潜水</w:t>
            </w:r>
            <w:r>
              <w:rPr>
                <w:rFonts w:hint="default" w:hAnsi="宋体"/>
                <w:color w:val="auto"/>
                <w:sz w:val="21"/>
                <w:szCs w:val="21"/>
              </w:rPr>
              <w:t>井深</w:t>
            </w:r>
            <w:r>
              <w:rPr>
                <w:rFonts w:hint="default"/>
                <w:color w:val="auto"/>
                <w:sz w:val="21"/>
                <w:szCs w:val="21"/>
              </w:rPr>
              <w:t>15~30m</w:t>
            </w:r>
            <w:r>
              <w:rPr>
                <w:rFonts w:hint="default" w:hAnsi="宋体"/>
                <w:color w:val="auto"/>
                <w:sz w:val="21"/>
                <w:szCs w:val="21"/>
              </w:rPr>
              <w:t>左右，</w:t>
            </w:r>
            <w:r>
              <w:rPr>
                <w:rFonts w:hint="eastAsia" w:hAnsi="宋体"/>
                <w:color w:val="auto"/>
                <w:sz w:val="21"/>
                <w:szCs w:val="21"/>
                <w:lang w:eastAsia="zh-CN"/>
              </w:rPr>
              <w:t>承压水</w:t>
            </w:r>
            <w:r>
              <w:rPr>
                <w:rFonts w:hint="default" w:hAnsi="宋体"/>
                <w:color w:val="auto"/>
                <w:sz w:val="21"/>
                <w:szCs w:val="21"/>
              </w:rPr>
              <w:t>井深</w:t>
            </w:r>
            <w:r>
              <w:rPr>
                <w:rFonts w:hint="eastAsia"/>
                <w:color w:val="auto"/>
                <w:sz w:val="21"/>
                <w:szCs w:val="21"/>
                <w:lang w:val="en-US" w:eastAsia="zh-CN"/>
              </w:rPr>
              <w:t>30</w:t>
            </w:r>
            <w:r>
              <w:rPr>
                <w:rFonts w:hint="default"/>
                <w:color w:val="auto"/>
                <w:sz w:val="21"/>
                <w:szCs w:val="21"/>
              </w:rPr>
              <w:t>~</w:t>
            </w:r>
            <w:r>
              <w:rPr>
                <w:rFonts w:hint="eastAsia"/>
                <w:color w:val="auto"/>
                <w:sz w:val="21"/>
                <w:szCs w:val="21"/>
                <w:lang w:val="en-US" w:eastAsia="zh-CN"/>
              </w:rPr>
              <w:t>6</w:t>
            </w:r>
            <w:r>
              <w:rPr>
                <w:rFonts w:hint="default"/>
                <w:color w:val="auto"/>
                <w:sz w:val="21"/>
                <w:szCs w:val="21"/>
              </w:rPr>
              <w:t>0m</w:t>
            </w:r>
            <w:r>
              <w:rPr>
                <w:rFonts w:hint="default" w:hAnsi="宋体"/>
                <w:color w:val="auto"/>
                <w:sz w:val="21"/>
                <w:szCs w:val="21"/>
              </w:rPr>
              <w:t>左右，用于牲畜饮水、农田灌溉。</w:t>
            </w:r>
          </w:p>
        </w:tc>
        <w:tc>
          <w:tcPr>
            <w:tcW w:w="1187" w:type="dxa"/>
            <w:vMerge w:val="restart"/>
            <w:vAlign w:val="center"/>
          </w:tcPr>
          <w:p>
            <w:pPr>
              <w:keepNext w:val="0"/>
              <w:keepLines w:val="0"/>
              <w:suppressLineNumbers w:val="0"/>
              <w:spacing w:before="0" w:beforeAutospacing="0" w:after="0" w:afterAutospacing="0" w:line="240" w:lineRule="exact"/>
              <w:ind w:left="0" w:right="0"/>
              <w:jc w:val="center"/>
              <w:rPr>
                <w:rFonts w:hint="default"/>
                <w:color w:val="auto"/>
                <w:sz w:val="21"/>
                <w:szCs w:val="21"/>
              </w:rPr>
            </w:pPr>
            <w:r>
              <w:rPr>
                <w:rFonts w:hint="eastAsia"/>
                <w:color w:val="auto"/>
                <w:sz w:val="21"/>
                <w:szCs w:val="21"/>
              </w:rPr>
              <w:t>（GB/T14848-2017）III类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871" w:type="dxa"/>
            <w:vAlign w:val="center"/>
          </w:tcPr>
          <w:p>
            <w:pPr>
              <w:keepNext w:val="0"/>
              <w:keepLines w:val="0"/>
              <w:suppressLineNumbers w:val="0"/>
              <w:bidi w:val="0"/>
              <w:spacing w:before="0" w:beforeAutospacing="0" w:after="0" w:afterAutospacing="0"/>
              <w:ind w:left="0" w:right="0"/>
              <w:rPr>
                <w:rFonts w:hint="eastAsia" w:ascii="宋体" w:hAnsi="宋体" w:eastAsia="宋体" w:cs="宋体"/>
                <w:color w:val="auto"/>
                <w:sz w:val="21"/>
                <w:szCs w:val="21"/>
              </w:rPr>
            </w:pPr>
            <w:r>
              <w:rPr>
                <w:rFonts w:hint="eastAsia"/>
                <w:color w:val="auto"/>
                <w:sz w:val="21"/>
                <w:szCs w:val="21"/>
              </w:rPr>
              <w:t>升平镇</w:t>
            </w:r>
            <w:r>
              <w:rPr>
                <w:rFonts w:hint="eastAsia"/>
                <w:color w:val="auto"/>
                <w:sz w:val="21"/>
                <w:szCs w:val="21"/>
                <w:lang w:eastAsia="zh-CN"/>
              </w:rPr>
              <w:t>潜水</w:t>
            </w:r>
            <w:r>
              <w:rPr>
                <w:rFonts w:hint="default"/>
                <w:color w:val="auto"/>
                <w:sz w:val="21"/>
                <w:szCs w:val="21"/>
              </w:rPr>
              <w:t>水井</w:t>
            </w:r>
          </w:p>
        </w:tc>
        <w:tc>
          <w:tcPr>
            <w:tcW w:w="2375" w:type="dxa"/>
            <w:vAlign w:val="center"/>
          </w:tcPr>
          <w:p>
            <w:pPr>
              <w:keepNext w:val="0"/>
              <w:keepLines w:val="0"/>
              <w:suppressLineNumbers w:val="0"/>
              <w:bidi w:val="0"/>
              <w:spacing w:before="0" w:beforeAutospacing="0" w:after="0" w:afterAutospacing="0"/>
              <w:ind w:left="0" w:right="0"/>
              <w:rPr>
                <w:rFonts w:hint="default" w:eastAsia="宋体"/>
                <w:color w:val="auto"/>
                <w:sz w:val="21"/>
                <w:szCs w:val="21"/>
              </w:rPr>
            </w:pPr>
            <w:r>
              <w:rPr>
                <w:rFonts w:hint="eastAsia"/>
                <w:color w:val="auto"/>
                <w:sz w:val="21"/>
                <w:szCs w:val="21"/>
              </w:rPr>
              <w:t>距离H井场北侧374m</w:t>
            </w:r>
          </w:p>
        </w:tc>
        <w:tc>
          <w:tcPr>
            <w:tcW w:w="3750" w:type="dxa"/>
            <w:vMerge w:val="continue"/>
            <w:vAlign w:val="center"/>
          </w:tcPr>
          <w:p>
            <w:pPr>
              <w:keepNext w:val="0"/>
              <w:keepLines w:val="0"/>
              <w:suppressLineNumbers w:val="0"/>
              <w:spacing w:before="0" w:beforeAutospacing="0" w:after="0" w:afterAutospacing="0" w:line="240" w:lineRule="exact"/>
              <w:ind w:left="0" w:right="0"/>
              <w:jc w:val="left"/>
              <w:rPr>
                <w:rFonts w:hint="default" w:eastAsia="宋体"/>
                <w:color w:val="auto"/>
                <w:sz w:val="21"/>
                <w:szCs w:val="21"/>
              </w:rPr>
            </w:pPr>
          </w:p>
        </w:tc>
        <w:tc>
          <w:tcPr>
            <w:tcW w:w="1187" w:type="dxa"/>
            <w:vMerge w:val="continue"/>
            <w:vAlign w:val="center"/>
          </w:tcPr>
          <w:p>
            <w:pPr>
              <w:keepNext w:val="0"/>
              <w:keepLines w:val="0"/>
              <w:suppressLineNumbers w:val="0"/>
              <w:spacing w:before="0" w:beforeAutospacing="0" w:after="0" w:afterAutospacing="0" w:line="240" w:lineRule="exact"/>
              <w:ind w:left="0" w:right="0"/>
              <w:jc w:val="left"/>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871" w:type="dxa"/>
            <w:vAlign w:val="center"/>
          </w:tcPr>
          <w:p>
            <w:pPr>
              <w:keepNext w:val="0"/>
              <w:keepLines w:val="0"/>
              <w:suppressLineNumbers w:val="0"/>
              <w:bidi w:val="0"/>
              <w:spacing w:before="0" w:beforeAutospacing="0" w:after="0" w:afterAutospacing="0"/>
              <w:ind w:left="0" w:right="0"/>
              <w:rPr>
                <w:rFonts w:hint="default" w:eastAsia="宋体"/>
                <w:color w:val="auto"/>
                <w:sz w:val="21"/>
                <w:szCs w:val="21"/>
              </w:rPr>
            </w:pPr>
            <w:r>
              <w:rPr>
                <w:rFonts w:hint="eastAsia"/>
                <w:color w:val="auto"/>
                <w:sz w:val="21"/>
                <w:szCs w:val="21"/>
                <w:lang w:val="en-US" w:eastAsia="zh-CN"/>
              </w:rPr>
              <w:t>新立屯</w:t>
            </w:r>
            <w:r>
              <w:rPr>
                <w:rFonts w:hint="eastAsia"/>
                <w:color w:val="auto"/>
                <w:sz w:val="21"/>
                <w:szCs w:val="21"/>
                <w:lang w:eastAsia="zh-CN"/>
              </w:rPr>
              <w:t>潜水</w:t>
            </w:r>
            <w:r>
              <w:rPr>
                <w:rFonts w:hint="default"/>
                <w:color w:val="auto"/>
                <w:sz w:val="21"/>
                <w:szCs w:val="21"/>
              </w:rPr>
              <w:t>水井</w:t>
            </w:r>
          </w:p>
        </w:tc>
        <w:tc>
          <w:tcPr>
            <w:tcW w:w="2375" w:type="dxa"/>
            <w:vAlign w:val="center"/>
          </w:tcPr>
          <w:p>
            <w:pPr>
              <w:keepNext w:val="0"/>
              <w:keepLines w:val="0"/>
              <w:suppressLineNumbers w:val="0"/>
              <w:bidi w:val="0"/>
              <w:spacing w:before="0" w:beforeAutospacing="0" w:after="0" w:afterAutospacing="0"/>
              <w:ind w:left="0" w:right="0"/>
              <w:rPr>
                <w:rFonts w:hint="default" w:eastAsia="宋体"/>
                <w:color w:val="auto"/>
                <w:sz w:val="21"/>
                <w:szCs w:val="21"/>
              </w:rPr>
            </w:pPr>
            <w:r>
              <w:rPr>
                <w:rFonts w:hint="eastAsia"/>
                <w:color w:val="auto"/>
                <w:sz w:val="21"/>
                <w:szCs w:val="21"/>
              </w:rPr>
              <w:t>距离H井场西北侧308m</w:t>
            </w:r>
          </w:p>
        </w:tc>
        <w:tc>
          <w:tcPr>
            <w:tcW w:w="3750" w:type="dxa"/>
            <w:vMerge w:val="continue"/>
            <w:vAlign w:val="center"/>
          </w:tcPr>
          <w:p>
            <w:pPr>
              <w:keepNext w:val="0"/>
              <w:keepLines w:val="0"/>
              <w:suppressLineNumbers w:val="0"/>
              <w:spacing w:before="0" w:beforeAutospacing="0" w:after="0" w:afterAutospacing="0" w:line="240" w:lineRule="exact"/>
              <w:ind w:left="0" w:right="0"/>
              <w:jc w:val="left"/>
              <w:rPr>
                <w:rFonts w:hint="default" w:eastAsia="宋体"/>
                <w:color w:val="auto"/>
                <w:sz w:val="21"/>
                <w:szCs w:val="21"/>
              </w:rPr>
            </w:pPr>
          </w:p>
        </w:tc>
        <w:tc>
          <w:tcPr>
            <w:tcW w:w="1187" w:type="dxa"/>
            <w:vMerge w:val="continue"/>
            <w:vAlign w:val="center"/>
          </w:tcPr>
          <w:p>
            <w:pPr>
              <w:keepNext w:val="0"/>
              <w:keepLines w:val="0"/>
              <w:suppressLineNumbers w:val="0"/>
              <w:spacing w:before="0" w:beforeAutospacing="0" w:after="0" w:afterAutospacing="0" w:line="240" w:lineRule="exact"/>
              <w:ind w:left="0" w:right="0"/>
              <w:jc w:val="left"/>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871" w:type="dxa"/>
            <w:vAlign w:val="center"/>
          </w:tcPr>
          <w:p>
            <w:pPr>
              <w:keepNext w:val="0"/>
              <w:keepLines w:val="0"/>
              <w:suppressLineNumbers w:val="0"/>
              <w:bidi w:val="0"/>
              <w:spacing w:before="0" w:beforeAutospacing="0" w:after="0" w:afterAutospacing="0"/>
              <w:ind w:left="0" w:right="0"/>
              <w:rPr>
                <w:rFonts w:hint="default" w:eastAsia="宋体"/>
                <w:color w:val="auto"/>
                <w:sz w:val="21"/>
                <w:szCs w:val="21"/>
              </w:rPr>
            </w:pPr>
            <w:r>
              <w:rPr>
                <w:rFonts w:hint="eastAsia"/>
                <w:color w:val="auto"/>
                <w:sz w:val="21"/>
                <w:szCs w:val="21"/>
                <w:lang w:eastAsia="zh-CN"/>
              </w:rPr>
              <w:t>升平镇承压水水井</w:t>
            </w:r>
          </w:p>
        </w:tc>
        <w:tc>
          <w:tcPr>
            <w:tcW w:w="2375" w:type="dxa"/>
            <w:vAlign w:val="center"/>
          </w:tcPr>
          <w:p>
            <w:pPr>
              <w:keepNext w:val="0"/>
              <w:keepLines w:val="0"/>
              <w:suppressLineNumbers w:val="0"/>
              <w:bidi w:val="0"/>
              <w:spacing w:before="0" w:beforeAutospacing="0" w:after="0" w:afterAutospacing="0"/>
              <w:ind w:left="0" w:right="0"/>
              <w:rPr>
                <w:rFonts w:hint="default" w:eastAsia="宋体"/>
                <w:color w:val="auto"/>
                <w:sz w:val="21"/>
                <w:szCs w:val="21"/>
              </w:rPr>
            </w:pPr>
            <w:r>
              <w:rPr>
                <w:rFonts w:hint="eastAsia"/>
                <w:color w:val="auto"/>
                <w:sz w:val="21"/>
                <w:szCs w:val="21"/>
              </w:rPr>
              <w:t>距离H井场北侧</w:t>
            </w:r>
            <w:r>
              <w:rPr>
                <w:rFonts w:hint="eastAsia"/>
                <w:color w:val="auto"/>
                <w:sz w:val="21"/>
                <w:szCs w:val="21"/>
                <w:lang w:val="en-US" w:eastAsia="zh-CN"/>
              </w:rPr>
              <w:t>410</w:t>
            </w:r>
            <w:r>
              <w:rPr>
                <w:rFonts w:hint="eastAsia"/>
                <w:color w:val="auto"/>
                <w:sz w:val="21"/>
                <w:szCs w:val="21"/>
              </w:rPr>
              <w:t>m</w:t>
            </w:r>
          </w:p>
        </w:tc>
        <w:tc>
          <w:tcPr>
            <w:tcW w:w="3750" w:type="dxa"/>
            <w:vMerge w:val="continue"/>
            <w:vAlign w:val="center"/>
          </w:tcPr>
          <w:p>
            <w:pPr>
              <w:keepNext w:val="0"/>
              <w:keepLines w:val="0"/>
              <w:suppressLineNumbers w:val="0"/>
              <w:spacing w:before="0" w:beforeAutospacing="0" w:after="0" w:afterAutospacing="0" w:line="240" w:lineRule="exact"/>
              <w:ind w:left="0" w:right="0"/>
              <w:jc w:val="left"/>
              <w:rPr>
                <w:rFonts w:hint="default" w:eastAsia="宋体"/>
                <w:color w:val="auto"/>
                <w:sz w:val="21"/>
                <w:szCs w:val="21"/>
              </w:rPr>
            </w:pPr>
          </w:p>
        </w:tc>
        <w:tc>
          <w:tcPr>
            <w:tcW w:w="1187" w:type="dxa"/>
            <w:vMerge w:val="continue"/>
            <w:vAlign w:val="center"/>
          </w:tcPr>
          <w:p>
            <w:pPr>
              <w:keepNext w:val="0"/>
              <w:keepLines w:val="0"/>
              <w:suppressLineNumbers w:val="0"/>
              <w:spacing w:before="0" w:beforeAutospacing="0" w:after="0" w:afterAutospacing="0" w:line="240" w:lineRule="exact"/>
              <w:ind w:left="0" w:right="0"/>
              <w:jc w:val="left"/>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871" w:type="dxa"/>
            <w:vAlign w:val="center"/>
          </w:tcPr>
          <w:p>
            <w:pPr>
              <w:pStyle w:val="81"/>
              <w:keepNext w:val="0"/>
              <w:keepLines w:val="0"/>
              <w:suppressLineNumbers w:val="0"/>
              <w:bidi w:val="0"/>
              <w:spacing w:before="0" w:beforeAutospacing="0" w:after="0" w:afterAutospacing="0"/>
              <w:ind w:left="0" w:right="0"/>
              <w:rPr>
                <w:rFonts w:hint="eastAsia"/>
                <w:color w:val="auto"/>
                <w:sz w:val="21"/>
                <w:szCs w:val="21"/>
                <w:lang w:eastAsia="zh-CN"/>
              </w:rPr>
            </w:pPr>
            <w:r>
              <w:rPr>
                <w:rFonts w:hint="default" w:ascii="Times New Roman" w:hAnsi="Times New Roman" w:cs="Times New Roman"/>
                <w:color w:val="auto"/>
                <w:sz w:val="21"/>
                <w:szCs w:val="21"/>
                <w:lang w:val="en-US" w:eastAsia="zh-CN"/>
              </w:rPr>
              <w:t>保田村</w:t>
            </w:r>
          </w:p>
        </w:tc>
        <w:tc>
          <w:tcPr>
            <w:tcW w:w="2375" w:type="dxa"/>
            <w:vAlign w:val="center"/>
          </w:tcPr>
          <w:p>
            <w:pPr>
              <w:pStyle w:val="81"/>
              <w:keepNext w:val="0"/>
              <w:keepLines w:val="0"/>
              <w:suppressLineNumbers w:val="0"/>
              <w:bidi w:val="0"/>
              <w:spacing w:before="0" w:beforeAutospacing="0" w:after="0" w:afterAutospacing="0"/>
              <w:ind w:left="0" w:right="0"/>
              <w:rPr>
                <w:rFonts w:hint="default"/>
                <w:color w:val="auto"/>
                <w:sz w:val="21"/>
                <w:szCs w:val="21"/>
                <w:lang w:val="en-US"/>
              </w:rPr>
            </w:pPr>
            <w:r>
              <w:rPr>
                <w:rFonts w:hint="default" w:ascii="Times New Roman" w:hAnsi="Times New Roman" w:cs="Times New Roman"/>
                <w:color w:val="auto"/>
                <w:sz w:val="21"/>
                <w:szCs w:val="21"/>
                <w:lang w:val="en-US" w:eastAsia="zh-CN"/>
              </w:rPr>
              <w:t>距离H井场东南侧</w:t>
            </w:r>
            <w:r>
              <w:rPr>
                <w:rFonts w:hint="eastAsia" w:cs="Times New Roman"/>
                <w:color w:val="auto"/>
                <w:sz w:val="21"/>
                <w:szCs w:val="21"/>
                <w:lang w:val="en-US" w:eastAsia="zh-CN"/>
              </w:rPr>
              <w:t>229m</w:t>
            </w:r>
          </w:p>
        </w:tc>
        <w:tc>
          <w:tcPr>
            <w:tcW w:w="3750" w:type="dxa"/>
            <w:vMerge w:val="continue"/>
            <w:vAlign w:val="center"/>
          </w:tcPr>
          <w:p>
            <w:pPr>
              <w:keepNext w:val="0"/>
              <w:keepLines w:val="0"/>
              <w:suppressLineNumbers w:val="0"/>
              <w:spacing w:before="0" w:beforeAutospacing="0" w:after="0" w:afterAutospacing="0" w:line="240" w:lineRule="exact"/>
              <w:ind w:left="0" w:right="0"/>
              <w:jc w:val="left"/>
              <w:rPr>
                <w:rFonts w:hint="default" w:eastAsia="宋体"/>
                <w:color w:val="auto"/>
                <w:sz w:val="21"/>
                <w:szCs w:val="21"/>
              </w:rPr>
            </w:pPr>
          </w:p>
        </w:tc>
        <w:tc>
          <w:tcPr>
            <w:tcW w:w="1187" w:type="dxa"/>
            <w:vMerge w:val="continue"/>
            <w:vAlign w:val="center"/>
          </w:tcPr>
          <w:p>
            <w:pPr>
              <w:keepNext w:val="0"/>
              <w:keepLines w:val="0"/>
              <w:suppressLineNumbers w:val="0"/>
              <w:spacing w:before="0" w:beforeAutospacing="0" w:after="0" w:afterAutospacing="0" w:line="240" w:lineRule="exact"/>
              <w:ind w:left="0" w:right="0"/>
              <w:jc w:val="left"/>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871" w:type="dxa"/>
            <w:vAlign w:val="center"/>
          </w:tcPr>
          <w:p>
            <w:pPr>
              <w:pStyle w:val="81"/>
              <w:keepNext w:val="0"/>
              <w:keepLines w:val="0"/>
              <w:suppressLineNumbers w:val="0"/>
              <w:bidi w:val="0"/>
              <w:spacing w:before="0" w:beforeAutospacing="0" w:after="0" w:afterAutospacing="0"/>
              <w:ind w:left="0" w:right="0"/>
              <w:rPr>
                <w:rFonts w:hint="eastAsia"/>
                <w:color w:val="auto"/>
                <w:sz w:val="21"/>
                <w:szCs w:val="21"/>
                <w:lang w:eastAsia="zh-CN"/>
              </w:rPr>
            </w:pPr>
            <w:r>
              <w:rPr>
                <w:rFonts w:hint="default" w:ascii="Times New Roman" w:hAnsi="Times New Roman" w:cs="Times New Roman"/>
                <w:color w:val="auto"/>
                <w:sz w:val="21"/>
                <w:szCs w:val="21"/>
                <w:lang w:val="en-US" w:eastAsia="zh-CN"/>
              </w:rPr>
              <w:t>拥护村（十二号）</w:t>
            </w:r>
          </w:p>
        </w:tc>
        <w:tc>
          <w:tcPr>
            <w:tcW w:w="2375" w:type="dxa"/>
            <w:vAlign w:val="center"/>
          </w:tcPr>
          <w:p>
            <w:pPr>
              <w:pStyle w:val="81"/>
              <w:keepNext w:val="0"/>
              <w:keepLines w:val="0"/>
              <w:suppressLineNumbers w:val="0"/>
              <w:bidi w:val="0"/>
              <w:spacing w:before="0" w:beforeAutospacing="0" w:after="0" w:afterAutospacing="0"/>
              <w:ind w:left="0" w:right="0"/>
              <w:rPr>
                <w:rFonts w:hint="default"/>
                <w:color w:val="auto"/>
                <w:sz w:val="21"/>
                <w:szCs w:val="21"/>
                <w:lang w:val="en-US"/>
              </w:rPr>
            </w:pPr>
            <w:r>
              <w:rPr>
                <w:rFonts w:hint="default" w:ascii="Times New Roman" w:hAnsi="Times New Roman" w:cs="Times New Roman"/>
                <w:color w:val="auto"/>
                <w:sz w:val="21"/>
                <w:szCs w:val="21"/>
                <w:lang w:val="en-US" w:eastAsia="zh-CN"/>
              </w:rPr>
              <w:t>距离拟建集气站北偏东方向</w:t>
            </w:r>
            <w:r>
              <w:rPr>
                <w:rFonts w:hint="eastAsia" w:cs="Times New Roman"/>
                <w:color w:val="auto"/>
                <w:sz w:val="21"/>
                <w:szCs w:val="21"/>
                <w:lang w:val="en-US" w:eastAsia="zh-CN"/>
              </w:rPr>
              <w:t>289m</w:t>
            </w:r>
          </w:p>
        </w:tc>
        <w:tc>
          <w:tcPr>
            <w:tcW w:w="3750" w:type="dxa"/>
            <w:vMerge w:val="continue"/>
            <w:vAlign w:val="center"/>
          </w:tcPr>
          <w:p>
            <w:pPr>
              <w:keepNext w:val="0"/>
              <w:keepLines w:val="0"/>
              <w:suppressLineNumbers w:val="0"/>
              <w:spacing w:before="0" w:beforeAutospacing="0" w:after="0" w:afterAutospacing="0" w:line="240" w:lineRule="exact"/>
              <w:ind w:left="0" w:right="0"/>
              <w:jc w:val="left"/>
              <w:rPr>
                <w:rFonts w:hint="default" w:eastAsia="宋体"/>
                <w:color w:val="auto"/>
                <w:sz w:val="21"/>
                <w:szCs w:val="21"/>
              </w:rPr>
            </w:pPr>
          </w:p>
        </w:tc>
        <w:tc>
          <w:tcPr>
            <w:tcW w:w="1187" w:type="dxa"/>
            <w:vMerge w:val="continue"/>
            <w:vAlign w:val="center"/>
          </w:tcPr>
          <w:p>
            <w:pPr>
              <w:keepNext w:val="0"/>
              <w:keepLines w:val="0"/>
              <w:suppressLineNumbers w:val="0"/>
              <w:spacing w:before="0" w:beforeAutospacing="0" w:after="0" w:afterAutospacing="0" w:line="240" w:lineRule="exact"/>
              <w:ind w:left="0" w:right="0"/>
              <w:jc w:val="left"/>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871" w:type="dxa"/>
            <w:vAlign w:val="center"/>
          </w:tcPr>
          <w:p>
            <w:pPr>
              <w:pStyle w:val="81"/>
              <w:keepNext w:val="0"/>
              <w:keepLines w:val="0"/>
              <w:suppressLineNumbers w:val="0"/>
              <w:bidi w:val="0"/>
              <w:spacing w:before="0" w:beforeAutospacing="0" w:after="0" w:afterAutospacing="0"/>
              <w:ind w:left="0" w:right="0"/>
              <w:rPr>
                <w:rFonts w:hint="eastAsia"/>
                <w:color w:val="auto"/>
                <w:sz w:val="21"/>
                <w:szCs w:val="21"/>
                <w:lang w:eastAsia="zh-CN"/>
              </w:rPr>
            </w:pPr>
            <w:r>
              <w:rPr>
                <w:rFonts w:hint="default" w:ascii="Times New Roman" w:hAnsi="Times New Roman" w:cs="Times New Roman"/>
                <w:color w:val="auto"/>
                <w:sz w:val="21"/>
                <w:szCs w:val="21"/>
                <w:lang w:val="en-US" w:eastAsia="zh-CN"/>
              </w:rPr>
              <w:t>赵不得了</w:t>
            </w:r>
          </w:p>
        </w:tc>
        <w:tc>
          <w:tcPr>
            <w:tcW w:w="2375" w:type="dxa"/>
            <w:vAlign w:val="center"/>
          </w:tcPr>
          <w:p>
            <w:pPr>
              <w:pStyle w:val="81"/>
              <w:keepNext w:val="0"/>
              <w:keepLines w:val="0"/>
              <w:suppressLineNumbers w:val="0"/>
              <w:bidi w:val="0"/>
              <w:spacing w:before="0" w:beforeAutospacing="0" w:after="0" w:afterAutospacing="0"/>
              <w:ind w:left="0" w:right="0"/>
              <w:rPr>
                <w:rFonts w:hint="default"/>
                <w:color w:val="auto"/>
                <w:sz w:val="21"/>
                <w:szCs w:val="21"/>
                <w:lang w:val="en-US"/>
              </w:rPr>
            </w:pPr>
            <w:r>
              <w:rPr>
                <w:rFonts w:hint="default" w:ascii="Times New Roman" w:hAnsi="Times New Roman" w:cs="Times New Roman"/>
                <w:color w:val="auto"/>
                <w:sz w:val="21"/>
                <w:szCs w:val="21"/>
                <w:lang w:val="en-US" w:eastAsia="zh-CN"/>
              </w:rPr>
              <w:t>距离H井场井场东南侧</w:t>
            </w:r>
            <w:r>
              <w:rPr>
                <w:rFonts w:hint="eastAsia" w:cs="Times New Roman"/>
                <w:color w:val="auto"/>
                <w:sz w:val="21"/>
                <w:szCs w:val="21"/>
                <w:lang w:val="en-US" w:eastAsia="zh-CN"/>
              </w:rPr>
              <w:t>600m</w:t>
            </w:r>
          </w:p>
        </w:tc>
        <w:tc>
          <w:tcPr>
            <w:tcW w:w="3750" w:type="dxa"/>
            <w:vMerge w:val="continue"/>
            <w:vAlign w:val="center"/>
          </w:tcPr>
          <w:p>
            <w:pPr>
              <w:keepNext w:val="0"/>
              <w:keepLines w:val="0"/>
              <w:suppressLineNumbers w:val="0"/>
              <w:spacing w:before="0" w:beforeAutospacing="0" w:after="0" w:afterAutospacing="0" w:line="240" w:lineRule="exact"/>
              <w:ind w:left="0" w:right="0"/>
              <w:jc w:val="left"/>
              <w:rPr>
                <w:rFonts w:hint="default" w:eastAsia="宋体"/>
                <w:color w:val="auto"/>
                <w:sz w:val="21"/>
                <w:szCs w:val="21"/>
              </w:rPr>
            </w:pPr>
          </w:p>
        </w:tc>
        <w:tc>
          <w:tcPr>
            <w:tcW w:w="1187" w:type="dxa"/>
            <w:vMerge w:val="continue"/>
            <w:vAlign w:val="center"/>
          </w:tcPr>
          <w:p>
            <w:pPr>
              <w:keepNext w:val="0"/>
              <w:keepLines w:val="0"/>
              <w:suppressLineNumbers w:val="0"/>
              <w:spacing w:before="0" w:beforeAutospacing="0" w:after="0" w:afterAutospacing="0" w:line="240" w:lineRule="exact"/>
              <w:ind w:left="0" w:right="0"/>
              <w:jc w:val="left"/>
              <w:rPr>
                <w:rFonts w:hint="default"/>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1871" w:type="dxa"/>
            <w:vAlign w:val="center"/>
          </w:tcPr>
          <w:p>
            <w:pPr>
              <w:pStyle w:val="81"/>
              <w:keepNext w:val="0"/>
              <w:keepLines w:val="0"/>
              <w:suppressLineNumbers w:val="0"/>
              <w:bidi w:val="0"/>
              <w:spacing w:before="0" w:beforeAutospacing="0" w:after="0" w:afterAutospacing="0"/>
              <w:ind w:left="0" w:right="0"/>
              <w:rPr>
                <w:rFonts w:hint="eastAsia"/>
                <w:color w:val="auto"/>
                <w:sz w:val="21"/>
                <w:szCs w:val="21"/>
                <w:lang w:eastAsia="zh-CN"/>
              </w:rPr>
            </w:pPr>
            <w:r>
              <w:rPr>
                <w:rFonts w:hint="default" w:ascii="Times New Roman" w:hAnsi="Times New Roman" w:cs="Times New Roman"/>
                <w:color w:val="auto"/>
                <w:sz w:val="21"/>
                <w:szCs w:val="21"/>
                <w:lang w:val="en-US" w:eastAsia="zh-CN"/>
              </w:rPr>
              <w:t>刘万义屯</w:t>
            </w:r>
          </w:p>
        </w:tc>
        <w:tc>
          <w:tcPr>
            <w:tcW w:w="2375" w:type="dxa"/>
            <w:vAlign w:val="center"/>
          </w:tcPr>
          <w:p>
            <w:pPr>
              <w:pStyle w:val="81"/>
              <w:keepNext w:val="0"/>
              <w:keepLines w:val="0"/>
              <w:suppressLineNumbers w:val="0"/>
              <w:bidi w:val="0"/>
              <w:spacing w:before="0" w:beforeAutospacing="0" w:after="0" w:afterAutospacing="0"/>
              <w:ind w:left="0" w:right="0"/>
              <w:rPr>
                <w:rFonts w:hint="default"/>
                <w:color w:val="auto"/>
                <w:sz w:val="21"/>
                <w:szCs w:val="21"/>
                <w:lang w:val="en-US"/>
              </w:rPr>
            </w:pPr>
            <w:r>
              <w:rPr>
                <w:rFonts w:hint="default" w:ascii="Times New Roman" w:hAnsi="Times New Roman" w:cs="Times New Roman"/>
                <w:color w:val="auto"/>
                <w:sz w:val="21"/>
                <w:szCs w:val="21"/>
                <w:lang w:val="en-US" w:eastAsia="zh-CN"/>
              </w:rPr>
              <w:t>距离A井场西北侧</w:t>
            </w:r>
            <w:r>
              <w:rPr>
                <w:rFonts w:hint="eastAsia" w:cs="Times New Roman"/>
                <w:color w:val="auto"/>
                <w:sz w:val="21"/>
                <w:szCs w:val="21"/>
                <w:lang w:val="en-US" w:eastAsia="zh-CN"/>
              </w:rPr>
              <w:t>929m</w:t>
            </w:r>
          </w:p>
        </w:tc>
        <w:tc>
          <w:tcPr>
            <w:tcW w:w="3750" w:type="dxa"/>
            <w:vMerge w:val="continue"/>
            <w:vAlign w:val="center"/>
          </w:tcPr>
          <w:p>
            <w:pPr>
              <w:keepNext w:val="0"/>
              <w:keepLines w:val="0"/>
              <w:suppressLineNumbers w:val="0"/>
              <w:spacing w:before="0" w:beforeAutospacing="0" w:after="0" w:afterAutospacing="0" w:line="240" w:lineRule="exact"/>
              <w:ind w:left="0" w:right="0"/>
              <w:jc w:val="left"/>
              <w:rPr>
                <w:rFonts w:hint="default" w:eastAsia="宋体"/>
                <w:color w:val="auto"/>
                <w:sz w:val="21"/>
                <w:szCs w:val="21"/>
              </w:rPr>
            </w:pPr>
          </w:p>
        </w:tc>
        <w:tc>
          <w:tcPr>
            <w:tcW w:w="1187" w:type="dxa"/>
            <w:vMerge w:val="continue"/>
            <w:vAlign w:val="center"/>
          </w:tcPr>
          <w:p>
            <w:pPr>
              <w:keepNext w:val="0"/>
              <w:keepLines w:val="0"/>
              <w:suppressLineNumbers w:val="0"/>
              <w:spacing w:before="0" w:beforeAutospacing="0" w:after="0" w:afterAutospacing="0" w:line="240" w:lineRule="exact"/>
              <w:ind w:left="0" w:right="0"/>
              <w:jc w:val="left"/>
              <w:rPr>
                <w:rFonts w:hint="default"/>
                <w:color w:val="auto"/>
                <w:sz w:val="21"/>
                <w:szCs w:val="21"/>
              </w:rPr>
            </w:pPr>
          </w:p>
        </w:tc>
      </w:tr>
      <w:bookmarkEnd w:id="324"/>
      <w:bookmarkEnd w:id="325"/>
      <w:bookmarkEnd w:id="326"/>
      <w:bookmarkEnd w:id="327"/>
      <w:bookmarkEnd w:id="328"/>
      <w:bookmarkEnd w:id="329"/>
      <w:bookmarkEnd w:id="330"/>
    </w:tbl>
    <w:p>
      <w:pPr>
        <w:pStyle w:val="5"/>
        <w:spacing w:before="156" w:after="156"/>
        <w:rPr>
          <w:color w:val="auto"/>
        </w:rPr>
      </w:pPr>
      <w:bookmarkStart w:id="331" w:name="_Toc49174973"/>
      <w:bookmarkStart w:id="332" w:name="_Toc49174798"/>
      <w:bookmarkStart w:id="333" w:name="_Toc23526"/>
      <w:bookmarkStart w:id="334" w:name="_Toc14027"/>
      <w:bookmarkStart w:id="335" w:name="_Toc13633"/>
      <w:bookmarkStart w:id="336" w:name="_Toc4706"/>
      <w:bookmarkStart w:id="337" w:name="_Toc25408"/>
      <w:bookmarkStart w:id="338" w:name="_Toc16995"/>
      <w:bookmarkStart w:id="339" w:name="_Toc24146"/>
      <w:r>
        <w:rPr>
          <w:color w:val="auto"/>
        </w:rPr>
        <w:t>地表水环境评价范围及保护目标</w:t>
      </w:r>
      <w:bookmarkEnd w:id="331"/>
      <w:bookmarkEnd w:id="332"/>
    </w:p>
    <w:p>
      <w:pPr>
        <w:pStyle w:val="33"/>
        <w:rPr>
          <w:color w:val="auto"/>
        </w:rPr>
      </w:pPr>
      <w:r>
        <w:rPr>
          <w:rFonts w:hint="eastAsia"/>
          <w:color w:val="auto"/>
        </w:rPr>
        <w:t>根据现场调查，本工程</w:t>
      </w:r>
      <w:r>
        <w:rPr>
          <w:rFonts w:hint="eastAsia"/>
          <w:color w:val="auto"/>
          <w:lang w:eastAsia="zh-CN"/>
        </w:rPr>
        <w:t>评价范围内无地表水保护范围</w:t>
      </w:r>
      <w:r>
        <w:rPr>
          <w:rFonts w:hint="eastAsia"/>
          <w:color w:val="auto"/>
        </w:rPr>
        <w:t>。</w:t>
      </w:r>
    </w:p>
    <w:bookmarkEnd w:id="333"/>
    <w:bookmarkEnd w:id="334"/>
    <w:bookmarkEnd w:id="335"/>
    <w:bookmarkEnd w:id="336"/>
    <w:bookmarkEnd w:id="337"/>
    <w:bookmarkEnd w:id="338"/>
    <w:bookmarkEnd w:id="339"/>
    <w:p>
      <w:pPr>
        <w:pStyle w:val="5"/>
        <w:spacing w:before="156" w:after="156"/>
        <w:rPr>
          <w:color w:val="auto"/>
        </w:rPr>
      </w:pPr>
      <w:bookmarkStart w:id="340" w:name="_Toc49174800"/>
      <w:bookmarkStart w:id="341" w:name="_Toc49174975"/>
      <w:r>
        <w:rPr>
          <w:color w:val="auto"/>
        </w:rPr>
        <w:t>土壤环境评价范围及保护目标</w:t>
      </w:r>
      <w:bookmarkEnd w:id="340"/>
      <w:bookmarkEnd w:id="341"/>
    </w:p>
    <w:bookmarkEnd w:id="231"/>
    <w:bookmarkEnd w:id="232"/>
    <w:p>
      <w:pPr>
        <w:spacing w:line="480" w:lineRule="exact"/>
        <w:ind w:firstLine="560" w:firstLineChars="200"/>
        <w:rPr>
          <w:color w:val="auto"/>
          <w:sz w:val="28"/>
          <w:szCs w:val="28"/>
        </w:rPr>
      </w:pPr>
      <w:bookmarkStart w:id="342" w:name="_Toc49174974"/>
      <w:bookmarkStart w:id="343" w:name="_Toc49174799"/>
      <w:bookmarkStart w:id="344" w:name="_Toc49174801"/>
      <w:bookmarkStart w:id="345" w:name="_Toc49174607"/>
      <w:bookmarkStart w:id="346" w:name="_Toc49174397"/>
      <w:bookmarkStart w:id="347" w:name="_Toc49174976"/>
      <w:bookmarkStart w:id="348" w:name="_Toc49174716"/>
      <w:r>
        <w:rPr>
          <w:rFonts w:hAnsi="宋体"/>
          <w:color w:val="auto"/>
          <w:sz w:val="28"/>
          <w:szCs w:val="28"/>
        </w:rPr>
        <w:t>本项目土壤环境评价范围为</w:t>
      </w:r>
      <w:r>
        <w:rPr>
          <w:rFonts w:hAnsi="宋体"/>
          <w:snapToGrid w:val="0"/>
          <w:color w:val="auto"/>
          <w:sz w:val="28"/>
          <w:szCs w:val="28"/>
        </w:rPr>
        <w:t>拟建</w:t>
      </w:r>
      <w:r>
        <w:rPr>
          <w:rFonts w:hint="eastAsia" w:hAnsi="宋体"/>
          <w:snapToGrid w:val="0"/>
          <w:color w:val="auto"/>
          <w:sz w:val="28"/>
          <w:szCs w:val="28"/>
          <w:lang w:eastAsia="zh-CN"/>
        </w:rPr>
        <w:t>注采</w:t>
      </w:r>
      <w:r>
        <w:rPr>
          <w:rFonts w:hAnsi="宋体"/>
          <w:snapToGrid w:val="0"/>
          <w:color w:val="auto"/>
          <w:kern w:val="0"/>
          <w:sz w:val="28"/>
          <w:szCs w:val="28"/>
        </w:rPr>
        <w:t>井场</w:t>
      </w:r>
      <w:r>
        <w:rPr>
          <w:rFonts w:hAnsi="宋体"/>
          <w:color w:val="auto"/>
          <w:sz w:val="28"/>
          <w:szCs w:val="28"/>
        </w:rPr>
        <w:t>边界外扩</w:t>
      </w:r>
      <w:r>
        <w:rPr>
          <w:rFonts w:hint="eastAsia"/>
          <w:color w:val="auto"/>
          <w:sz w:val="28"/>
          <w:szCs w:val="28"/>
        </w:rPr>
        <w:t>200</w:t>
      </w:r>
      <w:r>
        <w:rPr>
          <w:color w:val="auto"/>
          <w:sz w:val="28"/>
          <w:szCs w:val="28"/>
        </w:rPr>
        <w:t>m</w:t>
      </w:r>
      <w:r>
        <w:rPr>
          <w:rFonts w:hAnsi="宋体"/>
          <w:snapToGrid w:val="0"/>
          <w:color w:val="auto"/>
          <w:kern w:val="0"/>
          <w:sz w:val="28"/>
          <w:szCs w:val="28"/>
        </w:rPr>
        <w:t>。</w:t>
      </w:r>
      <w:r>
        <w:rPr>
          <w:rFonts w:hAnsi="宋体"/>
          <w:color w:val="auto"/>
          <w:sz w:val="28"/>
          <w:szCs w:val="28"/>
        </w:rPr>
        <w:t>根据现场调查，本项目土壤环境敏感目标见</w:t>
      </w:r>
      <w:r>
        <w:rPr>
          <w:rFonts w:hint="eastAsia" w:hAnsi="宋体"/>
          <w:color w:val="auto"/>
          <w:sz w:val="28"/>
          <w:szCs w:val="28"/>
        </w:rPr>
        <w:t>具体见表2.7-</w:t>
      </w:r>
      <w:r>
        <w:rPr>
          <w:rFonts w:hint="eastAsia" w:hAnsi="宋体"/>
          <w:color w:val="auto"/>
          <w:sz w:val="28"/>
          <w:szCs w:val="28"/>
          <w:lang w:val="en-US" w:eastAsia="zh-CN"/>
        </w:rPr>
        <w:t>4</w:t>
      </w:r>
      <w:r>
        <w:rPr>
          <w:rFonts w:hint="eastAsia" w:hAnsi="宋体"/>
          <w:color w:val="auto"/>
          <w:sz w:val="28"/>
          <w:szCs w:val="28"/>
        </w:rPr>
        <w:t>和附图2.7-1</w:t>
      </w:r>
      <w:r>
        <w:rPr>
          <w:rFonts w:hAnsi="宋体"/>
          <w:color w:val="auto"/>
          <w:sz w:val="28"/>
          <w:szCs w:val="28"/>
        </w:rPr>
        <w:t>。</w:t>
      </w:r>
    </w:p>
    <w:p>
      <w:pPr>
        <w:pStyle w:val="7"/>
        <w:bidi w:val="0"/>
        <w:rPr>
          <w:snapToGrid w:val="0"/>
          <w:color w:val="auto"/>
          <w:kern w:val="0"/>
          <w:sz w:val="28"/>
          <w:szCs w:val="28"/>
        </w:rPr>
      </w:pPr>
      <w:r>
        <w:rPr>
          <w:rFonts w:hAnsi="宋体"/>
          <w:snapToGrid w:val="0"/>
          <w:color w:val="auto"/>
          <w:kern w:val="0"/>
          <w:sz w:val="28"/>
          <w:szCs w:val="28"/>
        </w:rPr>
        <w:t>土壤环境保护目标</w:t>
      </w:r>
    </w:p>
    <w:tbl>
      <w:tblPr>
        <w:tblStyle w:val="34"/>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3694"/>
        <w:gridCol w:w="1681"/>
        <w:gridCol w:w="2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olor w:val="auto"/>
              </w:rPr>
            </w:pPr>
            <w:r>
              <w:rPr>
                <w:rFonts w:hint="default" w:hAnsi="宋体"/>
                <w:color w:val="auto"/>
                <w:szCs w:val="21"/>
              </w:rPr>
              <w:t>名称</w:t>
            </w:r>
          </w:p>
        </w:tc>
        <w:tc>
          <w:tcPr>
            <w:tcW w:w="3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olor w:val="auto"/>
              </w:rPr>
            </w:pPr>
            <w:r>
              <w:rPr>
                <w:rFonts w:hint="default" w:hAnsi="宋体"/>
                <w:color w:val="auto"/>
                <w:szCs w:val="21"/>
              </w:rPr>
              <w:t>方位</w:t>
            </w:r>
            <w:r>
              <w:rPr>
                <w:rFonts w:hint="default"/>
                <w:color w:val="auto"/>
                <w:szCs w:val="21"/>
              </w:rPr>
              <w:t>/</w:t>
            </w:r>
            <w:r>
              <w:rPr>
                <w:rFonts w:hint="default" w:hAnsi="宋体"/>
                <w:color w:val="auto"/>
                <w:szCs w:val="21"/>
              </w:rPr>
              <w:t>距离（</w:t>
            </w:r>
            <w:r>
              <w:rPr>
                <w:rFonts w:hint="default"/>
                <w:color w:val="auto"/>
                <w:szCs w:val="21"/>
              </w:rPr>
              <w:t>m</w:t>
            </w:r>
            <w:r>
              <w:rPr>
                <w:rFonts w:hint="default" w:hAnsi="宋体"/>
                <w:color w:val="auto"/>
                <w:szCs w:val="21"/>
              </w:rPr>
              <w:t>）</w:t>
            </w:r>
          </w:p>
        </w:tc>
        <w:tc>
          <w:tcPr>
            <w:tcW w:w="168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olor w:val="auto"/>
              </w:rPr>
            </w:pPr>
            <w:r>
              <w:rPr>
                <w:rFonts w:hint="default" w:hAnsi="宋体"/>
                <w:color w:val="auto"/>
                <w:szCs w:val="21"/>
              </w:rPr>
              <w:t>环境特征</w:t>
            </w:r>
          </w:p>
        </w:tc>
        <w:tc>
          <w:tcPr>
            <w:tcW w:w="2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olor w:val="auto"/>
              </w:rPr>
            </w:pPr>
            <w:r>
              <w:rPr>
                <w:rFonts w:hint="default" w:hAnsi="宋体"/>
                <w:color w:val="auto"/>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olor w:val="auto"/>
              </w:rPr>
            </w:pPr>
            <w:r>
              <w:rPr>
                <w:rFonts w:hint="default" w:hAnsi="宋体"/>
                <w:color w:val="auto"/>
              </w:rPr>
              <w:t>土壤</w:t>
            </w:r>
          </w:p>
        </w:tc>
        <w:tc>
          <w:tcPr>
            <w:tcW w:w="36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olor w:val="auto"/>
                <w:kern w:val="24"/>
              </w:rPr>
            </w:pPr>
            <w:r>
              <w:rPr>
                <w:rFonts w:hint="default" w:hAnsi="宋体"/>
                <w:color w:val="auto"/>
              </w:rPr>
              <w:t>拟建井场边界外扩</w:t>
            </w:r>
            <w:r>
              <w:rPr>
                <w:rFonts w:hint="eastAsia"/>
                <w:color w:val="auto"/>
              </w:rPr>
              <w:t>200</w:t>
            </w:r>
            <w:r>
              <w:rPr>
                <w:rFonts w:hint="default"/>
                <w:color w:val="auto"/>
              </w:rPr>
              <w:t>m</w:t>
            </w:r>
          </w:p>
        </w:tc>
        <w:tc>
          <w:tcPr>
            <w:tcW w:w="168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olor w:val="auto"/>
                <w:kern w:val="24"/>
              </w:rPr>
            </w:pPr>
            <w:r>
              <w:rPr>
                <w:rFonts w:hint="default" w:hAnsi="宋体"/>
                <w:color w:val="auto"/>
              </w:rPr>
              <w:t>基本农田</w:t>
            </w:r>
          </w:p>
        </w:tc>
        <w:tc>
          <w:tcPr>
            <w:tcW w:w="236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color w:val="auto"/>
                <w:szCs w:val="21"/>
              </w:rPr>
            </w:pPr>
            <w:r>
              <w:rPr>
                <w:rFonts w:hint="default"/>
                <w:color w:val="auto"/>
                <w:szCs w:val="21"/>
              </w:rPr>
              <w:t>GB15618-2018</w:t>
            </w:r>
          </w:p>
        </w:tc>
      </w:tr>
    </w:tbl>
    <w:p>
      <w:pPr>
        <w:pStyle w:val="5"/>
        <w:spacing w:before="156" w:after="156"/>
        <w:rPr>
          <w:color w:val="auto"/>
        </w:rPr>
      </w:pPr>
      <w:r>
        <w:rPr>
          <w:color w:val="auto"/>
        </w:rPr>
        <w:t>环境风险评价范围及保护目标</w:t>
      </w:r>
      <w:bookmarkEnd w:id="342"/>
      <w:bookmarkEnd w:id="343"/>
    </w:p>
    <w:p>
      <w:pPr>
        <w:pStyle w:val="33"/>
        <w:rPr>
          <w:color w:val="auto"/>
        </w:rPr>
      </w:pPr>
      <w:r>
        <w:rPr>
          <w:color w:val="auto"/>
        </w:rPr>
        <w:t>根据《建设项目环境风险评价导则》（HJ/T169-2018）要求，结合建设项目特点，本项目环境风险潜势为</w:t>
      </w:r>
      <w:r>
        <w:rPr>
          <w:rFonts w:hint="eastAsia" w:ascii="宋体" w:hAnsi="宋体" w:cs="宋体"/>
          <w:color w:val="auto"/>
        </w:rPr>
        <w:t>Ⅰ</w:t>
      </w:r>
      <w:r>
        <w:rPr>
          <w:color w:val="auto"/>
        </w:rPr>
        <w:t>，风险评价等级为简单分析</w:t>
      </w:r>
      <w:r>
        <w:rPr>
          <w:rFonts w:hint="eastAsia"/>
          <w:color w:val="auto"/>
        </w:rPr>
        <w:t>，</w:t>
      </w:r>
      <w:r>
        <w:rPr>
          <w:color w:val="auto"/>
        </w:rPr>
        <w:t>根据导则要求，</w:t>
      </w:r>
      <w:r>
        <w:rPr>
          <w:rFonts w:hint="eastAsia"/>
          <w:color w:val="auto"/>
        </w:rPr>
        <w:t>无需设置评价范围</w:t>
      </w:r>
      <w:r>
        <w:rPr>
          <w:color w:val="auto"/>
        </w:rPr>
        <w:t>。</w:t>
      </w:r>
    </w:p>
    <w:p>
      <w:pPr>
        <w:pStyle w:val="4"/>
        <w:spacing w:before="156" w:after="156"/>
        <w:rPr>
          <w:color w:val="auto"/>
        </w:rPr>
      </w:pPr>
      <w:bookmarkStart w:id="349" w:name="_Toc14439"/>
      <w:r>
        <w:rPr>
          <w:color w:val="auto"/>
        </w:rPr>
        <w:t>评价工作内容及重点</w:t>
      </w:r>
      <w:bookmarkEnd w:id="344"/>
      <w:bookmarkEnd w:id="345"/>
      <w:bookmarkEnd w:id="346"/>
      <w:bookmarkEnd w:id="347"/>
      <w:bookmarkEnd w:id="348"/>
      <w:bookmarkEnd w:id="349"/>
    </w:p>
    <w:p>
      <w:pPr>
        <w:pStyle w:val="33"/>
        <w:rPr>
          <w:color w:val="auto"/>
        </w:rPr>
      </w:pPr>
      <w:r>
        <w:rPr>
          <w:color w:val="auto"/>
        </w:rPr>
        <w:t>根据评价区域的环境特征及油田开发建设项目的具体特点，在工程分析的基础上，以生态环境影响评价、土壤环境影响评价、地下水环境影响评价</w:t>
      </w:r>
      <w:r>
        <w:rPr>
          <w:rFonts w:hint="eastAsia"/>
          <w:color w:val="auto"/>
        </w:rPr>
        <w:t>、</w:t>
      </w:r>
      <w:r>
        <w:rPr>
          <w:color w:val="auto"/>
        </w:rPr>
        <w:t>环境风险评价及工程污染防治措施评价为重点，同时进行项目大气环境影响评价、声环境影响评价，环境影响经济损益分析、环境管理及监测计划等项目的评价与分析，在评价过程中力求工业污染防治与生态环境保护并重，提出相应的污染防治措施和生态保护措施及建议。</w:t>
      </w:r>
    </w:p>
    <w:p>
      <w:pPr>
        <w:adjustRightInd w:val="0"/>
        <w:snapToGrid w:val="0"/>
        <w:jc w:val="left"/>
        <w:rPr>
          <w:color w:val="auto"/>
        </w:rPr>
        <w:sectPr>
          <w:footerReference r:id="rId7" w:type="default"/>
          <w:pgSz w:w="11850" w:h="16783"/>
          <w:pgMar w:top="1417" w:right="1417" w:bottom="1417" w:left="1417" w:header="851" w:footer="992" w:gutter="0"/>
          <w:cols w:space="720" w:num="1"/>
          <w:docGrid w:type="lines" w:linePitch="312" w:charSpace="0"/>
        </w:sectPr>
      </w:pPr>
    </w:p>
    <w:p>
      <w:pPr>
        <w:pStyle w:val="3"/>
        <w:spacing w:before="312" w:after="312"/>
        <w:rPr>
          <w:color w:val="auto"/>
        </w:rPr>
      </w:pPr>
      <w:bookmarkStart w:id="350" w:name="_Toc49174608"/>
      <w:bookmarkStart w:id="351" w:name="_Toc14292"/>
      <w:bookmarkStart w:id="352" w:name="_Toc49174444"/>
      <w:bookmarkStart w:id="353" w:name="_Toc18226"/>
      <w:bookmarkStart w:id="354" w:name="_Toc49174717"/>
      <w:bookmarkStart w:id="355" w:name="_Toc49174398"/>
      <w:bookmarkStart w:id="356" w:name="_Toc49174480"/>
      <w:bookmarkStart w:id="357" w:name="_Toc49174977"/>
      <w:bookmarkStart w:id="358" w:name="_Toc49174802"/>
      <w:bookmarkStart w:id="359" w:name="_Toc1610"/>
      <w:bookmarkStart w:id="360" w:name="_Toc382"/>
      <w:bookmarkStart w:id="361" w:name="_Toc11591"/>
      <w:bookmarkStart w:id="362" w:name="_Toc28313"/>
      <w:bookmarkStart w:id="363" w:name="_Toc7897"/>
      <w:bookmarkStart w:id="364" w:name="_Toc7574"/>
      <w:bookmarkStart w:id="365" w:name="_Toc24697"/>
      <w:r>
        <w:rPr>
          <w:color w:val="auto"/>
        </w:rPr>
        <w:t>建设项目工程分析</w:t>
      </w:r>
      <w:bookmarkEnd w:id="350"/>
      <w:bookmarkEnd w:id="351"/>
      <w:bookmarkEnd w:id="352"/>
      <w:bookmarkEnd w:id="353"/>
      <w:bookmarkEnd w:id="354"/>
      <w:bookmarkEnd w:id="355"/>
      <w:bookmarkEnd w:id="356"/>
      <w:bookmarkEnd w:id="357"/>
      <w:bookmarkEnd w:id="358"/>
      <w:bookmarkStart w:id="366" w:name="_Toc449603249"/>
    </w:p>
    <w:bookmarkEnd w:id="366"/>
    <w:p>
      <w:pPr>
        <w:pStyle w:val="4"/>
        <w:spacing w:before="156" w:after="156"/>
        <w:rPr>
          <w:color w:val="auto"/>
        </w:rPr>
      </w:pPr>
      <w:bookmarkStart w:id="367" w:name="_Toc49174803"/>
      <w:bookmarkStart w:id="368" w:name="_Toc49174978"/>
      <w:bookmarkStart w:id="369" w:name="_Toc49174399"/>
      <w:bookmarkStart w:id="370" w:name="_Toc25043"/>
      <w:bookmarkStart w:id="371" w:name="_Toc49174609"/>
      <w:bookmarkStart w:id="372" w:name="_Toc49174718"/>
      <w:bookmarkStart w:id="373" w:name="_Toc7753"/>
      <w:r>
        <w:rPr>
          <w:color w:val="auto"/>
        </w:rPr>
        <w:t>拟建项目概况</w:t>
      </w:r>
      <w:bookmarkEnd w:id="367"/>
      <w:bookmarkEnd w:id="368"/>
      <w:bookmarkEnd w:id="369"/>
      <w:bookmarkEnd w:id="370"/>
      <w:bookmarkEnd w:id="371"/>
      <w:bookmarkEnd w:id="372"/>
      <w:bookmarkEnd w:id="373"/>
      <w:bookmarkStart w:id="374" w:name="_Toc14159"/>
      <w:bookmarkStart w:id="375" w:name="_Toc31018"/>
      <w:bookmarkStart w:id="376" w:name="_Toc24955"/>
    </w:p>
    <w:p>
      <w:pPr>
        <w:pStyle w:val="5"/>
        <w:spacing w:before="156" w:after="156"/>
        <w:rPr>
          <w:color w:val="auto"/>
        </w:rPr>
      </w:pPr>
      <w:bookmarkStart w:id="377" w:name="_Toc10353"/>
      <w:bookmarkStart w:id="378" w:name="_Toc9845"/>
      <w:bookmarkStart w:id="379" w:name="_Toc49174979"/>
      <w:bookmarkStart w:id="380" w:name="_Toc12266"/>
      <w:bookmarkStart w:id="381" w:name="_Toc5359"/>
      <w:bookmarkStart w:id="382" w:name="_Toc30817"/>
      <w:bookmarkStart w:id="383" w:name="_Toc49174804"/>
      <w:r>
        <w:rPr>
          <w:color w:val="auto"/>
        </w:rPr>
        <w:t>拟建项目基本情况</w:t>
      </w:r>
      <w:bookmarkEnd w:id="374"/>
      <w:bookmarkEnd w:id="375"/>
      <w:bookmarkEnd w:id="376"/>
      <w:bookmarkEnd w:id="377"/>
      <w:bookmarkEnd w:id="378"/>
      <w:bookmarkEnd w:id="379"/>
      <w:bookmarkEnd w:id="380"/>
      <w:bookmarkEnd w:id="381"/>
      <w:bookmarkEnd w:id="382"/>
      <w:bookmarkEnd w:id="383"/>
    </w:p>
    <w:p>
      <w:pPr>
        <w:snapToGrid w:val="0"/>
        <w:spacing w:line="500" w:lineRule="exact"/>
        <w:ind w:firstLine="560" w:firstLineChars="200"/>
        <w:rPr>
          <w:rFonts w:hint="eastAsia" w:eastAsia="宋体"/>
          <w:snapToGrid w:val="0"/>
          <w:color w:val="auto"/>
          <w:sz w:val="28"/>
          <w:szCs w:val="28"/>
          <w:lang w:eastAsia="zh-CN"/>
        </w:rPr>
      </w:pPr>
      <w:r>
        <w:rPr>
          <w:snapToGrid w:val="0"/>
          <w:color w:val="auto"/>
          <w:kern w:val="0"/>
          <w:sz w:val="28"/>
          <w:szCs w:val="28"/>
        </w:rPr>
        <w:t>项目名称：</w:t>
      </w:r>
      <w:r>
        <w:rPr>
          <w:rFonts w:hint="eastAsia"/>
          <w:snapToGrid w:val="0"/>
          <w:color w:val="auto"/>
          <w:kern w:val="0"/>
          <w:sz w:val="28"/>
          <w:szCs w:val="28"/>
          <w:lang w:eastAsia="zh-CN"/>
        </w:rPr>
        <w:t>大庆升平储气库钻井工程</w:t>
      </w:r>
    </w:p>
    <w:p>
      <w:pPr>
        <w:snapToGrid w:val="0"/>
        <w:spacing w:line="500" w:lineRule="exact"/>
        <w:ind w:firstLine="560" w:firstLineChars="200"/>
        <w:rPr>
          <w:snapToGrid w:val="0"/>
          <w:color w:val="auto"/>
          <w:sz w:val="28"/>
          <w:szCs w:val="28"/>
        </w:rPr>
      </w:pPr>
      <w:r>
        <w:rPr>
          <w:snapToGrid w:val="0"/>
          <w:color w:val="auto"/>
          <w:sz w:val="28"/>
          <w:szCs w:val="28"/>
        </w:rPr>
        <w:t>建设地点：黑龙江省</w:t>
      </w:r>
      <w:r>
        <w:rPr>
          <w:rFonts w:hint="eastAsia"/>
          <w:snapToGrid w:val="0"/>
          <w:color w:val="auto"/>
          <w:sz w:val="28"/>
          <w:szCs w:val="28"/>
        </w:rPr>
        <w:t>绥化市安达市</w:t>
      </w:r>
      <w:r>
        <w:rPr>
          <w:rFonts w:hint="eastAsia"/>
          <w:snapToGrid w:val="0"/>
          <w:color w:val="auto"/>
          <w:sz w:val="28"/>
          <w:szCs w:val="28"/>
          <w:lang w:eastAsia="zh-CN"/>
        </w:rPr>
        <w:t>升平镇境内</w:t>
      </w:r>
      <w:r>
        <w:rPr>
          <w:snapToGrid w:val="0"/>
          <w:color w:val="auto"/>
          <w:sz w:val="28"/>
          <w:szCs w:val="28"/>
        </w:rPr>
        <w:t>。</w:t>
      </w:r>
    </w:p>
    <w:p>
      <w:pPr>
        <w:snapToGrid w:val="0"/>
        <w:spacing w:line="500" w:lineRule="exact"/>
        <w:ind w:firstLine="560" w:firstLineChars="200"/>
        <w:rPr>
          <w:snapToGrid w:val="0"/>
          <w:color w:val="auto"/>
          <w:sz w:val="28"/>
          <w:szCs w:val="28"/>
        </w:rPr>
      </w:pPr>
      <w:r>
        <w:rPr>
          <w:snapToGrid w:val="0"/>
          <w:color w:val="auto"/>
          <w:sz w:val="28"/>
          <w:szCs w:val="28"/>
        </w:rPr>
        <w:t>建设性质：</w:t>
      </w:r>
      <w:r>
        <w:rPr>
          <w:rFonts w:hint="eastAsia"/>
          <w:snapToGrid w:val="0"/>
          <w:color w:val="auto"/>
          <w:sz w:val="28"/>
          <w:szCs w:val="28"/>
          <w:lang w:eastAsia="zh-CN"/>
        </w:rPr>
        <w:t>新建</w:t>
      </w:r>
      <w:r>
        <w:rPr>
          <w:snapToGrid w:val="0"/>
          <w:color w:val="auto"/>
          <w:sz w:val="28"/>
          <w:szCs w:val="28"/>
        </w:rPr>
        <w:t>。</w:t>
      </w:r>
    </w:p>
    <w:p>
      <w:pPr>
        <w:snapToGrid w:val="0"/>
        <w:spacing w:line="500" w:lineRule="exact"/>
        <w:ind w:firstLine="560" w:firstLineChars="200"/>
        <w:rPr>
          <w:color w:val="auto"/>
          <w:sz w:val="28"/>
          <w:szCs w:val="28"/>
        </w:rPr>
      </w:pPr>
      <w:r>
        <w:rPr>
          <w:snapToGrid w:val="0"/>
          <w:color w:val="auto"/>
          <w:kern w:val="0"/>
          <w:sz w:val="28"/>
          <w:szCs w:val="28"/>
        </w:rPr>
        <w:t>工程规模：</w:t>
      </w:r>
      <w:r>
        <w:rPr>
          <w:snapToGrid w:val="0"/>
          <w:color w:val="auto"/>
          <w:sz w:val="28"/>
          <w:szCs w:val="28"/>
        </w:rPr>
        <w:t>新钻井</w:t>
      </w:r>
      <w:r>
        <w:rPr>
          <w:rFonts w:hint="eastAsia"/>
          <w:snapToGrid w:val="0"/>
          <w:color w:val="auto"/>
          <w:sz w:val="28"/>
          <w:szCs w:val="28"/>
          <w:lang w:val="en-US" w:eastAsia="zh-CN"/>
        </w:rPr>
        <w:t>30</w:t>
      </w:r>
      <w:r>
        <w:rPr>
          <w:snapToGrid w:val="0"/>
          <w:color w:val="auto"/>
          <w:sz w:val="28"/>
          <w:szCs w:val="28"/>
        </w:rPr>
        <w:t>口，</w:t>
      </w:r>
      <w:r>
        <w:rPr>
          <w:rFonts w:hint="eastAsia"/>
          <w:snapToGrid w:val="0"/>
          <w:color w:val="auto"/>
          <w:sz w:val="28"/>
          <w:szCs w:val="28"/>
        </w:rPr>
        <w:t>包含钻井、测井、录井、</w:t>
      </w:r>
      <w:r>
        <w:rPr>
          <w:rFonts w:hint="eastAsia"/>
          <w:snapToGrid w:val="0"/>
          <w:color w:val="auto"/>
          <w:sz w:val="28"/>
          <w:szCs w:val="28"/>
          <w:lang w:eastAsia="zh-CN"/>
        </w:rPr>
        <w:t>完井</w:t>
      </w:r>
      <w:r>
        <w:rPr>
          <w:rFonts w:hint="eastAsia"/>
          <w:snapToGrid w:val="0"/>
          <w:color w:val="auto"/>
          <w:sz w:val="28"/>
          <w:szCs w:val="28"/>
        </w:rPr>
        <w:t>等工程</w:t>
      </w:r>
      <w:r>
        <w:rPr>
          <w:snapToGrid w:val="0"/>
          <w:color w:val="auto"/>
          <w:sz w:val="28"/>
          <w:szCs w:val="28"/>
        </w:rPr>
        <w:t>。</w:t>
      </w:r>
    </w:p>
    <w:p>
      <w:pPr>
        <w:snapToGrid w:val="0"/>
        <w:spacing w:line="500" w:lineRule="exact"/>
        <w:ind w:firstLine="560" w:firstLineChars="200"/>
        <w:rPr>
          <w:snapToGrid w:val="0"/>
          <w:color w:val="auto"/>
          <w:kern w:val="0"/>
          <w:sz w:val="28"/>
          <w:szCs w:val="28"/>
        </w:rPr>
      </w:pPr>
      <w:r>
        <w:rPr>
          <w:snapToGrid w:val="0"/>
          <w:color w:val="auto"/>
          <w:kern w:val="0"/>
          <w:sz w:val="28"/>
          <w:szCs w:val="28"/>
        </w:rPr>
        <w:t>占地面积：</w:t>
      </w:r>
      <w:r>
        <w:rPr>
          <w:color w:val="auto"/>
          <w:sz w:val="28"/>
          <w:szCs w:val="28"/>
        </w:rPr>
        <w:t>永久占地</w:t>
      </w:r>
      <w:r>
        <w:rPr>
          <w:rFonts w:hint="eastAsia"/>
          <w:color w:val="auto"/>
          <w:sz w:val="28"/>
          <w:szCs w:val="28"/>
          <w:lang w:val="en-US" w:eastAsia="zh-CN"/>
        </w:rPr>
        <w:t>1.6</w:t>
      </w:r>
      <w:r>
        <w:rPr>
          <w:color w:val="auto"/>
          <w:sz w:val="28"/>
          <w:szCs w:val="28"/>
        </w:rPr>
        <w:t>hm</w:t>
      </w:r>
      <w:r>
        <w:rPr>
          <w:color w:val="auto"/>
          <w:sz w:val="28"/>
          <w:szCs w:val="28"/>
          <w:vertAlign w:val="superscript"/>
        </w:rPr>
        <w:t>2</w:t>
      </w:r>
      <w:r>
        <w:rPr>
          <w:color w:val="auto"/>
          <w:szCs w:val="28"/>
        </w:rPr>
        <w:t>，</w:t>
      </w:r>
      <w:r>
        <w:rPr>
          <w:color w:val="auto"/>
          <w:sz w:val="28"/>
          <w:szCs w:val="28"/>
        </w:rPr>
        <w:t>临时占地</w:t>
      </w:r>
      <w:r>
        <w:rPr>
          <w:rFonts w:hint="eastAsia"/>
          <w:color w:val="auto"/>
          <w:sz w:val="28"/>
          <w:szCs w:val="28"/>
          <w:lang w:val="en-US" w:eastAsia="zh-CN"/>
        </w:rPr>
        <w:t>11.84</w:t>
      </w:r>
      <w:r>
        <w:rPr>
          <w:color w:val="auto"/>
          <w:sz w:val="28"/>
          <w:szCs w:val="28"/>
        </w:rPr>
        <w:t>hm</w:t>
      </w:r>
      <w:r>
        <w:rPr>
          <w:color w:val="auto"/>
          <w:sz w:val="28"/>
          <w:szCs w:val="28"/>
          <w:vertAlign w:val="superscript"/>
        </w:rPr>
        <w:t>2</w:t>
      </w:r>
      <w:r>
        <w:rPr>
          <w:snapToGrid w:val="0"/>
          <w:color w:val="auto"/>
          <w:kern w:val="0"/>
          <w:sz w:val="28"/>
          <w:szCs w:val="28"/>
        </w:rPr>
        <w:t>。</w:t>
      </w:r>
      <w:r>
        <w:rPr>
          <w:rFonts w:hint="eastAsia"/>
          <w:snapToGrid w:val="0"/>
          <w:color w:val="auto"/>
          <w:kern w:val="0"/>
          <w:sz w:val="28"/>
          <w:szCs w:val="28"/>
        </w:rPr>
        <w:t>占地类型为耕地（基本农田）</w:t>
      </w:r>
      <w:r>
        <w:rPr>
          <w:rFonts w:hint="eastAsia"/>
          <w:snapToGrid w:val="0"/>
          <w:color w:val="auto"/>
          <w:kern w:val="0"/>
          <w:sz w:val="28"/>
          <w:szCs w:val="28"/>
          <w:lang w:eastAsia="zh-CN"/>
        </w:rPr>
        <w:t>和</w:t>
      </w:r>
      <w:r>
        <w:rPr>
          <w:rFonts w:hint="eastAsia"/>
          <w:snapToGrid w:val="0"/>
          <w:color w:val="auto"/>
          <w:kern w:val="0"/>
          <w:sz w:val="28"/>
          <w:szCs w:val="28"/>
        </w:rPr>
        <w:t>草地（</w:t>
      </w:r>
      <w:r>
        <w:rPr>
          <w:rFonts w:hint="eastAsia"/>
          <w:snapToGrid w:val="0"/>
          <w:color w:val="auto"/>
          <w:kern w:val="0"/>
          <w:sz w:val="28"/>
          <w:szCs w:val="28"/>
          <w:lang w:eastAsia="zh-CN"/>
        </w:rPr>
        <w:t>一般</w:t>
      </w:r>
      <w:r>
        <w:rPr>
          <w:rFonts w:hint="eastAsia"/>
          <w:snapToGrid w:val="0"/>
          <w:color w:val="auto"/>
          <w:kern w:val="0"/>
          <w:sz w:val="28"/>
          <w:szCs w:val="28"/>
        </w:rPr>
        <w:t>草</w:t>
      </w:r>
      <w:r>
        <w:rPr>
          <w:rFonts w:hint="eastAsia"/>
          <w:snapToGrid w:val="0"/>
          <w:color w:val="auto"/>
          <w:kern w:val="0"/>
          <w:sz w:val="28"/>
          <w:szCs w:val="28"/>
          <w:lang w:eastAsia="zh-CN"/>
        </w:rPr>
        <w:t>地</w:t>
      </w:r>
      <w:r>
        <w:rPr>
          <w:rFonts w:hint="eastAsia"/>
          <w:snapToGrid w:val="0"/>
          <w:color w:val="auto"/>
          <w:kern w:val="0"/>
          <w:sz w:val="28"/>
          <w:szCs w:val="28"/>
        </w:rPr>
        <w:t>）。</w:t>
      </w:r>
    </w:p>
    <w:p>
      <w:pPr>
        <w:snapToGrid w:val="0"/>
        <w:spacing w:line="500" w:lineRule="exact"/>
        <w:ind w:firstLine="560" w:firstLineChars="200"/>
        <w:rPr>
          <w:color w:val="auto"/>
          <w:sz w:val="28"/>
          <w:szCs w:val="28"/>
        </w:rPr>
      </w:pPr>
      <w:r>
        <w:rPr>
          <w:snapToGrid w:val="0"/>
          <w:color w:val="auto"/>
          <w:kern w:val="0"/>
          <w:sz w:val="28"/>
          <w:szCs w:val="28"/>
        </w:rPr>
        <w:t>工程投资：</w:t>
      </w:r>
      <w:r>
        <w:rPr>
          <w:rFonts w:hint="eastAsia"/>
          <w:snapToGrid w:val="0"/>
          <w:color w:val="auto"/>
          <w:kern w:val="0"/>
          <w:sz w:val="28"/>
          <w:szCs w:val="28"/>
        </w:rPr>
        <w:t>252726</w:t>
      </w:r>
      <w:r>
        <w:rPr>
          <w:rFonts w:hint="eastAsia"/>
          <w:color w:val="auto"/>
          <w:sz w:val="28"/>
          <w:szCs w:val="28"/>
        </w:rPr>
        <w:t>万</w:t>
      </w:r>
      <w:r>
        <w:rPr>
          <w:color w:val="auto"/>
          <w:sz w:val="28"/>
          <w:szCs w:val="28"/>
        </w:rPr>
        <w:t>元。</w:t>
      </w:r>
    </w:p>
    <w:p>
      <w:pPr>
        <w:snapToGrid w:val="0"/>
        <w:spacing w:line="480" w:lineRule="exact"/>
        <w:ind w:firstLine="560" w:firstLineChars="200"/>
        <w:rPr>
          <w:bCs/>
          <w:color w:val="auto"/>
          <w:kern w:val="10"/>
          <w:sz w:val="28"/>
          <w:szCs w:val="28"/>
        </w:rPr>
      </w:pPr>
      <w:r>
        <w:rPr>
          <w:snapToGrid w:val="0"/>
          <w:color w:val="auto"/>
          <w:sz w:val="28"/>
          <w:szCs w:val="28"/>
        </w:rPr>
        <w:t>项目组成：</w:t>
      </w:r>
      <w:r>
        <w:rPr>
          <w:bCs/>
          <w:color w:val="auto"/>
          <w:kern w:val="10"/>
          <w:sz w:val="28"/>
          <w:szCs w:val="28"/>
        </w:rPr>
        <w:t>本工程</w:t>
      </w:r>
      <w:r>
        <w:rPr>
          <w:snapToGrid w:val="0"/>
          <w:color w:val="auto"/>
          <w:sz w:val="28"/>
          <w:szCs w:val="28"/>
        </w:rPr>
        <w:t>项目组成情况见表3.1-1，</w:t>
      </w:r>
      <w:r>
        <w:rPr>
          <w:rFonts w:hint="eastAsia"/>
          <w:snapToGrid w:val="0"/>
          <w:color w:val="auto"/>
          <w:sz w:val="28"/>
          <w:szCs w:val="28"/>
        </w:rPr>
        <w:t>本工程井位布置</w:t>
      </w:r>
      <w:r>
        <w:rPr>
          <w:snapToGrid w:val="0"/>
          <w:color w:val="auto"/>
          <w:sz w:val="28"/>
          <w:szCs w:val="28"/>
        </w:rPr>
        <w:t>见</w:t>
      </w:r>
      <w:r>
        <w:rPr>
          <w:rFonts w:hint="eastAsia"/>
          <w:snapToGrid w:val="0"/>
          <w:color w:val="auto"/>
          <w:sz w:val="28"/>
          <w:szCs w:val="28"/>
          <w:lang w:eastAsia="zh-CN"/>
        </w:rPr>
        <w:t>附</w:t>
      </w:r>
      <w:r>
        <w:rPr>
          <w:snapToGrid w:val="0"/>
          <w:color w:val="auto"/>
          <w:sz w:val="28"/>
          <w:szCs w:val="28"/>
        </w:rPr>
        <w:t>图3.1-1</w:t>
      </w:r>
      <w:r>
        <w:rPr>
          <w:bCs/>
          <w:color w:val="auto"/>
          <w:kern w:val="10"/>
          <w:sz w:val="28"/>
          <w:szCs w:val="28"/>
        </w:rPr>
        <w:t>。</w:t>
      </w:r>
    </w:p>
    <w:bookmarkEnd w:id="359"/>
    <w:bookmarkEnd w:id="360"/>
    <w:bookmarkEnd w:id="361"/>
    <w:bookmarkEnd w:id="362"/>
    <w:bookmarkEnd w:id="363"/>
    <w:bookmarkEnd w:id="364"/>
    <w:p>
      <w:pPr>
        <w:pStyle w:val="7"/>
        <w:bidi w:val="0"/>
        <w:rPr>
          <w:color w:val="auto"/>
        </w:rPr>
      </w:pPr>
      <w:r>
        <w:rPr>
          <w:rFonts w:hint="eastAsia"/>
          <w:color w:val="auto"/>
        </w:rPr>
        <w:t>项目组成一览表</w:t>
      </w:r>
    </w:p>
    <w:tbl>
      <w:tblPr>
        <w:tblStyle w:val="34"/>
        <w:tblW w:w="92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5"/>
        <w:gridCol w:w="504"/>
        <w:gridCol w:w="1377"/>
        <w:gridCol w:w="1134"/>
        <w:gridCol w:w="5020"/>
        <w:gridCol w:w="7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序号</w:t>
            </w:r>
          </w:p>
        </w:tc>
        <w:tc>
          <w:tcPr>
            <w:tcW w:w="50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类别</w:t>
            </w: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工程名称</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hAnsi="宋体" w:eastAsia="宋体"/>
                <w:color w:val="auto"/>
                <w:lang w:val="en-US" w:eastAsia="zh-CN"/>
              </w:rPr>
              <w:t>工程量</w:t>
            </w:r>
          </w:p>
        </w:tc>
        <w:tc>
          <w:tcPr>
            <w:tcW w:w="5020"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规模及建设内容</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p>
        </w:tc>
        <w:tc>
          <w:tcPr>
            <w:tcW w:w="504"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主体工程</w:t>
            </w: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钻井工程</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30</w:t>
            </w:r>
            <w:r>
              <w:rPr>
                <w:rFonts w:hint="default" w:hAnsi="宋体" w:eastAsia="宋体"/>
                <w:color w:val="auto"/>
                <w:lang w:val="en-US" w:eastAsia="zh-CN"/>
              </w:rPr>
              <w:t>口</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color w:val="auto"/>
              </w:rPr>
              <w:t>新钻井</w:t>
            </w:r>
            <w:r>
              <w:rPr>
                <w:rFonts w:hint="eastAsia" w:hAnsi="宋体"/>
                <w:color w:val="auto"/>
                <w:lang w:val="en-US" w:eastAsia="zh-CN"/>
              </w:rPr>
              <w:t>30</w:t>
            </w:r>
            <w:r>
              <w:rPr>
                <w:rFonts w:hint="default" w:hAnsi="宋体"/>
                <w:color w:val="auto"/>
              </w:rPr>
              <w:t>口，</w:t>
            </w:r>
            <w:r>
              <w:rPr>
                <w:rFonts w:hint="eastAsia" w:hAnsi="宋体"/>
                <w:color w:val="auto"/>
              </w:rPr>
              <w:t>完钻层位营三段，井深3559m-4389m，垂深2800m-2900</w:t>
            </w:r>
            <w:r>
              <w:rPr>
                <w:rFonts w:hint="eastAsia" w:hAnsi="宋体"/>
                <w:color w:val="auto"/>
                <w:lang w:val="en-US" w:eastAsia="zh-CN"/>
              </w:rPr>
              <w:t>m</w:t>
            </w:r>
            <w:r>
              <w:rPr>
                <w:rFonts w:hint="eastAsia" w:hAnsi="宋体"/>
                <w:color w:val="auto"/>
                <w:lang w:eastAsia="zh-CN"/>
              </w:rPr>
              <w:t>，总进尺</w:t>
            </w:r>
            <w:r>
              <w:rPr>
                <w:rFonts w:hint="eastAsia" w:hAnsi="宋体"/>
                <w:color w:val="auto"/>
                <w:lang w:val="en-US" w:eastAsia="zh-CN"/>
              </w:rPr>
              <w:t>105020m</w:t>
            </w:r>
            <w:r>
              <w:rPr>
                <w:rFonts w:hint="eastAsia" w:hAnsi="宋体"/>
                <w:color w:val="auto"/>
              </w:rPr>
              <w:t>。</w:t>
            </w:r>
            <w:r>
              <w:rPr>
                <w:rFonts w:hint="default" w:hAnsi="宋体"/>
                <w:color w:val="auto"/>
              </w:rPr>
              <w:t>主要工程内容包括钻井成套设备搬运、安装、调试、钻进、录井、测井、固井、完井</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2</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hAnsi="宋体"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井场</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10</w:t>
            </w:r>
            <w:r>
              <w:rPr>
                <w:rFonts w:hint="default" w:hAnsi="宋体" w:eastAsia="宋体"/>
                <w:color w:val="auto"/>
                <w:lang w:val="en-US" w:eastAsia="zh-CN"/>
              </w:rPr>
              <w:t>座</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新建</w:t>
            </w:r>
            <w:r>
              <w:rPr>
                <w:rFonts w:hint="default" w:eastAsia="宋体"/>
                <w:color w:val="auto"/>
                <w:lang w:val="en-US" w:eastAsia="zh-CN"/>
              </w:rPr>
              <w:t>100m×90m</w:t>
            </w:r>
            <w:r>
              <w:rPr>
                <w:rFonts w:hint="default" w:hAnsi="宋体" w:eastAsia="宋体"/>
                <w:color w:val="auto"/>
                <w:lang w:val="en-US" w:eastAsia="zh-CN"/>
              </w:rPr>
              <w:t>钻井场地</w:t>
            </w:r>
            <w:r>
              <w:rPr>
                <w:rFonts w:hint="eastAsia"/>
                <w:color w:val="auto"/>
                <w:lang w:val="en-US" w:eastAsia="zh-CN"/>
              </w:rPr>
              <w:t>10</w:t>
            </w:r>
            <w:r>
              <w:rPr>
                <w:rFonts w:hint="default" w:hAnsi="宋体" w:eastAsia="宋体"/>
                <w:color w:val="auto"/>
                <w:lang w:val="en-US" w:eastAsia="zh-CN"/>
              </w:rPr>
              <w:t>座，井场设备包括钻机、钻台、柴油机，以及泥浆泵、泥浆罐、空压机、</w:t>
            </w:r>
            <w:r>
              <w:rPr>
                <w:rFonts w:hint="eastAsia" w:hAnsi="宋体" w:eastAsia="宋体"/>
                <w:color w:val="auto"/>
                <w:lang w:val="en-US" w:eastAsia="zh-CN"/>
              </w:rPr>
              <w:t>钢制泥浆槽</w:t>
            </w:r>
            <w:r>
              <w:rPr>
                <w:rFonts w:hint="default" w:hAnsi="宋体" w:eastAsia="宋体"/>
                <w:color w:val="auto"/>
                <w:lang w:val="en-US" w:eastAsia="zh-CN"/>
              </w:rPr>
              <w:t>等</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3</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井架基础</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30</w:t>
            </w:r>
            <w:r>
              <w:rPr>
                <w:rFonts w:hint="default" w:hAnsi="宋体" w:eastAsia="宋体"/>
                <w:color w:val="auto"/>
                <w:lang w:val="en-US" w:eastAsia="zh-CN"/>
              </w:rPr>
              <w:t>座</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新建撬装式钢制基础，</w:t>
            </w:r>
            <w:r>
              <w:rPr>
                <w:rFonts w:hint="default" w:eastAsia="宋体"/>
                <w:color w:val="auto"/>
                <w:lang w:val="en-US" w:eastAsia="zh-CN"/>
              </w:rPr>
              <w:t>43.3m×11.7m</w:t>
            </w:r>
            <w:r>
              <w:rPr>
                <w:rFonts w:hint="default" w:hAnsi="宋体" w:eastAsia="宋体"/>
                <w:color w:val="auto"/>
                <w:lang w:val="en-US" w:eastAsia="zh-CN"/>
              </w:rPr>
              <w:t>，用于架设钻井井架</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4</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tabs>
                <w:tab w:val="left" w:pos="286"/>
                <w:tab w:val="center" w:pos="640"/>
              </w:tabs>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试气作业</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30</w:t>
            </w:r>
            <w:r>
              <w:rPr>
                <w:rFonts w:hint="default" w:hAnsi="宋体" w:eastAsia="宋体"/>
                <w:color w:val="auto"/>
                <w:lang w:val="en-US" w:eastAsia="zh-CN"/>
              </w:rPr>
              <w:t>口</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eastAsia" w:ascii="宋体" w:cs="宋体"/>
                <w:color w:val="auto"/>
                <w:kern w:val="0"/>
                <w:szCs w:val="21"/>
              </w:rPr>
              <w:t>设备包括试气井架、放喷管线、防喷器、三相分离器、计量池、临时放空火炬等</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6</w:t>
            </w:r>
          </w:p>
        </w:tc>
        <w:tc>
          <w:tcPr>
            <w:tcW w:w="504"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辅助工程</w:t>
            </w: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钻井发电房</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default" w:hAnsi="宋体" w:eastAsia="宋体"/>
                <w:color w:val="auto"/>
                <w:lang w:val="en-US" w:eastAsia="zh-CN"/>
              </w:rPr>
              <w:t>座</w:t>
            </w:r>
            <w:r>
              <w:rPr>
                <w:rFonts w:hint="default" w:eastAsia="宋体"/>
                <w:color w:val="auto"/>
                <w:lang w:val="en-US" w:eastAsia="zh-CN"/>
              </w:rPr>
              <w:t>/</w:t>
            </w:r>
            <w:r>
              <w:rPr>
                <w:rFonts w:hint="default" w:hAnsi="宋体" w:eastAsia="宋体"/>
                <w:color w:val="auto"/>
                <w:lang w:val="en-US" w:eastAsia="zh-CN"/>
              </w:rPr>
              <w:t>井</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占地面积</w:t>
            </w:r>
            <w:r>
              <w:rPr>
                <w:rFonts w:hint="default" w:eastAsia="宋体"/>
                <w:color w:val="auto"/>
                <w:lang w:val="en-US" w:eastAsia="zh-CN"/>
              </w:rPr>
              <w:t>100m</w:t>
            </w:r>
            <w:r>
              <w:rPr>
                <w:rFonts w:hint="default" w:eastAsia="宋体"/>
                <w:color w:val="auto"/>
                <w:vertAlign w:val="superscript"/>
                <w:lang w:val="en-US" w:eastAsia="zh-CN"/>
              </w:rPr>
              <w:t>2</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7</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eastAsia" w:hAnsi="宋体" w:eastAsia="宋体"/>
                <w:color w:val="auto"/>
                <w:lang w:val="en-US" w:eastAsia="zh-CN"/>
              </w:rPr>
            </w:pPr>
            <w:r>
              <w:rPr>
                <w:rFonts w:hint="default" w:hAnsi="宋体" w:eastAsia="宋体"/>
                <w:color w:val="auto"/>
                <w:lang w:val="en-US" w:eastAsia="zh-CN"/>
              </w:rPr>
              <w:t>泥浆循</w:t>
            </w:r>
          </w:p>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环罐</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4</w:t>
            </w:r>
            <w:r>
              <w:rPr>
                <w:rFonts w:hint="default" w:hAnsi="宋体" w:eastAsia="宋体"/>
                <w:color w:val="auto"/>
                <w:lang w:val="en-US" w:eastAsia="zh-CN"/>
              </w:rPr>
              <w:t>个</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钢制泥浆循环罐</w:t>
            </w:r>
            <w:r>
              <w:rPr>
                <w:rFonts w:hint="default" w:eastAsia="宋体"/>
                <w:color w:val="auto"/>
                <w:lang w:val="en-US" w:eastAsia="zh-CN"/>
              </w:rPr>
              <w:t>4</w:t>
            </w:r>
            <w:r>
              <w:rPr>
                <w:rFonts w:hint="default" w:hAnsi="宋体" w:eastAsia="宋体"/>
                <w:color w:val="auto"/>
                <w:lang w:val="en-US" w:eastAsia="zh-CN"/>
              </w:rPr>
              <w:t>个</w:t>
            </w:r>
            <w:r>
              <w:rPr>
                <w:rFonts w:hint="default" w:eastAsia="宋体"/>
                <w:color w:val="auto"/>
                <w:lang w:val="en-US" w:eastAsia="zh-CN"/>
              </w:rPr>
              <w:t>/</w:t>
            </w:r>
            <w:r>
              <w:rPr>
                <w:rFonts w:hint="default" w:hAnsi="宋体" w:eastAsia="宋体"/>
                <w:color w:val="auto"/>
                <w:lang w:val="en-US" w:eastAsia="zh-CN"/>
              </w:rPr>
              <w:t>井场，单罐容积</w:t>
            </w:r>
            <w:r>
              <w:rPr>
                <w:rFonts w:hint="default" w:eastAsia="宋体"/>
                <w:color w:val="auto"/>
                <w:lang w:val="en-US" w:eastAsia="zh-CN"/>
              </w:rPr>
              <w:t>40m</w:t>
            </w:r>
            <w:r>
              <w:rPr>
                <w:rFonts w:hint="default" w:eastAsia="宋体"/>
                <w:color w:val="auto"/>
                <w:vertAlign w:val="superscript"/>
                <w:lang w:val="en-US" w:eastAsia="zh-CN"/>
              </w:rPr>
              <w:t>3</w:t>
            </w:r>
            <w:r>
              <w:rPr>
                <w:rFonts w:hint="default" w:hAnsi="宋体" w:eastAsia="宋体"/>
                <w:color w:val="auto"/>
                <w:lang w:val="en-US" w:eastAsia="zh-CN"/>
              </w:rPr>
              <w:t>，储量合计</w:t>
            </w:r>
            <w:r>
              <w:rPr>
                <w:rFonts w:hint="default" w:eastAsia="宋体"/>
                <w:color w:val="auto"/>
                <w:lang w:val="en-US" w:eastAsia="zh-CN"/>
              </w:rPr>
              <w:t>160m</w:t>
            </w:r>
            <w:r>
              <w:rPr>
                <w:rFonts w:hint="default" w:eastAsia="宋体"/>
                <w:color w:val="auto"/>
                <w:vertAlign w:val="superscript"/>
                <w:lang w:val="en-US" w:eastAsia="zh-CN"/>
              </w:rPr>
              <w:t>3</w:t>
            </w:r>
            <w:r>
              <w:rPr>
                <w:rFonts w:hint="default" w:hAnsi="宋体" w:eastAsia="宋体"/>
                <w:color w:val="auto"/>
                <w:lang w:val="en-US" w:eastAsia="zh-CN"/>
              </w:rPr>
              <w:t>，占地面积</w:t>
            </w:r>
            <w:r>
              <w:rPr>
                <w:rFonts w:hint="default" w:eastAsia="宋体"/>
                <w:color w:val="auto"/>
                <w:lang w:val="en-US" w:eastAsia="zh-CN"/>
              </w:rPr>
              <w:t>100m</w:t>
            </w:r>
            <w:r>
              <w:rPr>
                <w:rFonts w:hint="default" w:eastAsia="宋体"/>
                <w:color w:val="auto"/>
                <w:vertAlign w:val="superscript"/>
                <w:lang w:val="en-US" w:eastAsia="zh-CN"/>
              </w:rPr>
              <w:t>2</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eastAsia="宋体"/>
                <w:color w:val="auto"/>
                <w:lang w:val="en-US" w:eastAsia="zh-CN"/>
              </w:rPr>
              <w:t>8</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eastAsia" w:hAnsi="宋体" w:eastAsia="宋体"/>
                <w:color w:val="auto"/>
                <w:lang w:val="en-US" w:eastAsia="zh-CN"/>
              </w:rPr>
            </w:pPr>
            <w:r>
              <w:rPr>
                <w:rFonts w:hint="eastAsia" w:hAnsi="宋体" w:eastAsia="宋体"/>
                <w:color w:val="auto"/>
                <w:lang w:val="en-US" w:eastAsia="zh-CN"/>
              </w:rPr>
              <w:t>钢制泥浆槽</w:t>
            </w:r>
          </w:p>
        </w:tc>
        <w:tc>
          <w:tcPr>
            <w:tcW w:w="1134" w:type="dxa"/>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eastAsia="宋体"/>
                <w:color w:val="auto"/>
                <w:lang w:val="en-US" w:eastAsia="zh-CN"/>
              </w:rPr>
              <w:t>3</w:t>
            </w:r>
            <w:r>
              <w:rPr>
                <w:rFonts w:hint="eastAsia" w:hAnsi="宋体" w:eastAsia="宋体"/>
                <w:color w:val="auto"/>
                <w:lang w:val="en-US" w:eastAsia="zh-CN"/>
              </w:rPr>
              <w:t>个</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eastAsia" w:hAnsi="宋体" w:eastAsia="宋体"/>
                <w:color w:val="auto"/>
                <w:lang w:val="en-US" w:eastAsia="zh-CN"/>
              </w:rPr>
            </w:pPr>
            <w:r>
              <w:rPr>
                <w:rFonts w:hint="default" w:hAnsi="宋体"/>
                <w:color w:val="auto"/>
                <w:lang w:val="en-US" w:eastAsia="zh-CN"/>
              </w:rPr>
              <w:t>钢制泥浆槽（尺寸为3m×1.8m×1.5m</w:t>
            </w:r>
            <w:r>
              <w:rPr>
                <w:rFonts w:hint="eastAsia" w:hAnsi="宋体" w:eastAsia="宋体"/>
                <w:color w:val="auto"/>
                <w:lang w:val="en-US" w:eastAsia="zh-CN"/>
              </w:rPr>
              <w:t>，容积8.1m</w:t>
            </w:r>
            <w:r>
              <w:rPr>
                <w:rFonts w:hint="eastAsia" w:hAnsi="宋体" w:eastAsia="宋体"/>
                <w:color w:val="auto"/>
                <w:vertAlign w:val="superscript"/>
                <w:lang w:val="en-US" w:eastAsia="zh-CN"/>
              </w:rPr>
              <w:t>3</w:t>
            </w:r>
            <w:r>
              <w:rPr>
                <w:rFonts w:hint="default" w:hAnsi="宋体"/>
                <w:color w:val="auto"/>
                <w:lang w:val="en-US" w:eastAsia="zh-CN"/>
              </w:rPr>
              <w:t>）用于接收钻井污水、钻井岩屑、废弃钻井液</w:t>
            </w:r>
            <w:r>
              <w:rPr>
                <w:rFonts w:hint="eastAsia" w:hAnsi="宋体" w:eastAsia="宋体"/>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9</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水罐区</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default" w:hAnsi="宋体" w:eastAsia="宋体"/>
                <w:color w:val="auto"/>
                <w:lang w:val="en-US" w:eastAsia="zh-CN"/>
              </w:rPr>
              <w:t>座</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钢制水罐</w:t>
            </w:r>
            <w:r>
              <w:rPr>
                <w:rFonts w:hint="default" w:eastAsia="宋体"/>
                <w:color w:val="auto"/>
                <w:lang w:val="en-US" w:eastAsia="zh-CN"/>
              </w:rPr>
              <w:t>1</w:t>
            </w:r>
            <w:r>
              <w:rPr>
                <w:rFonts w:hint="default" w:hAnsi="宋体" w:eastAsia="宋体"/>
                <w:color w:val="auto"/>
                <w:lang w:val="en-US" w:eastAsia="zh-CN"/>
              </w:rPr>
              <w:t>个，单罐容积</w:t>
            </w:r>
            <w:r>
              <w:rPr>
                <w:rFonts w:hint="default" w:eastAsia="宋体"/>
                <w:color w:val="auto"/>
                <w:lang w:val="en-US" w:eastAsia="zh-CN"/>
              </w:rPr>
              <w:t>30m</w:t>
            </w:r>
            <w:r>
              <w:rPr>
                <w:rFonts w:hint="default" w:eastAsia="宋体"/>
                <w:color w:val="auto"/>
                <w:vertAlign w:val="superscript"/>
                <w:lang w:val="en-US" w:eastAsia="zh-CN"/>
              </w:rPr>
              <w:t>3</w:t>
            </w:r>
            <w:r>
              <w:rPr>
                <w:rFonts w:hint="default" w:hAnsi="宋体" w:eastAsia="宋体"/>
                <w:color w:val="auto"/>
                <w:lang w:val="en-US" w:eastAsia="zh-CN"/>
              </w:rPr>
              <w:t>，占地</w:t>
            </w:r>
            <w:r>
              <w:rPr>
                <w:rFonts w:hint="default" w:eastAsia="宋体"/>
                <w:color w:val="auto"/>
                <w:lang w:val="en-US" w:eastAsia="zh-CN"/>
              </w:rPr>
              <w:t>56m</w:t>
            </w:r>
            <w:r>
              <w:rPr>
                <w:rFonts w:hint="default" w:eastAsia="宋体"/>
                <w:color w:val="auto"/>
                <w:vertAlign w:val="superscript"/>
                <w:lang w:val="en-US" w:eastAsia="zh-CN"/>
              </w:rPr>
              <w:t>2</w:t>
            </w:r>
            <w:r>
              <w:rPr>
                <w:rFonts w:hint="default" w:hAnsi="宋体" w:eastAsia="宋体"/>
                <w:color w:val="auto"/>
                <w:lang w:val="en-US" w:eastAsia="zh-CN"/>
              </w:rPr>
              <w:t>，存储新鲜水</w:t>
            </w:r>
            <w:r>
              <w:rPr>
                <w:rFonts w:hint="eastAsia" w:hAnsi="宋体"/>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10</w:t>
            </w:r>
          </w:p>
        </w:tc>
        <w:tc>
          <w:tcPr>
            <w:tcW w:w="504"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辅助工程</w:t>
            </w:r>
          </w:p>
        </w:tc>
        <w:tc>
          <w:tcPr>
            <w:tcW w:w="1377" w:type="dxa"/>
            <w:vAlign w:val="center"/>
          </w:tcPr>
          <w:p>
            <w:pPr>
              <w:pStyle w:val="79"/>
              <w:keepNext w:val="0"/>
              <w:keepLines w:val="0"/>
              <w:suppressLineNumbers w:val="0"/>
              <w:spacing w:before="0" w:beforeAutospacing="0" w:after="0" w:afterAutospacing="0"/>
              <w:ind w:left="0" w:right="0"/>
              <w:jc w:val="center"/>
              <w:rPr>
                <w:rFonts w:hint="eastAsia" w:hAnsi="宋体" w:eastAsia="宋体"/>
                <w:color w:val="auto"/>
                <w:lang w:val="en-US" w:eastAsia="zh-CN"/>
              </w:rPr>
            </w:pPr>
            <w:r>
              <w:rPr>
                <w:rFonts w:hint="default" w:hAnsi="宋体" w:eastAsia="宋体"/>
                <w:color w:val="auto"/>
                <w:lang w:val="en-US" w:eastAsia="zh-CN"/>
              </w:rPr>
              <w:t>钢制柴</w:t>
            </w:r>
          </w:p>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油罐</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2</w:t>
            </w:r>
            <w:r>
              <w:rPr>
                <w:rFonts w:hint="default" w:hAnsi="宋体" w:eastAsia="宋体"/>
                <w:color w:val="auto"/>
                <w:lang w:val="en-US" w:eastAsia="zh-CN"/>
              </w:rPr>
              <w:t>个</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钢制柴油罐</w:t>
            </w:r>
            <w:r>
              <w:rPr>
                <w:rFonts w:hint="default" w:eastAsia="宋体"/>
                <w:color w:val="auto"/>
                <w:lang w:val="en-US" w:eastAsia="zh-CN"/>
              </w:rPr>
              <w:t>2</w:t>
            </w:r>
            <w:r>
              <w:rPr>
                <w:rFonts w:hint="default" w:hAnsi="宋体" w:eastAsia="宋体"/>
                <w:color w:val="auto"/>
                <w:lang w:val="en-US" w:eastAsia="zh-CN"/>
              </w:rPr>
              <w:t>个，卧式罐，储量合计约</w:t>
            </w:r>
            <w:r>
              <w:rPr>
                <w:rFonts w:hint="default" w:eastAsia="宋体"/>
                <w:color w:val="auto"/>
                <w:lang w:val="en-US" w:eastAsia="zh-CN"/>
              </w:rPr>
              <w:t>50t</w:t>
            </w:r>
            <w:r>
              <w:rPr>
                <w:rFonts w:hint="default" w:hAnsi="宋体" w:eastAsia="宋体"/>
                <w:color w:val="auto"/>
                <w:lang w:val="en-US" w:eastAsia="zh-CN"/>
              </w:rPr>
              <w:t>柴油，占地面积</w:t>
            </w:r>
            <w:r>
              <w:rPr>
                <w:rFonts w:hint="default" w:eastAsia="宋体"/>
                <w:color w:val="auto"/>
                <w:lang w:val="en-US" w:eastAsia="zh-CN"/>
              </w:rPr>
              <w:t>20m</w:t>
            </w:r>
            <w:r>
              <w:rPr>
                <w:rFonts w:hint="default" w:eastAsia="宋体"/>
                <w:color w:val="auto"/>
                <w:vertAlign w:val="superscript"/>
                <w:lang w:val="en-US" w:eastAsia="zh-CN"/>
              </w:rPr>
              <w:t>2</w:t>
            </w:r>
            <w:r>
              <w:rPr>
                <w:rFonts w:hint="default" w:hAnsi="宋体" w:eastAsia="宋体"/>
                <w:color w:val="auto"/>
                <w:lang w:val="en-US" w:eastAsia="zh-CN"/>
              </w:rPr>
              <w:t>，本项目对柴油罐区进行重点防渗处理，</w:t>
            </w:r>
            <w:r>
              <w:rPr>
                <w:rFonts w:hint="eastAsia"/>
                <w:color w:val="auto"/>
                <w:lang w:val="en-US" w:eastAsia="zh-CN"/>
              </w:rPr>
              <w:t>并在周边设置高度不低于</w:t>
            </w:r>
            <w:r>
              <w:rPr>
                <w:rFonts w:hint="default"/>
                <w:color w:val="auto"/>
                <w:lang w:val="en-US" w:eastAsia="zh-CN"/>
              </w:rPr>
              <w:t>0.5m</w:t>
            </w:r>
            <w:r>
              <w:rPr>
                <w:rFonts w:hint="eastAsia"/>
                <w:color w:val="auto"/>
                <w:lang w:val="en-US" w:eastAsia="zh-CN"/>
              </w:rPr>
              <w:t>，容积不低于</w:t>
            </w:r>
            <w:r>
              <w:rPr>
                <w:rFonts w:hint="default"/>
                <w:color w:val="auto"/>
                <w:lang w:val="en-US" w:eastAsia="zh-CN"/>
              </w:rPr>
              <w:t>30m</w:t>
            </w:r>
            <w:r>
              <w:rPr>
                <w:rFonts w:hint="default"/>
                <w:color w:val="auto"/>
                <w:vertAlign w:val="superscript"/>
                <w:lang w:val="en-US" w:eastAsia="zh-CN"/>
              </w:rPr>
              <w:t>3</w:t>
            </w:r>
            <w:r>
              <w:rPr>
                <w:rFonts w:hint="eastAsia"/>
                <w:color w:val="auto"/>
                <w:vertAlign w:val="baseline"/>
                <w:lang w:val="en-US" w:eastAsia="zh-CN"/>
              </w:rPr>
              <w:t>（</w:t>
            </w:r>
            <w:r>
              <w:rPr>
                <w:rFonts w:hint="eastAsia"/>
                <w:color w:val="auto"/>
              </w:rPr>
              <w:t>不低于一个柴油罐容积</w:t>
            </w:r>
            <w:r>
              <w:rPr>
                <w:rFonts w:hint="eastAsia"/>
                <w:color w:val="auto"/>
                <w:lang w:eastAsia="zh-CN"/>
              </w:rPr>
              <w:t>）</w:t>
            </w:r>
            <w:r>
              <w:rPr>
                <w:rFonts w:hint="eastAsia"/>
                <w:color w:val="auto"/>
                <w:lang w:val="en-US" w:eastAsia="zh-CN"/>
              </w:rPr>
              <w:t>的可拆装的玻璃钢围堰，柴油罐下方铺设防渗布，配备泡沫灭火器。</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11</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材料房</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3</w:t>
            </w:r>
            <w:r>
              <w:rPr>
                <w:rFonts w:hint="default" w:hAnsi="宋体" w:eastAsia="宋体"/>
                <w:color w:val="auto"/>
                <w:lang w:val="en-US" w:eastAsia="zh-CN"/>
              </w:rPr>
              <w:t>座</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eastAsia" w:eastAsia="宋体"/>
                <w:color w:val="auto"/>
                <w:lang w:val="en-US" w:eastAsia="zh-CN"/>
              </w:rPr>
              <w:t>3</w:t>
            </w:r>
            <w:r>
              <w:rPr>
                <w:rFonts w:hint="default" w:hAnsi="宋体" w:eastAsia="宋体"/>
                <w:color w:val="auto"/>
                <w:lang w:val="en-US" w:eastAsia="zh-CN"/>
              </w:rPr>
              <w:t>座材料房，每座</w:t>
            </w:r>
            <w:r>
              <w:rPr>
                <w:rFonts w:hint="default" w:eastAsia="宋体"/>
                <w:color w:val="auto"/>
                <w:lang w:val="en-US" w:eastAsia="zh-CN"/>
              </w:rPr>
              <w:t>10m</w:t>
            </w:r>
            <w:r>
              <w:rPr>
                <w:rFonts w:hint="default" w:eastAsia="宋体"/>
                <w:color w:val="auto"/>
                <w:vertAlign w:val="superscript"/>
                <w:lang w:val="en-US" w:eastAsia="zh-CN"/>
              </w:rPr>
              <w:t>2</w:t>
            </w:r>
            <w:r>
              <w:rPr>
                <w:rFonts w:hint="default" w:hAnsi="宋体" w:eastAsia="宋体"/>
                <w:color w:val="auto"/>
                <w:lang w:val="en-US" w:eastAsia="zh-CN"/>
              </w:rPr>
              <w:t>，存放钻井液材料</w:t>
            </w:r>
            <w:r>
              <w:rPr>
                <w:rFonts w:hint="eastAsia" w:hAnsi="宋体" w:eastAsia="宋体"/>
                <w:color w:val="auto"/>
                <w:lang w:val="en-US" w:eastAsia="zh-CN"/>
              </w:rPr>
              <w:t>，材料房内铺设</w:t>
            </w:r>
            <w:r>
              <w:rPr>
                <w:rFonts w:hint="eastAsia"/>
                <w:color w:val="auto"/>
                <w:lang w:val="en-US" w:eastAsia="zh-CN"/>
              </w:rPr>
              <w:t>2</w:t>
            </w:r>
            <w:r>
              <w:rPr>
                <w:rFonts w:hint="default"/>
                <w:color w:val="auto"/>
                <w:lang w:val="en-US" w:eastAsia="zh-CN"/>
              </w:rPr>
              <w:t>mm</w:t>
            </w:r>
            <w:r>
              <w:rPr>
                <w:rFonts w:hint="eastAsia" w:ascii="宋体" w:hAnsi="宋体" w:eastAsia="宋体" w:cs="宋体"/>
                <w:color w:val="auto"/>
                <w:lang w:val="en-US" w:eastAsia="zh-CN"/>
              </w:rPr>
              <w:t>厚聚乙烯膜，防渗系数</w:t>
            </w:r>
            <w:r>
              <w:rPr>
                <w:rFonts w:hint="default" w:eastAsia="宋体"/>
                <w:color w:val="auto"/>
                <w:lang w:val="en-US" w:eastAsia="zh-CN"/>
              </w:rPr>
              <w:t>K≤</w:t>
            </w:r>
            <w:r>
              <w:rPr>
                <w:rFonts w:hint="default"/>
                <w:color w:val="auto"/>
                <w:lang w:val="en-US" w:eastAsia="zh-CN"/>
              </w:rPr>
              <w:t>1.0</w:t>
            </w:r>
            <w:r>
              <w:rPr>
                <w:rFonts w:hint="default" w:eastAsia="宋体"/>
                <w:color w:val="auto"/>
                <w:lang w:val="en-US" w:eastAsia="zh-CN"/>
              </w:rPr>
              <w:t>×</w:t>
            </w:r>
            <w:r>
              <w:rPr>
                <w:rFonts w:hint="default"/>
                <w:color w:val="auto"/>
                <w:lang w:val="en-US" w:eastAsia="zh-CN"/>
              </w:rPr>
              <w:t>10</w:t>
            </w:r>
            <w:r>
              <w:rPr>
                <w:rFonts w:hint="default"/>
                <w:color w:val="auto"/>
                <w:vertAlign w:val="superscript"/>
                <w:lang w:val="en-US" w:eastAsia="zh-CN"/>
              </w:rPr>
              <w:t>-1</w:t>
            </w:r>
            <w:r>
              <w:rPr>
                <w:rFonts w:hint="eastAsia" w:eastAsia="宋体"/>
                <w:color w:val="auto"/>
                <w:vertAlign w:val="superscript"/>
                <w:lang w:val="en-US" w:eastAsia="zh-CN"/>
              </w:rPr>
              <w:t>0</w:t>
            </w:r>
            <w:r>
              <w:rPr>
                <w:rFonts w:hint="default"/>
                <w:color w:val="auto"/>
                <w:lang w:val="en-US" w:eastAsia="zh-CN"/>
              </w:rPr>
              <w:t>cm/s</w:t>
            </w:r>
            <w:r>
              <w:rPr>
                <w:rFonts w:hint="eastAsia" w:hAnsi="宋体" w:eastAsia="宋体"/>
                <w:color w:val="auto"/>
                <w:lang w:val="en-US" w:eastAsia="zh-CN"/>
              </w:rPr>
              <w:t>，</w:t>
            </w:r>
            <w:r>
              <w:rPr>
                <w:rFonts w:hint="default" w:hAnsi="宋体" w:eastAsia="宋体"/>
                <w:color w:val="auto"/>
                <w:lang w:val="en-US" w:eastAsia="zh-CN"/>
              </w:rPr>
              <w:t>包括膨润土、纯碱、水泥等其他钻井材料。本项目</w:t>
            </w:r>
            <w:r>
              <w:rPr>
                <w:rFonts w:hint="eastAsia" w:hAnsi="宋体" w:eastAsia="宋体"/>
                <w:color w:val="auto"/>
                <w:lang w:val="en-US" w:eastAsia="zh-CN"/>
              </w:rPr>
              <w:t>KOH</w:t>
            </w:r>
            <w:r>
              <w:rPr>
                <w:rFonts w:hint="default" w:hAnsi="宋体" w:eastAsia="宋体"/>
                <w:color w:val="auto"/>
                <w:lang w:val="en-US" w:eastAsia="zh-CN"/>
              </w:rPr>
              <w:t>包装袋均由有资质的单位按照《危险废物收集贮存运输技术规范》要求进行运输管理，即用即运，不设置危废暂存间</w:t>
            </w:r>
            <w:r>
              <w:rPr>
                <w:rFonts w:hint="eastAsia" w:hAnsi="宋体"/>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12</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hAnsi="宋体" w:eastAsia="宋体"/>
                <w:color w:val="auto"/>
                <w:lang w:val="en-US" w:eastAsia="zh-CN"/>
              </w:rPr>
            </w:pPr>
            <w:r>
              <w:rPr>
                <w:rFonts w:hint="eastAsia" w:ascii="宋体" w:cs="宋体"/>
                <w:color w:val="auto"/>
                <w:kern w:val="0"/>
                <w:szCs w:val="21"/>
              </w:rPr>
              <w:t>放喷池</w:t>
            </w:r>
          </w:p>
        </w:tc>
        <w:tc>
          <w:tcPr>
            <w:tcW w:w="1134" w:type="dxa"/>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rPr>
              <w:t>1</w:t>
            </w:r>
            <w:r>
              <w:rPr>
                <w:rFonts w:hint="default"/>
                <w:color w:val="auto"/>
              </w:rPr>
              <w:t>座/井场</w:t>
            </w:r>
          </w:p>
        </w:tc>
        <w:tc>
          <w:tcPr>
            <w:tcW w:w="5020" w:type="dxa"/>
            <w:vAlign w:val="center"/>
          </w:tcPr>
          <w:p>
            <w:pPr>
              <w:keepNext w:val="0"/>
              <w:keepLines w:val="0"/>
              <w:suppressLineNumbers w:val="0"/>
              <w:spacing w:before="0" w:beforeAutospacing="0" w:after="0" w:afterAutospacing="0" w:line="240" w:lineRule="exact"/>
              <w:ind w:left="0" w:right="0"/>
              <w:rPr>
                <w:rFonts w:hint="eastAsia" w:eastAsia="宋体"/>
                <w:color w:val="auto"/>
                <w:lang w:val="en-US" w:eastAsia="zh-CN"/>
              </w:rPr>
            </w:pPr>
            <w:r>
              <w:rPr>
                <w:rFonts w:hint="eastAsia" w:ascii="宋体" w:cs="宋体"/>
                <w:color w:val="auto"/>
                <w:kern w:val="0"/>
                <w:szCs w:val="21"/>
              </w:rPr>
              <w:t>井场设置放喷池</w:t>
            </w:r>
            <w:r>
              <w:rPr>
                <w:rFonts w:hint="default"/>
                <w:color w:val="auto"/>
                <w:kern w:val="0"/>
                <w:szCs w:val="21"/>
              </w:rPr>
              <w:t>1</w:t>
            </w:r>
            <w:r>
              <w:rPr>
                <w:rFonts w:hint="eastAsia" w:ascii="宋体" w:cs="宋体"/>
                <w:color w:val="auto"/>
                <w:kern w:val="0"/>
                <w:szCs w:val="21"/>
              </w:rPr>
              <w:t>座，容积</w:t>
            </w:r>
            <w:r>
              <w:rPr>
                <w:rFonts w:hint="default"/>
                <w:color w:val="auto"/>
                <w:kern w:val="0"/>
                <w:szCs w:val="21"/>
              </w:rPr>
              <w:t>100m</w:t>
            </w:r>
            <w:r>
              <w:rPr>
                <w:rFonts w:hint="default"/>
                <w:color w:val="auto"/>
                <w:szCs w:val="21"/>
                <w:vertAlign w:val="superscript"/>
              </w:rPr>
              <w:t>3</w:t>
            </w:r>
            <w:r>
              <w:rPr>
                <w:rFonts w:hint="eastAsia" w:ascii="宋体" w:cs="宋体"/>
                <w:color w:val="auto"/>
                <w:kern w:val="0"/>
                <w:szCs w:val="21"/>
              </w:rPr>
              <w:t>（</w:t>
            </w:r>
            <w:r>
              <w:rPr>
                <w:rFonts w:hint="default"/>
                <w:color w:val="auto"/>
                <w:kern w:val="0"/>
                <w:szCs w:val="21"/>
              </w:rPr>
              <w:t>10×4×2.5m</w:t>
            </w:r>
            <w:r>
              <w:rPr>
                <w:rFonts w:hint="eastAsia" w:ascii="宋体" w:cs="宋体"/>
                <w:color w:val="auto"/>
                <w:kern w:val="0"/>
                <w:szCs w:val="21"/>
              </w:rPr>
              <w:t>），放喷池设置位置距井口及井场主要设施不小于</w:t>
            </w:r>
            <w:r>
              <w:rPr>
                <w:rFonts w:hint="default"/>
                <w:color w:val="auto"/>
                <w:kern w:val="0"/>
                <w:szCs w:val="21"/>
              </w:rPr>
              <w:t>50m</w:t>
            </w:r>
            <w:r>
              <w:rPr>
                <w:rFonts w:hint="eastAsia" w:ascii="宋体" w:cs="宋体"/>
                <w:color w:val="auto"/>
                <w:kern w:val="0"/>
                <w:szCs w:val="21"/>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hAnsi="宋体"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13</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keepNext w:val="0"/>
              <w:keepLines w:val="0"/>
              <w:suppressLineNumbers w:val="0"/>
              <w:spacing w:before="0" w:beforeAutospacing="0" w:after="0" w:afterAutospacing="0" w:line="240" w:lineRule="exact"/>
              <w:ind w:left="0" w:right="0"/>
              <w:jc w:val="center"/>
              <w:rPr>
                <w:rFonts w:hint="default" w:hAnsi="宋体" w:eastAsia="宋体"/>
                <w:color w:val="auto"/>
                <w:lang w:val="en-US" w:eastAsia="zh-CN"/>
              </w:rPr>
            </w:pPr>
            <w:r>
              <w:rPr>
                <w:rFonts w:hint="eastAsia" w:ascii="宋体" w:cs="宋体"/>
                <w:color w:val="auto"/>
                <w:kern w:val="0"/>
                <w:szCs w:val="21"/>
              </w:rPr>
              <w:t>计量池</w:t>
            </w:r>
          </w:p>
        </w:tc>
        <w:tc>
          <w:tcPr>
            <w:tcW w:w="1134" w:type="dxa"/>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rPr>
              <w:t>1</w:t>
            </w:r>
            <w:r>
              <w:rPr>
                <w:rFonts w:hint="default"/>
                <w:color w:val="auto"/>
              </w:rPr>
              <w:t>座/井场</w:t>
            </w:r>
          </w:p>
        </w:tc>
        <w:tc>
          <w:tcPr>
            <w:tcW w:w="5020" w:type="dxa"/>
            <w:vAlign w:val="center"/>
          </w:tcPr>
          <w:p>
            <w:pPr>
              <w:keepNext w:val="0"/>
              <w:keepLines w:val="0"/>
              <w:suppressLineNumbers w:val="0"/>
              <w:spacing w:before="0" w:beforeAutospacing="0" w:after="0" w:afterAutospacing="0" w:line="240" w:lineRule="exact"/>
              <w:ind w:left="0" w:right="0"/>
              <w:rPr>
                <w:rFonts w:hint="eastAsia" w:eastAsia="宋体"/>
                <w:color w:val="auto"/>
                <w:lang w:val="en-US" w:eastAsia="zh-CN"/>
              </w:rPr>
            </w:pPr>
            <w:r>
              <w:rPr>
                <w:rFonts w:hint="eastAsia" w:ascii="宋体" w:cs="宋体"/>
                <w:color w:val="auto"/>
                <w:kern w:val="0"/>
                <w:szCs w:val="21"/>
              </w:rPr>
              <w:t>试气作业期间，井场内设置计量池</w:t>
            </w:r>
            <w:r>
              <w:rPr>
                <w:rFonts w:hint="default"/>
                <w:color w:val="auto"/>
                <w:kern w:val="0"/>
                <w:szCs w:val="21"/>
              </w:rPr>
              <w:t>1</w:t>
            </w:r>
            <w:r>
              <w:rPr>
                <w:rFonts w:hint="eastAsia" w:ascii="宋体" w:cs="宋体"/>
                <w:color w:val="auto"/>
                <w:kern w:val="0"/>
                <w:szCs w:val="21"/>
              </w:rPr>
              <w:t>座，容积</w:t>
            </w:r>
            <w:r>
              <w:rPr>
                <w:rFonts w:hint="default"/>
                <w:color w:val="auto"/>
                <w:kern w:val="0"/>
                <w:szCs w:val="21"/>
              </w:rPr>
              <w:t>10m</w:t>
            </w:r>
            <w:r>
              <w:rPr>
                <w:rFonts w:hint="default"/>
                <w:color w:val="auto"/>
                <w:szCs w:val="21"/>
                <w:vertAlign w:val="superscript"/>
              </w:rPr>
              <w:t>3</w:t>
            </w:r>
            <w:r>
              <w:rPr>
                <w:rFonts w:hint="eastAsia" w:ascii="宋体" w:cs="宋体"/>
                <w:color w:val="auto"/>
                <w:kern w:val="0"/>
                <w:szCs w:val="21"/>
              </w:rPr>
              <w:t>，用于产液计量。</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hAnsi="宋体"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14</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keepNext w:val="0"/>
              <w:keepLines w:val="0"/>
              <w:suppressLineNumbers w:val="0"/>
              <w:spacing w:before="0" w:beforeAutospacing="0" w:after="0" w:afterAutospacing="0" w:line="240" w:lineRule="exact"/>
              <w:ind w:left="0" w:right="0"/>
              <w:jc w:val="center"/>
              <w:rPr>
                <w:rFonts w:hint="default" w:hAnsi="宋体" w:eastAsia="宋体"/>
                <w:color w:val="auto"/>
                <w:lang w:val="en-US" w:eastAsia="zh-CN"/>
              </w:rPr>
            </w:pPr>
            <w:r>
              <w:rPr>
                <w:rFonts w:hint="eastAsia" w:ascii="宋体" w:cs="宋体"/>
                <w:color w:val="auto"/>
                <w:kern w:val="0"/>
                <w:szCs w:val="21"/>
              </w:rPr>
              <w:t>储液罐</w:t>
            </w:r>
          </w:p>
        </w:tc>
        <w:tc>
          <w:tcPr>
            <w:tcW w:w="1134" w:type="dxa"/>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default"/>
                <w:color w:val="auto"/>
              </w:rPr>
              <w:t>4座/井场</w:t>
            </w:r>
          </w:p>
        </w:tc>
        <w:tc>
          <w:tcPr>
            <w:tcW w:w="5020" w:type="dxa"/>
            <w:vAlign w:val="center"/>
          </w:tcPr>
          <w:p>
            <w:pPr>
              <w:keepNext w:val="0"/>
              <w:keepLines w:val="0"/>
              <w:suppressLineNumbers w:val="0"/>
              <w:spacing w:before="0" w:beforeAutospacing="0" w:after="0" w:afterAutospacing="0" w:line="240" w:lineRule="exact"/>
              <w:ind w:left="0" w:right="0"/>
              <w:rPr>
                <w:rFonts w:hint="eastAsia" w:eastAsia="宋体"/>
                <w:color w:val="auto"/>
                <w:lang w:val="en-US" w:eastAsia="zh-CN"/>
              </w:rPr>
            </w:pPr>
            <w:r>
              <w:rPr>
                <w:rFonts w:hint="eastAsia" w:ascii="宋体" w:cs="宋体"/>
                <w:color w:val="auto"/>
                <w:kern w:val="0"/>
                <w:szCs w:val="21"/>
              </w:rPr>
              <w:t>试气作业期间，井场内设置储液罐</w:t>
            </w:r>
            <w:r>
              <w:rPr>
                <w:rFonts w:hint="default"/>
                <w:color w:val="auto"/>
                <w:kern w:val="0"/>
                <w:szCs w:val="21"/>
              </w:rPr>
              <w:t>4</w:t>
            </w:r>
            <w:r>
              <w:rPr>
                <w:rFonts w:hint="eastAsia" w:ascii="宋体" w:cs="宋体"/>
                <w:color w:val="auto"/>
                <w:kern w:val="0"/>
                <w:szCs w:val="21"/>
              </w:rPr>
              <w:t>座，容积</w:t>
            </w:r>
            <w:r>
              <w:rPr>
                <w:rFonts w:hint="default"/>
                <w:color w:val="auto"/>
                <w:kern w:val="0"/>
                <w:szCs w:val="21"/>
              </w:rPr>
              <w:t>40m</w:t>
            </w:r>
            <w:r>
              <w:rPr>
                <w:rFonts w:hint="default"/>
                <w:color w:val="auto"/>
                <w:szCs w:val="21"/>
                <w:vertAlign w:val="superscript"/>
              </w:rPr>
              <w:t>3</w:t>
            </w:r>
            <w:r>
              <w:rPr>
                <w:rFonts w:hint="eastAsia" w:ascii="宋体" w:cs="宋体"/>
                <w:color w:val="auto"/>
                <w:kern w:val="0"/>
                <w:szCs w:val="21"/>
              </w:rPr>
              <w:t>，用于回收返出液。</w:t>
            </w:r>
            <w:r>
              <w:rPr>
                <w:rFonts w:hint="eastAsia"/>
                <w:color w:val="auto"/>
                <w:lang w:val="en-US" w:eastAsia="zh-CN"/>
              </w:rPr>
              <w:t>储液罐</w:t>
            </w:r>
            <w:r>
              <w:rPr>
                <w:rFonts w:hint="default" w:eastAsia="宋体"/>
                <w:color w:val="auto"/>
                <w:lang w:val="en-US" w:eastAsia="zh-CN"/>
              </w:rPr>
              <w:t>属于一般防渗区，铺设厚2mm聚乙烯膜构筑防渗层，</w:t>
            </w:r>
            <w:r>
              <w:rPr>
                <w:rFonts w:hint="eastAsia" w:eastAsia="宋体"/>
                <w:color w:val="auto"/>
                <w:lang w:val="en-US" w:eastAsia="zh-CN"/>
              </w:rPr>
              <w:t>防渗系数K</w:t>
            </w:r>
            <w:r>
              <w:rPr>
                <w:rFonts w:hint="default" w:eastAsia="宋体"/>
                <w:color w:val="auto"/>
                <w:lang w:val="en-US" w:eastAsia="zh-CN"/>
              </w:rPr>
              <w:t>≤1×10</w:t>
            </w:r>
            <w:r>
              <w:rPr>
                <w:rFonts w:hint="default" w:eastAsia="宋体"/>
                <w:color w:val="auto"/>
                <w:vertAlign w:val="superscript"/>
                <w:lang w:val="en-US" w:eastAsia="zh-CN"/>
              </w:rPr>
              <w:t>-10</w:t>
            </w:r>
            <w:r>
              <w:rPr>
                <w:rFonts w:hint="default" w:eastAsia="宋体"/>
                <w:color w:val="auto"/>
                <w:lang w:val="en-US" w:eastAsia="zh-CN"/>
              </w:rPr>
              <w:t xml:space="preserve"> cm/s，防渗性能满足《环境影响评价技术导则 地下水环境》（HJ 610-2016）等效黏土防渗层Mb≥1.5m、K≤1.0×10</w:t>
            </w:r>
            <w:r>
              <w:rPr>
                <w:rFonts w:hint="default" w:eastAsia="宋体"/>
                <w:color w:val="auto"/>
                <w:vertAlign w:val="superscript"/>
                <w:lang w:val="en-US" w:eastAsia="zh-CN"/>
              </w:rPr>
              <w:t>-7</w:t>
            </w:r>
            <w:r>
              <w:rPr>
                <w:rFonts w:hint="default" w:eastAsia="宋体"/>
                <w:color w:val="auto"/>
                <w:lang w:val="en-US" w:eastAsia="zh-CN"/>
              </w:rPr>
              <w:t>cm/s一般防渗要求</w:t>
            </w:r>
            <w:r>
              <w:rPr>
                <w:rFonts w:hint="eastAsia"/>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hAnsi="宋体"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1</w:t>
            </w:r>
            <w:r>
              <w:rPr>
                <w:rFonts w:hint="eastAsia"/>
                <w:color w:val="auto"/>
                <w:lang w:val="en-US" w:eastAsia="zh-CN"/>
              </w:rPr>
              <w:t>5</w:t>
            </w:r>
          </w:p>
        </w:tc>
        <w:tc>
          <w:tcPr>
            <w:tcW w:w="504"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公用工程</w:t>
            </w: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生活区</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default" w:hAnsi="宋体" w:eastAsia="宋体"/>
                <w:color w:val="auto"/>
                <w:lang w:val="en-US" w:eastAsia="zh-CN"/>
              </w:rPr>
              <w:t>项</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每座井场施工期临时设置活动房、综合房、值班房、生活污水池</w:t>
            </w:r>
            <w:r>
              <w:rPr>
                <w:rFonts w:hint="eastAsia" w:hAnsi="宋体" w:eastAsia="宋体"/>
                <w:color w:val="auto"/>
                <w:lang w:val="en-US" w:eastAsia="zh-CN"/>
              </w:rPr>
              <w:t>（8m</w:t>
            </w:r>
            <w:r>
              <w:rPr>
                <w:rFonts w:hint="eastAsia" w:hAnsi="宋体" w:eastAsia="宋体"/>
                <w:color w:val="auto"/>
                <w:vertAlign w:val="superscript"/>
                <w:lang w:val="en-US" w:eastAsia="zh-CN"/>
              </w:rPr>
              <w:t>3</w:t>
            </w:r>
            <w:r>
              <w:rPr>
                <w:rFonts w:hint="eastAsia" w:hAnsi="宋体" w:eastAsia="宋体"/>
                <w:color w:val="auto"/>
                <w:lang w:val="en-US" w:eastAsia="zh-CN"/>
              </w:rPr>
              <w:t>）</w:t>
            </w:r>
            <w:r>
              <w:rPr>
                <w:rFonts w:hint="default" w:hAnsi="宋体" w:eastAsia="宋体"/>
                <w:color w:val="auto"/>
                <w:lang w:val="en-US" w:eastAsia="zh-CN"/>
              </w:rPr>
              <w:t>等各</w:t>
            </w:r>
            <w:r>
              <w:rPr>
                <w:rFonts w:hint="default" w:eastAsia="宋体"/>
                <w:color w:val="auto"/>
                <w:lang w:val="en-US" w:eastAsia="zh-CN"/>
              </w:rPr>
              <w:t>1</w:t>
            </w:r>
            <w:r>
              <w:rPr>
                <w:rFonts w:hint="default" w:hAnsi="宋体" w:eastAsia="宋体"/>
                <w:color w:val="auto"/>
                <w:lang w:val="en-US" w:eastAsia="zh-CN"/>
              </w:rPr>
              <w:t>座</w:t>
            </w:r>
            <w:r>
              <w:rPr>
                <w:rFonts w:hint="eastAsia" w:hAnsi="宋体"/>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eastAsia"/>
                <w:color w:val="auto"/>
                <w:lang w:val="en-US" w:eastAsia="zh-CN"/>
              </w:rPr>
              <w:t>6</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供水工程</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default" w:hAnsi="宋体" w:eastAsia="宋体"/>
                <w:color w:val="auto"/>
                <w:lang w:val="en-US" w:eastAsia="zh-CN"/>
              </w:rPr>
              <w:t>项</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钻井施工期生产用水由水罐车运送，生活用水为桶装水运到场地</w:t>
            </w:r>
            <w:r>
              <w:rPr>
                <w:rFonts w:hint="eastAsia" w:hAnsi="宋体"/>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2"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eastAsia"/>
                <w:color w:val="auto"/>
                <w:lang w:val="en-US" w:eastAsia="zh-CN"/>
              </w:rPr>
              <w:t>7</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排水工程</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default" w:hAnsi="宋体" w:eastAsia="宋体"/>
                <w:color w:val="auto"/>
                <w:lang w:val="en-US" w:eastAsia="zh-CN"/>
              </w:rPr>
              <w:t>项</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eastAsia="宋体"/>
                <w:color w:val="auto"/>
                <w:lang w:val="en-US" w:eastAsia="zh-CN"/>
              </w:rPr>
              <w:t>施工期生活污水排入井场防渗生活污水池，施工结束后及时清掏后卫生填埋，平整场地。钻井废水与废弃钻井液、钻井岩屑构成废弃钻井泥浆，</w:t>
            </w:r>
            <w:r>
              <w:rPr>
                <w:rFonts w:hint="eastAsia" w:eastAsia="宋体"/>
                <w:color w:val="auto"/>
                <w:lang w:val="en-US" w:eastAsia="zh-CN"/>
              </w:rPr>
              <w:t>本工程钻井过程中产生的钻井污水、</w:t>
            </w:r>
            <w:r>
              <w:rPr>
                <w:rFonts w:hint="eastAsia"/>
                <w:color w:val="auto"/>
                <w:lang w:val="en-US" w:eastAsia="zh-CN"/>
              </w:rPr>
              <w:t>废弃水基</w:t>
            </w:r>
            <w:r>
              <w:rPr>
                <w:rFonts w:hint="eastAsia" w:eastAsia="宋体"/>
                <w:color w:val="auto"/>
                <w:lang w:val="en-US" w:eastAsia="zh-CN"/>
              </w:rPr>
              <w:t>钻井液、岩屑执行不落地收集处理工艺，废弃泥浆在井场进行固液分离处理。分离出的液相处理达标后循环利用</w:t>
            </w:r>
            <w:r>
              <w:rPr>
                <w:rFonts w:hint="eastAsia"/>
                <w:color w:val="auto"/>
                <w:lang w:val="en-US" w:eastAsia="zh-CN"/>
              </w:rPr>
              <w:t>，</w:t>
            </w:r>
            <w:r>
              <w:rPr>
                <w:rFonts w:hint="eastAsia" w:eastAsia="宋体"/>
                <w:color w:val="auto"/>
                <w:lang w:val="en-US" w:eastAsia="zh-CN"/>
              </w:rPr>
              <w:t>不排入外环境</w:t>
            </w:r>
            <w:r>
              <w:rPr>
                <w:rFonts w:hint="default" w:eastAsia="宋体"/>
                <w:color w:val="auto"/>
                <w:lang w:val="en-US" w:eastAsia="zh-CN"/>
              </w:rPr>
              <w:t>。废弃油基钻井液及钻井岩屑，由罐车拉运至大庆中林绿源生物环保有限公司处理，产生的渣土指标满足《油田含油污泥综合利用污染控制标准》（DB23/T1413-2010）中农用控制指标的要求，同时pH和含水率两项控制指标满足pH≥6，含水率≤40%后，用于铺设井场、通井路修路等用途。不排入外环境。井场四周设有截水沟，避免场地上游径流进入场地及场地施工杂物随地表径流流出场地，本项目截水沟规格为0.5m宽，深度不小于0.3m</w:t>
            </w:r>
            <w:r>
              <w:rPr>
                <w:rFonts w:hint="eastAsia"/>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eastAsia"/>
                <w:color w:val="auto"/>
                <w:lang w:val="en-US" w:eastAsia="zh-CN"/>
              </w:rPr>
              <w:t>8</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供电工程</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default" w:hAnsi="宋体" w:eastAsia="宋体"/>
                <w:color w:val="auto"/>
                <w:lang w:val="en-US" w:eastAsia="zh-CN"/>
              </w:rPr>
              <w:t>项</w:t>
            </w:r>
            <w:r>
              <w:rPr>
                <w:rFonts w:hint="default" w:eastAsia="宋体"/>
                <w:color w:val="auto"/>
                <w:lang w:val="en-US" w:eastAsia="zh-CN"/>
              </w:rPr>
              <w:t>/</w:t>
            </w:r>
            <w:r>
              <w:rPr>
                <w:rFonts w:hint="default" w:hAnsi="宋体" w:eastAsia="宋体"/>
                <w:color w:val="auto"/>
                <w:lang w:val="en-US" w:eastAsia="zh-CN"/>
              </w:rPr>
              <w:t>井场</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柴油发电机</w:t>
            </w:r>
            <w:r>
              <w:rPr>
                <w:rFonts w:hint="eastAsia" w:hAnsi="宋体" w:eastAsia="宋体"/>
                <w:color w:val="auto"/>
                <w:lang w:val="en-US" w:eastAsia="zh-CN"/>
              </w:rPr>
              <w:t>供电</w:t>
            </w:r>
            <w:r>
              <w:rPr>
                <w:rFonts w:hint="eastAsia" w:hAnsi="宋体"/>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1</w:t>
            </w:r>
            <w:r>
              <w:rPr>
                <w:rFonts w:hint="eastAsia"/>
                <w:color w:val="auto"/>
                <w:lang w:val="en-US" w:eastAsia="zh-CN"/>
              </w:rPr>
              <w:t>9</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道路工程</w:t>
            </w:r>
          </w:p>
        </w:tc>
        <w:tc>
          <w:tcPr>
            <w:tcW w:w="1134" w:type="dxa"/>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eastAsia="宋体"/>
                <w:color w:val="auto"/>
                <w:lang w:val="en-US" w:eastAsia="zh-CN"/>
              </w:rPr>
              <w:t>/</w:t>
            </w:r>
          </w:p>
        </w:tc>
        <w:tc>
          <w:tcPr>
            <w:tcW w:w="5020" w:type="dxa"/>
            <w:vAlign w:val="center"/>
          </w:tcPr>
          <w:p>
            <w:pPr>
              <w:pStyle w:val="79"/>
              <w:keepNext w:val="0"/>
              <w:keepLines w:val="0"/>
              <w:suppressLineNumbers w:val="0"/>
              <w:spacing w:before="0" w:beforeAutospacing="0" w:after="0" w:afterAutospacing="0"/>
              <w:ind w:left="0" w:right="0"/>
              <w:jc w:val="left"/>
              <w:rPr>
                <w:rFonts w:hint="eastAsia" w:eastAsia="宋体"/>
                <w:color w:val="auto"/>
                <w:lang w:val="en-US" w:eastAsia="zh-CN"/>
              </w:rPr>
            </w:pPr>
            <w:r>
              <w:rPr>
                <w:rFonts w:hint="default" w:hAnsi="宋体"/>
                <w:color w:val="auto"/>
              </w:rPr>
              <w:t>依托</w:t>
            </w:r>
            <w:r>
              <w:rPr>
                <w:rFonts w:hint="eastAsia" w:hAnsi="宋体"/>
                <w:color w:val="auto"/>
              </w:rPr>
              <w:t>乡村</w:t>
            </w:r>
            <w:r>
              <w:rPr>
                <w:rFonts w:hint="default" w:hAnsi="宋体"/>
                <w:color w:val="auto"/>
              </w:rPr>
              <w:t>道路</w:t>
            </w:r>
            <w:r>
              <w:rPr>
                <w:rFonts w:hint="eastAsia" w:hAnsi="宋体"/>
                <w:color w:val="auto"/>
                <w:lang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3"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20</w:t>
            </w:r>
          </w:p>
        </w:tc>
        <w:tc>
          <w:tcPr>
            <w:tcW w:w="504"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环保工程</w:t>
            </w: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废气治理</w:t>
            </w:r>
          </w:p>
        </w:tc>
        <w:tc>
          <w:tcPr>
            <w:tcW w:w="6154" w:type="dxa"/>
            <w:gridSpan w:val="2"/>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施工期柴油发电机使用低标号柴油，调节好运行工况，降低燃烧废气对周围环境的影响；定期洒水消尘，设计合理运输线路，施工运输车辆采取密闭措施或加盖防尘布等环保措施；采取施工场地围护，设置</w:t>
            </w:r>
            <w:r>
              <w:rPr>
                <w:rFonts w:hint="eastAsia" w:hAnsi="宋体" w:eastAsia="宋体"/>
                <w:color w:val="auto"/>
                <w:lang w:val="en-US" w:eastAsia="zh-CN"/>
              </w:rPr>
              <w:t>材料房</w:t>
            </w:r>
            <w:r>
              <w:rPr>
                <w:rFonts w:hint="default" w:hAnsi="宋体" w:eastAsia="宋体"/>
                <w:color w:val="auto"/>
                <w:lang w:val="en-US" w:eastAsia="zh-CN"/>
              </w:rPr>
              <w:t>；对易起尘的</w:t>
            </w:r>
            <w:r>
              <w:rPr>
                <w:rFonts w:hint="eastAsia" w:hAnsi="宋体" w:eastAsia="宋体"/>
                <w:color w:val="auto"/>
                <w:lang w:val="en-US" w:eastAsia="zh-CN"/>
              </w:rPr>
              <w:t>表土堆存处</w:t>
            </w:r>
            <w:r>
              <w:rPr>
                <w:rFonts w:hint="default" w:hAnsi="宋体" w:eastAsia="宋体"/>
                <w:color w:val="auto"/>
                <w:lang w:val="en-US" w:eastAsia="zh-CN"/>
              </w:rPr>
              <w:t>加盖苫布，加强施工管理，降低施工扬尘对周围环境产生的影响。</w:t>
            </w:r>
            <w:r>
              <w:rPr>
                <w:rFonts w:hint="default" w:hAnsi="宋体" w:eastAsia="宋体"/>
                <w:color w:val="auto"/>
                <w:kern w:val="2"/>
                <w:lang w:val="en-US" w:eastAsia="zh-CN" w:bidi="ar"/>
              </w:rPr>
              <w:t>能够确保施工场界颗粒物浓度满足《大气污染物综合排放标准》（</w:t>
            </w:r>
            <w:r>
              <w:rPr>
                <w:rFonts w:hint="default" w:eastAsia="宋体"/>
                <w:color w:val="auto"/>
                <w:kern w:val="2"/>
                <w:lang w:val="en-US" w:eastAsia="zh-CN" w:bidi="ar"/>
              </w:rPr>
              <w:t>GB16297-1996</w:t>
            </w:r>
            <w:r>
              <w:rPr>
                <w:rFonts w:hint="default" w:hAnsi="宋体" w:eastAsia="宋体"/>
                <w:color w:val="auto"/>
                <w:kern w:val="2"/>
                <w:lang w:val="en-US" w:eastAsia="zh-CN" w:bidi="ar"/>
              </w:rPr>
              <w:t>）中表</w:t>
            </w:r>
            <w:r>
              <w:rPr>
                <w:rFonts w:hint="default" w:eastAsia="宋体"/>
                <w:color w:val="auto"/>
                <w:kern w:val="2"/>
                <w:lang w:val="en-US" w:eastAsia="zh-CN" w:bidi="ar"/>
              </w:rPr>
              <w:t>2</w:t>
            </w:r>
            <w:r>
              <w:rPr>
                <w:rFonts w:hint="default" w:hAnsi="宋体" w:eastAsia="宋体"/>
                <w:color w:val="auto"/>
                <w:kern w:val="2"/>
                <w:lang w:val="en-US" w:eastAsia="zh-CN" w:bidi="ar"/>
              </w:rPr>
              <w:t>无组织排放监控浓度限值</w:t>
            </w:r>
            <w:r>
              <w:rPr>
                <w:rFonts w:hint="default" w:eastAsia="宋体"/>
                <w:color w:val="auto"/>
                <w:kern w:val="2"/>
                <w:lang w:val="en-US" w:eastAsia="zh-CN" w:bidi="ar"/>
              </w:rPr>
              <w:t>1.0mg/m</w:t>
            </w:r>
            <w:r>
              <w:rPr>
                <w:rFonts w:hint="default" w:eastAsia="宋体"/>
                <w:color w:val="auto"/>
                <w:kern w:val="2"/>
                <w:vertAlign w:val="superscript"/>
                <w:lang w:val="en-US" w:eastAsia="zh-CN" w:bidi="ar"/>
              </w:rPr>
              <w:t>3</w:t>
            </w:r>
            <w:r>
              <w:rPr>
                <w:rFonts w:hint="default" w:hAnsi="宋体" w:eastAsia="宋体"/>
                <w:color w:val="auto"/>
                <w:kern w:val="2"/>
                <w:lang w:val="en-US" w:eastAsia="zh-CN" w:bidi="ar"/>
              </w:rPr>
              <w:t>要求</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21</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废水</w:t>
            </w:r>
          </w:p>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处理</w:t>
            </w:r>
          </w:p>
        </w:tc>
        <w:tc>
          <w:tcPr>
            <w:tcW w:w="1134" w:type="dxa"/>
            <w:vAlign w:val="center"/>
          </w:tcPr>
          <w:p>
            <w:pPr>
              <w:pStyle w:val="79"/>
              <w:keepNext w:val="0"/>
              <w:keepLines w:val="0"/>
              <w:suppressLineNumbers w:val="0"/>
              <w:spacing w:before="0" w:beforeAutospacing="0" w:after="0" w:afterAutospacing="0"/>
              <w:ind w:left="0" w:right="0"/>
              <w:rPr>
                <w:rFonts w:hint="default" w:eastAsia="宋体"/>
                <w:color w:val="auto"/>
                <w:lang w:val="en-US" w:eastAsia="zh-CN"/>
              </w:rPr>
            </w:pPr>
            <w:r>
              <w:rPr>
                <w:rFonts w:hint="default" w:hAnsi="宋体" w:eastAsia="宋体"/>
                <w:color w:val="auto"/>
                <w:lang w:val="en-US" w:eastAsia="zh-CN"/>
              </w:rPr>
              <w:t>钻井生活污水</w:t>
            </w:r>
            <w:r>
              <w:rPr>
                <w:rFonts w:hint="eastAsia" w:hAnsi="宋体" w:eastAsia="宋体"/>
                <w:color w:val="auto"/>
                <w:lang w:val="en-US" w:eastAsia="zh-CN"/>
              </w:rPr>
              <w:t>处理</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每个钻井井场设置一个防渗生活污水池，用于收集生活污水，</w:t>
            </w:r>
            <w:r>
              <w:rPr>
                <w:rFonts w:hint="eastAsia" w:hAnsi="宋体" w:eastAsia="宋体"/>
                <w:color w:val="auto"/>
                <w:lang w:val="en-US" w:eastAsia="zh-CN"/>
              </w:rPr>
              <w:t>2.5×2×1.6m，</w:t>
            </w:r>
            <w:r>
              <w:rPr>
                <w:rFonts w:hint="default" w:hAnsi="宋体" w:eastAsia="宋体"/>
                <w:color w:val="auto"/>
                <w:lang w:val="en-US" w:eastAsia="zh-CN"/>
              </w:rPr>
              <w:t>容积为</w:t>
            </w:r>
            <w:r>
              <w:rPr>
                <w:rFonts w:hint="default" w:eastAsia="宋体"/>
                <w:color w:val="auto"/>
                <w:lang w:val="en-US" w:eastAsia="zh-CN"/>
              </w:rPr>
              <w:t>8m</w:t>
            </w:r>
            <w:r>
              <w:rPr>
                <w:rFonts w:hint="default" w:eastAsia="宋体"/>
                <w:color w:val="auto"/>
                <w:vertAlign w:val="superscript"/>
                <w:lang w:val="en-US" w:eastAsia="zh-CN"/>
              </w:rPr>
              <w:t>3</w:t>
            </w:r>
            <w:r>
              <w:rPr>
                <w:rFonts w:hint="default" w:hAnsi="宋体" w:eastAsia="宋体"/>
                <w:color w:val="auto"/>
                <w:lang w:val="en-US" w:eastAsia="zh-CN"/>
              </w:rPr>
              <w:t>，做好防渗措施，底部及四周夯实，</w:t>
            </w:r>
            <w:r>
              <w:rPr>
                <w:rFonts w:hint="eastAsia" w:ascii="宋体" w:hAnsi="宋体" w:eastAsia="宋体" w:cs="宋体"/>
                <w:color w:val="auto"/>
                <w:lang w:val="en-US" w:eastAsia="zh-CN"/>
              </w:rPr>
              <w:t>并铺设防渗布</w:t>
            </w:r>
            <w:r>
              <w:rPr>
                <w:rFonts w:hint="eastAsia"/>
                <w:color w:val="auto"/>
                <w:lang w:val="en-US" w:eastAsia="zh-CN"/>
              </w:rPr>
              <w:t>2</w:t>
            </w:r>
            <w:r>
              <w:rPr>
                <w:rFonts w:hint="default"/>
                <w:color w:val="auto"/>
                <w:lang w:val="en-US" w:eastAsia="zh-CN"/>
              </w:rPr>
              <w:t>mm</w:t>
            </w:r>
            <w:r>
              <w:rPr>
                <w:rFonts w:hint="eastAsia" w:ascii="宋体" w:hAnsi="宋体" w:eastAsia="宋体" w:cs="宋体"/>
                <w:color w:val="auto"/>
                <w:lang w:val="en-US" w:eastAsia="zh-CN"/>
              </w:rPr>
              <w:t>厚聚乙烯膜，</w:t>
            </w:r>
            <w:r>
              <w:rPr>
                <w:rFonts w:hint="eastAsia" w:eastAsia="宋体"/>
                <w:color w:val="auto"/>
                <w:lang w:val="en-US" w:eastAsia="zh-CN"/>
              </w:rPr>
              <w:t>防渗系数</w:t>
            </w:r>
            <w:r>
              <w:rPr>
                <w:rFonts w:hint="default" w:eastAsia="宋体"/>
                <w:color w:val="auto"/>
                <w:lang w:val="en-US" w:eastAsia="zh-CN"/>
              </w:rPr>
              <w:t>K≤</w:t>
            </w:r>
            <w:r>
              <w:rPr>
                <w:rFonts w:hint="default"/>
                <w:color w:val="auto"/>
                <w:lang w:val="en-US" w:eastAsia="zh-CN"/>
              </w:rPr>
              <w:t>1.0</w:t>
            </w:r>
            <w:r>
              <w:rPr>
                <w:rFonts w:hint="default" w:eastAsia="宋体"/>
                <w:color w:val="auto"/>
                <w:lang w:val="en-US" w:eastAsia="zh-CN"/>
              </w:rPr>
              <w:t>×</w:t>
            </w:r>
            <w:r>
              <w:rPr>
                <w:rFonts w:hint="default"/>
                <w:color w:val="auto"/>
                <w:lang w:val="en-US" w:eastAsia="zh-CN"/>
              </w:rPr>
              <w:t>10</w:t>
            </w:r>
            <w:r>
              <w:rPr>
                <w:rFonts w:hint="default"/>
                <w:color w:val="auto"/>
                <w:vertAlign w:val="superscript"/>
                <w:lang w:val="en-US" w:eastAsia="zh-CN"/>
              </w:rPr>
              <w:t>-1</w:t>
            </w:r>
            <w:r>
              <w:rPr>
                <w:rFonts w:hint="eastAsia" w:eastAsia="宋体"/>
                <w:color w:val="auto"/>
                <w:vertAlign w:val="superscript"/>
                <w:lang w:val="en-US" w:eastAsia="zh-CN"/>
              </w:rPr>
              <w:t>0</w:t>
            </w:r>
            <w:r>
              <w:rPr>
                <w:rFonts w:hint="default"/>
                <w:color w:val="auto"/>
                <w:lang w:val="en-US" w:eastAsia="zh-CN"/>
              </w:rPr>
              <w:t>cm/s</w:t>
            </w:r>
            <w:r>
              <w:rPr>
                <w:rFonts w:hint="eastAsia" w:eastAsia="宋体"/>
                <w:color w:val="auto"/>
                <w:lang w:val="en-US" w:eastAsia="zh-CN"/>
              </w:rPr>
              <w:t>，</w:t>
            </w:r>
            <w:r>
              <w:rPr>
                <w:rFonts w:hint="default" w:hAnsi="宋体" w:eastAsia="宋体"/>
                <w:color w:val="auto"/>
                <w:lang w:val="en-US" w:eastAsia="zh-CN"/>
              </w:rPr>
              <w:t>在防渗工程施工时候留存影像资料，施工结束后</w:t>
            </w:r>
            <w:r>
              <w:rPr>
                <w:rFonts w:hint="eastAsia" w:hAnsi="宋体" w:eastAsia="宋体"/>
                <w:color w:val="auto"/>
                <w:lang w:val="en-US" w:eastAsia="zh-CN"/>
              </w:rPr>
              <w:t>及时清掏做农家肥，并</w:t>
            </w:r>
            <w:r>
              <w:rPr>
                <w:rFonts w:hint="default" w:hAnsi="宋体" w:eastAsia="宋体"/>
                <w:color w:val="auto"/>
                <w:lang w:val="en-US" w:eastAsia="zh-CN"/>
              </w:rPr>
              <w:t>进行卫生填埋</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2</w:t>
            </w:r>
            <w:r>
              <w:rPr>
                <w:rFonts w:hint="eastAsia"/>
                <w:color w:val="auto"/>
                <w:lang w:val="en-US" w:eastAsia="zh-CN"/>
              </w:rPr>
              <w:t>2</w:t>
            </w:r>
          </w:p>
        </w:tc>
        <w:tc>
          <w:tcPr>
            <w:tcW w:w="504"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环保工程</w:t>
            </w: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废水</w:t>
            </w:r>
          </w:p>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处理</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钻井废水</w:t>
            </w:r>
            <w:r>
              <w:rPr>
                <w:rFonts w:hint="eastAsia" w:hAnsi="宋体" w:eastAsia="宋体"/>
                <w:color w:val="auto"/>
                <w:lang w:val="en-US" w:eastAsia="zh-CN"/>
              </w:rPr>
              <w:t>处理</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eastAsia="宋体"/>
                <w:color w:val="auto"/>
                <w:lang w:val="en-US" w:eastAsia="zh-CN"/>
              </w:rPr>
              <w:t>钻井废水与废弃</w:t>
            </w:r>
            <w:r>
              <w:rPr>
                <w:rFonts w:hint="eastAsia"/>
                <w:color w:val="auto"/>
                <w:lang w:val="en-US" w:eastAsia="zh-CN"/>
              </w:rPr>
              <w:t>水基</w:t>
            </w:r>
            <w:r>
              <w:rPr>
                <w:rFonts w:hint="default" w:eastAsia="宋体"/>
                <w:color w:val="auto"/>
                <w:lang w:val="en-US" w:eastAsia="zh-CN"/>
              </w:rPr>
              <w:t>钻井液、钻井岩屑构成废弃</w:t>
            </w:r>
            <w:r>
              <w:rPr>
                <w:rFonts w:hint="eastAsia"/>
                <w:color w:val="auto"/>
                <w:lang w:val="en-US" w:eastAsia="zh-CN"/>
              </w:rPr>
              <w:t>水基</w:t>
            </w:r>
            <w:r>
              <w:rPr>
                <w:rFonts w:hint="default" w:eastAsia="宋体"/>
                <w:color w:val="auto"/>
                <w:lang w:val="en-US" w:eastAsia="zh-CN"/>
              </w:rPr>
              <w:t>钻井泥浆，</w:t>
            </w:r>
            <w:r>
              <w:rPr>
                <w:rFonts w:hint="eastAsia" w:eastAsia="宋体"/>
                <w:color w:val="auto"/>
                <w:lang w:val="en-US" w:eastAsia="zh-CN"/>
              </w:rPr>
              <w:t>本工程钻井过程中产生的钻井污水、</w:t>
            </w:r>
            <w:r>
              <w:rPr>
                <w:rFonts w:hint="eastAsia"/>
                <w:color w:val="auto"/>
                <w:lang w:val="en-US" w:eastAsia="zh-CN"/>
              </w:rPr>
              <w:t>废弃水基</w:t>
            </w:r>
            <w:r>
              <w:rPr>
                <w:rFonts w:hint="eastAsia" w:eastAsia="宋体"/>
                <w:color w:val="auto"/>
                <w:lang w:val="en-US" w:eastAsia="zh-CN"/>
              </w:rPr>
              <w:t>钻井液、岩屑执行不落地收集处理工艺，废弃泥浆在井场进行固液分离处理。分离出的液相处理达标后循环利用，分离出的无法利用的固相废弃物，就近拉运至大庆市采油八厂废弃钻井液集中处理站统一处理，泥饼统一收集后转运至大庆油田采油八厂指定地点，作为油田铺路、铺垫井场等综合利用。</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r>
              <w:rPr>
                <w:rFonts w:hint="eastAsia" w:eastAsia="宋体"/>
                <w:color w:val="auto"/>
                <w:lang w:val="en-US" w:eastAsia="zh-CN"/>
              </w:rPr>
              <w:t>不排入外环境</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2</w:t>
            </w:r>
            <w:r>
              <w:rPr>
                <w:rFonts w:hint="eastAsia"/>
                <w:color w:val="auto"/>
                <w:lang w:val="en-US" w:eastAsia="zh-CN"/>
              </w:rPr>
              <w:t>3</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固废</w:t>
            </w:r>
          </w:p>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处理</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生活垃圾</w:t>
            </w:r>
            <w:r>
              <w:rPr>
                <w:rFonts w:hint="eastAsia" w:hAnsi="宋体" w:eastAsia="宋体"/>
                <w:color w:val="auto"/>
                <w:lang w:val="en-US" w:eastAsia="zh-CN"/>
              </w:rPr>
              <w:t>处理</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施工人员产生的生活垃圾</w:t>
            </w:r>
            <w:r>
              <w:rPr>
                <w:rFonts w:hint="eastAsia"/>
                <w:color w:val="auto"/>
                <w:lang w:val="en-US" w:eastAsia="zh-CN"/>
              </w:rPr>
              <w:t>39.6</w:t>
            </w:r>
            <w:r>
              <w:rPr>
                <w:rFonts w:hint="default" w:eastAsia="宋体"/>
                <w:color w:val="auto"/>
                <w:lang w:val="en-US" w:eastAsia="zh-CN"/>
              </w:rPr>
              <w:t>t</w:t>
            </w:r>
            <w:r>
              <w:rPr>
                <w:rFonts w:hint="default" w:hAnsi="宋体" w:eastAsia="宋体"/>
                <w:color w:val="auto"/>
                <w:lang w:val="en-US" w:eastAsia="zh-CN"/>
              </w:rPr>
              <w:t>，</w:t>
            </w:r>
            <w:r>
              <w:rPr>
                <w:rFonts w:hint="eastAsia" w:hAnsi="宋体" w:eastAsia="宋体"/>
                <w:color w:val="auto"/>
                <w:lang w:val="en-US" w:eastAsia="zh-CN"/>
              </w:rPr>
              <w:t>统一收集后交当地环卫部门处理</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2</w:t>
            </w:r>
            <w:r>
              <w:rPr>
                <w:rFonts w:hint="eastAsia"/>
                <w:color w:val="auto"/>
                <w:lang w:val="en-US" w:eastAsia="zh-CN"/>
              </w:rPr>
              <w:t>4</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hAnsi="宋体" w:eastAsia="宋体"/>
                <w:color w:val="auto"/>
                <w:lang w:val="en-US" w:eastAsia="zh-CN"/>
              </w:rPr>
              <w:t>废弃钻井液处理</w:t>
            </w:r>
          </w:p>
        </w:tc>
        <w:tc>
          <w:tcPr>
            <w:tcW w:w="5020" w:type="dxa"/>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eastAsia" w:eastAsia="宋体"/>
                <w:color w:val="auto"/>
                <w:lang w:val="en-US" w:eastAsia="zh-CN"/>
              </w:rPr>
              <w:t>本工程钻井过程中产生的钻井污水、废钻井液、岩屑执行不落地收集处理工艺，废弃泥浆在井场进行固液分离处理。分离出的液相处理达标后循环利用，分离出的固相废弃物，就近拉运至大庆市采油八厂废弃钻井液集中处理站统一处理，泥饼统一收集后转运至大庆油田采油八厂指定地点，产生的泥饼满足《废弃钻井液处理规范》（DB23/T693-2000）要求</w:t>
            </w:r>
            <w:r>
              <w:rPr>
                <w:rFonts w:hint="eastAsia"/>
                <w:color w:val="auto"/>
                <w:lang w:val="en-US" w:eastAsia="zh-CN"/>
              </w:rPr>
              <w:t>，</w:t>
            </w:r>
            <w:r>
              <w:rPr>
                <w:rFonts w:hint="eastAsia" w:eastAsia="宋体"/>
                <w:color w:val="auto"/>
                <w:lang w:val="en-US" w:eastAsia="zh-CN"/>
              </w:rPr>
              <w:t>作为油田铺路、铺垫井场等综合利用。</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eastAsia="宋体"/>
                <w:color w:val="auto"/>
                <w:lang w:val="en-US" w:eastAsia="zh-CN"/>
              </w:rPr>
              <w:t>2</w:t>
            </w:r>
            <w:r>
              <w:rPr>
                <w:rFonts w:hint="eastAsia"/>
                <w:color w:val="auto"/>
                <w:lang w:val="en-US" w:eastAsia="zh-CN"/>
              </w:rPr>
              <w:t>5</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color w:val="auto"/>
                <w:lang w:val="en-US" w:eastAsia="zh-CN"/>
              </w:rPr>
            </w:pPr>
          </w:p>
        </w:tc>
        <w:tc>
          <w:tcPr>
            <w:tcW w:w="1377" w:type="dxa"/>
            <w:vMerge w:val="continue"/>
            <w:vAlign w:val="center"/>
          </w:tcPr>
          <w:p>
            <w:pPr>
              <w:pStyle w:val="79"/>
              <w:keepNext w:val="0"/>
              <w:keepLines w:val="0"/>
              <w:suppressLineNumbers w:val="0"/>
              <w:spacing w:before="0" w:beforeAutospacing="0" w:after="0" w:afterAutospacing="0"/>
              <w:ind w:left="0" w:right="0"/>
              <w:jc w:val="center"/>
              <w:rPr>
                <w:rFonts w:hint="default"/>
                <w:color w:val="auto"/>
                <w:lang w:val="en-US" w:eastAsia="zh-CN"/>
              </w:rPr>
            </w:pPr>
          </w:p>
        </w:tc>
        <w:tc>
          <w:tcPr>
            <w:tcW w:w="1134" w:type="dxa"/>
            <w:vAlign w:val="center"/>
          </w:tcPr>
          <w:p>
            <w:pPr>
              <w:pStyle w:val="79"/>
              <w:keepNext w:val="0"/>
              <w:keepLines w:val="0"/>
              <w:suppressLineNumbers w:val="0"/>
              <w:spacing w:before="0" w:beforeAutospacing="0" w:after="0" w:afterAutospacing="0" w:line="300" w:lineRule="exact"/>
              <w:ind w:left="0" w:right="0"/>
              <w:jc w:val="center"/>
              <w:rPr>
                <w:rFonts w:hint="default" w:eastAsia="宋体"/>
                <w:color w:val="auto"/>
                <w:lang w:val="en-US" w:eastAsia="zh-CN"/>
              </w:rPr>
            </w:pPr>
            <w:r>
              <w:rPr>
                <w:rFonts w:hint="default" w:eastAsia="宋体"/>
                <w:color w:val="auto"/>
                <w:lang w:val="en-US" w:eastAsia="zh-CN"/>
              </w:rPr>
              <w:t>钻井岩屑</w:t>
            </w:r>
            <w:r>
              <w:rPr>
                <w:rFonts w:hint="eastAsia" w:eastAsia="宋体"/>
                <w:color w:val="auto"/>
                <w:lang w:val="en-US" w:eastAsia="zh-CN"/>
              </w:rPr>
              <w:t>处理</w:t>
            </w:r>
          </w:p>
        </w:tc>
        <w:tc>
          <w:tcPr>
            <w:tcW w:w="5020" w:type="dxa"/>
            <w:vAlign w:val="center"/>
          </w:tcPr>
          <w:p>
            <w:pPr>
              <w:pStyle w:val="79"/>
              <w:keepNext w:val="0"/>
              <w:keepLines w:val="0"/>
              <w:suppressLineNumbers w:val="0"/>
              <w:spacing w:before="0" w:beforeAutospacing="0" w:after="0" w:afterAutospacing="0" w:line="300" w:lineRule="exact"/>
              <w:ind w:left="0" w:right="0"/>
              <w:jc w:val="left"/>
              <w:rPr>
                <w:rFonts w:hint="default"/>
                <w:color w:val="auto"/>
                <w:lang w:val="en-US" w:eastAsia="zh-CN"/>
              </w:rPr>
            </w:pPr>
            <w:r>
              <w:rPr>
                <w:rFonts w:hint="eastAsia" w:eastAsia="宋体"/>
                <w:color w:val="auto"/>
                <w:lang w:val="en-US" w:eastAsia="zh-CN"/>
              </w:rPr>
              <w:t>本工程钻井过程中产生的岩屑执行不落地收集处理工艺，在井场进行固液分离处理。分离出的液相处理达标后循环利用，分离出的固相废弃物，就近拉运至大庆市采油八厂废弃钻井液集中处理站统一处理，泥饼统一收集后转运至大庆油田采油八厂指定地点，作为油田铺路、铺垫井场等综合利用。不排入外环境</w:t>
            </w:r>
            <w:r>
              <w:rPr>
                <w:rFonts w:hint="default" w:eastAsia="宋体"/>
                <w:color w:val="auto"/>
                <w:lang w:val="en-US" w:eastAsia="zh-CN" w:bidi="ar"/>
              </w:rPr>
              <w:t>（DB23/T693-2000）要求，</w:t>
            </w:r>
            <w:r>
              <w:rPr>
                <w:rFonts w:hint="eastAsia" w:eastAsia="宋体"/>
                <w:color w:val="auto"/>
                <w:lang w:val="en-US" w:eastAsia="zh-CN" w:bidi="ar"/>
              </w:rPr>
              <w:t>经</w:t>
            </w:r>
            <w:r>
              <w:rPr>
                <w:rFonts w:hint="default" w:eastAsia="宋体"/>
                <w:color w:val="auto"/>
                <w:lang w:val="en-US" w:eastAsia="zh-CN" w:bidi="ar"/>
              </w:rPr>
              <w:t>油田统一调配用于井场平整及道路建设使用，综合利用</w:t>
            </w:r>
            <w:r>
              <w:rPr>
                <w:rFonts w:hint="eastAsia"/>
                <w:color w:val="auto"/>
                <w:lang w:val="en-US" w:eastAsia="zh-CN" w:bidi="ar"/>
              </w:rPr>
              <w:t>；</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eastAsia" w:hAnsi="宋体" w:eastAsia="宋体"/>
                <w:color w:val="auto"/>
                <w:lang w:val="en-US" w:eastAsia="zh-CN"/>
              </w:rPr>
            </w:pPr>
            <w:r>
              <w:rPr>
                <w:rFonts w:hint="eastAsia" w:hAnsi="宋体" w:eastAsia="宋体"/>
                <w:color w:val="auto"/>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2</w:t>
            </w:r>
            <w:r>
              <w:rPr>
                <w:rFonts w:hint="eastAsia" w:eastAsia="宋体"/>
                <w:color w:val="auto"/>
                <w:lang w:val="en-US" w:eastAsia="zh-CN"/>
              </w:rPr>
              <w:t>6</w:t>
            </w:r>
          </w:p>
        </w:tc>
        <w:tc>
          <w:tcPr>
            <w:tcW w:w="504"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环保工程</w:t>
            </w:r>
          </w:p>
        </w:tc>
        <w:tc>
          <w:tcPr>
            <w:tcW w:w="1377"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固废</w:t>
            </w:r>
          </w:p>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处理</w:t>
            </w: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hAnsi="宋体" w:eastAsia="宋体"/>
                <w:color w:val="auto"/>
                <w:lang w:val="en-US" w:eastAsia="zh-CN"/>
              </w:rPr>
              <w:t>废弃</w:t>
            </w:r>
            <w:r>
              <w:rPr>
                <w:rFonts w:hint="default" w:hAnsi="宋体" w:eastAsia="宋体"/>
                <w:color w:val="auto"/>
                <w:lang w:val="en-US" w:eastAsia="zh-CN"/>
              </w:rPr>
              <w:t>包装袋</w:t>
            </w:r>
            <w:r>
              <w:rPr>
                <w:rFonts w:hint="eastAsia" w:hAnsi="宋体" w:eastAsia="宋体"/>
                <w:color w:val="auto"/>
                <w:lang w:val="en-US" w:eastAsia="zh-CN"/>
              </w:rPr>
              <w:t>处理</w:t>
            </w:r>
          </w:p>
        </w:tc>
        <w:tc>
          <w:tcPr>
            <w:tcW w:w="5020" w:type="dxa"/>
            <w:vAlign w:val="center"/>
          </w:tcPr>
          <w:p>
            <w:pPr>
              <w:pStyle w:val="79"/>
              <w:keepNext w:val="0"/>
              <w:keepLines w:val="0"/>
              <w:suppressLineNumbers w:val="0"/>
              <w:spacing w:before="0" w:beforeAutospacing="0" w:after="0" w:afterAutospacing="0"/>
              <w:ind w:left="0" w:right="0"/>
              <w:jc w:val="left"/>
              <w:rPr>
                <w:rFonts w:hint="eastAsia" w:eastAsia="宋体"/>
                <w:color w:val="auto"/>
                <w:lang w:val="en-US" w:eastAsia="zh-CN"/>
              </w:rPr>
            </w:pPr>
            <w:r>
              <w:rPr>
                <w:rFonts w:hint="default" w:eastAsia="宋体"/>
                <w:color w:val="auto"/>
                <w:lang w:val="en-US" w:eastAsia="zh-CN"/>
              </w:rPr>
              <w:t>本项目施工期钻井产生的废纯碱、膨润土包装袋（071-001-99）属于一般工业固体废物，代码为071-001-99，产生量为0.</w:t>
            </w:r>
            <w:r>
              <w:rPr>
                <w:rFonts w:hint="eastAsia"/>
                <w:color w:val="auto"/>
                <w:lang w:val="en-US" w:eastAsia="zh-CN"/>
              </w:rPr>
              <w:t>045</w:t>
            </w:r>
            <w:r>
              <w:rPr>
                <w:rFonts w:hint="default" w:eastAsia="宋体"/>
                <w:color w:val="auto"/>
                <w:lang w:val="en-US" w:eastAsia="zh-CN"/>
              </w:rPr>
              <w:t>t，施工结束后统一</w:t>
            </w:r>
            <w:r>
              <w:rPr>
                <w:rFonts w:hint="eastAsia"/>
                <w:color w:val="auto"/>
                <w:lang w:val="en-US" w:eastAsia="zh-CN"/>
              </w:rPr>
              <w:t>送至</w:t>
            </w:r>
            <w:r>
              <w:rPr>
                <w:rFonts w:hint="eastAsia" w:hAnsi="宋体"/>
                <w:color w:val="auto"/>
              </w:rPr>
              <w:t>大庆市岗源环保科技有限责任公司</w:t>
            </w:r>
            <w:r>
              <w:rPr>
                <w:rFonts w:hint="default" w:hAnsi="宋体"/>
                <w:color w:val="auto"/>
              </w:rPr>
              <w:t>工业</w:t>
            </w:r>
            <w:r>
              <w:rPr>
                <w:rFonts w:hint="eastAsia" w:hAnsi="宋体"/>
                <w:color w:val="auto"/>
              </w:rPr>
              <w:t>废弃物处置中心</w:t>
            </w:r>
            <w:r>
              <w:rPr>
                <w:rFonts w:hint="default" w:hAnsi="宋体"/>
                <w:color w:val="auto"/>
              </w:rPr>
              <w:t>处置</w:t>
            </w:r>
            <w:r>
              <w:rPr>
                <w:rFonts w:hint="eastAsia" w:hAnsi="宋体"/>
                <w:color w:val="auto"/>
                <w:lang w:eastAsia="zh-CN"/>
              </w:rPr>
              <w:t>。</w:t>
            </w:r>
            <w:r>
              <w:rPr>
                <w:rFonts w:hint="default" w:eastAsia="宋体"/>
                <w:color w:val="auto"/>
                <w:lang w:val="en-US" w:eastAsia="zh-CN"/>
              </w:rPr>
              <w:t>本项目钻井液配制过程共产生氢氧化钾包装袋0.</w:t>
            </w:r>
            <w:r>
              <w:rPr>
                <w:rFonts w:hint="eastAsia" w:eastAsia="宋体"/>
                <w:color w:val="auto"/>
                <w:lang w:val="en-US" w:eastAsia="zh-CN"/>
              </w:rPr>
              <w:t>03</w:t>
            </w:r>
            <w:r>
              <w:rPr>
                <w:rFonts w:hint="default" w:eastAsia="宋体"/>
                <w:color w:val="auto"/>
                <w:lang w:val="en-US" w:eastAsia="zh-CN"/>
              </w:rPr>
              <w:t>t，属于危险废物，危废类别及代码为HW49/900-041-49，产生后不暂存，及时拉运，委托有资质单位进行处理</w:t>
            </w:r>
            <w:r>
              <w:rPr>
                <w:rFonts w:hint="eastAsia"/>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27</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134"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钻井施工期的防渗布</w:t>
            </w:r>
            <w:r>
              <w:rPr>
                <w:rFonts w:hint="eastAsia" w:hAnsi="宋体" w:eastAsia="宋体"/>
                <w:color w:val="auto"/>
                <w:lang w:val="en-US" w:eastAsia="zh-CN"/>
              </w:rPr>
              <w:t>处理</w:t>
            </w:r>
          </w:p>
        </w:tc>
        <w:tc>
          <w:tcPr>
            <w:tcW w:w="5020" w:type="dxa"/>
            <w:vAlign w:val="center"/>
          </w:tcPr>
          <w:p>
            <w:pPr>
              <w:pStyle w:val="79"/>
              <w:keepNext w:val="0"/>
              <w:keepLines w:val="0"/>
              <w:suppressLineNumbers w:val="0"/>
              <w:spacing w:before="0" w:beforeAutospacing="0" w:after="0" w:afterAutospacing="0" w:line="300" w:lineRule="exact"/>
              <w:ind w:left="0" w:right="0"/>
              <w:rPr>
                <w:rFonts w:hint="default" w:eastAsia="宋体"/>
                <w:color w:val="auto"/>
                <w:lang w:val="en-US" w:eastAsia="zh-CN"/>
              </w:rPr>
            </w:pPr>
            <w:r>
              <w:rPr>
                <w:rFonts w:hint="default" w:eastAsia="宋体"/>
                <w:color w:val="auto"/>
                <w:lang w:val="en-US" w:eastAsia="zh-CN"/>
              </w:rPr>
              <w:t>本项目施工期钻井产生的废弃防渗布属于</w:t>
            </w:r>
            <w:r>
              <w:rPr>
                <w:rFonts w:hint="eastAsia"/>
                <w:color w:val="auto"/>
                <w:lang w:val="en-US" w:eastAsia="zh-CN"/>
              </w:rPr>
              <w:t>危险废物</w:t>
            </w:r>
            <w:r>
              <w:rPr>
                <w:rFonts w:hint="default" w:eastAsia="宋体"/>
                <w:color w:val="auto"/>
                <w:lang w:val="en-US" w:eastAsia="zh-CN"/>
              </w:rPr>
              <w:t>，</w:t>
            </w:r>
            <w:r>
              <w:rPr>
                <w:rFonts w:hint="eastAsia" w:ascii="宋体" w:hAnsi="宋体" w:eastAsia="宋体" w:cs="Arial"/>
                <w:color w:val="auto"/>
                <w:kern w:val="0"/>
                <w:sz w:val="21"/>
                <w:szCs w:val="21"/>
                <w:lang w:val="en-US" w:eastAsia="zh-CN" w:bidi="ar"/>
              </w:rPr>
              <w:t xml:space="preserve">危险类别及代码为 </w:t>
            </w:r>
            <w:r>
              <w:rPr>
                <w:rFonts w:hint="default" w:ascii="Times New Roman" w:hAnsi="Times New Roman" w:eastAsia="宋体" w:cs="Times New Roman"/>
                <w:color w:val="auto"/>
                <w:kern w:val="0"/>
                <w:sz w:val="21"/>
                <w:szCs w:val="21"/>
                <w:lang w:val="en-US" w:eastAsia="zh-CN" w:bidi="ar"/>
              </w:rPr>
              <w:t>HW49/900-041-49</w:t>
            </w:r>
            <w:r>
              <w:rPr>
                <w:rFonts w:hint="eastAsia" w:ascii="宋体" w:hAnsi="宋体" w:eastAsia="宋体" w:cs="Arial"/>
                <w:color w:val="auto"/>
                <w:kern w:val="0"/>
                <w:sz w:val="21"/>
                <w:szCs w:val="21"/>
                <w:lang w:val="en-US" w:eastAsia="zh-CN" w:bidi="ar"/>
              </w:rPr>
              <w:t>，委托有资质的危废处理单位处置</w:t>
            </w:r>
            <w:r>
              <w:rPr>
                <w:rFonts w:hint="default" w:eastAsia="宋体"/>
                <w:color w:val="auto"/>
                <w:lang w:val="en-US" w:eastAsia="zh-CN"/>
              </w:rPr>
              <w:t>，产生量为0.</w:t>
            </w:r>
            <w:r>
              <w:rPr>
                <w:rFonts w:hint="eastAsia"/>
                <w:color w:val="auto"/>
                <w:lang w:val="en-US" w:eastAsia="zh-CN"/>
              </w:rPr>
              <w:t>765</w:t>
            </w:r>
            <w:r>
              <w:rPr>
                <w:rFonts w:hint="default" w:eastAsia="宋体"/>
                <w:color w:val="auto"/>
                <w:lang w:val="en-US" w:eastAsia="zh-CN"/>
              </w:rPr>
              <w:t>t</w:t>
            </w:r>
            <w:r>
              <w:rPr>
                <w:rFonts w:hint="eastAsia"/>
                <w:color w:val="auto"/>
                <w:lang w:val="en-US" w:eastAsia="zh-CN"/>
              </w:rPr>
              <w:t>，</w:t>
            </w:r>
            <w:r>
              <w:rPr>
                <w:rFonts w:hint="default" w:eastAsia="宋体"/>
                <w:color w:val="auto"/>
                <w:lang w:val="en-US" w:eastAsia="zh-CN"/>
              </w:rPr>
              <w:t>施工结束后统一</w:t>
            </w:r>
            <w:r>
              <w:rPr>
                <w:rFonts w:hint="eastAsia"/>
                <w:color w:val="auto"/>
                <w:lang w:val="en-US" w:eastAsia="zh-CN"/>
              </w:rPr>
              <w:t>送至</w:t>
            </w:r>
            <w:r>
              <w:rPr>
                <w:rFonts w:hint="eastAsia" w:ascii="宋体" w:hAnsi="宋体" w:eastAsia="宋体" w:cs="Arial"/>
                <w:color w:val="auto"/>
                <w:kern w:val="0"/>
                <w:sz w:val="21"/>
                <w:szCs w:val="21"/>
                <w:lang w:val="en-US" w:eastAsia="zh-CN" w:bidi="ar"/>
              </w:rPr>
              <w:t>大庆中林绿源生物环保有限公司处理</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2</w:t>
            </w:r>
            <w:r>
              <w:rPr>
                <w:rFonts w:hint="eastAsia" w:eastAsia="宋体"/>
                <w:color w:val="auto"/>
                <w:lang w:val="en-US" w:eastAsia="zh-CN"/>
              </w:rPr>
              <w:t>8</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噪声防治</w:t>
            </w:r>
          </w:p>
        </w:tc>
        <w:tc>
          <w:tcPr>
            <w:tcW w:w="6154" w:type="dxa"/>
            <w:gridSpan w:val="2"/>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合理安排施工进度，减少施工时间，避免大量高噪声设备同时施工；除钻进外，其它施工严格禁止夜间进行。合理布置施工现场；降低设备噪声运输车辆选择避开居民区的路线，尽量不鸣笛，</w:t>
            </w:r>
            <w:r>
              <w:rPr>
                <w:rFonts w:hint="default" w:hAnsi="宋体" w:eastAsia="宋体"/>
                <w:snapToGrid w:val="0"/>
                <w:color w:val="auto"/>
                <w:lang w:val="en-US" w:eastAsia="zh-CN" w:bidi="ar"/>
              </w:rPr>
              <w:t>满足《建筑施工场界环境噪声排放标准》（</w:t>
            </w:r>
            <w:r>
              <w:rPr>
                <w:rFonts w:hint="default" w:eastAsia="宋体"/>
                <w:snapToGrid w:val="0"/>
                <w:color w:val="auto"/>
                <w:lang w:val="en-US" w:eastAsia="zh-CN" w:bidi="ar"/>
              </w:rPr>
              <w:t>GB 12523-2011</w:t>
            </w:r>
            <w:r>
              <w:rPr>
                <w:rFonts w:hint="default" w:hAnsi="宋体" w:eastAsia="宋体"/>
                <w:snapToGrid w:val="0"/>
                <w:color w:val="auto"/>
                <w:lang w:val="en-US" w:eastAsia="zh-CN" w:bidi="ar"/>
              </w:rPr>
              <w:t>）要求</w:t>
            </w:r>
            <w:r>
              <w:rPr>
                <w:rFonts w:hint="eastAsia" w:hAnsi="宋体"/>
                <w:snapToGrid w:val="0"/>
                <w:color w:val="auto"/>
                <w:lang w:val="en-US" w:eastAsia="zh-CN" w:bidi="ar"/>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vMerge w:val="restart"/>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bookmarkStart w:id="384" w:name="_Hlk71821588"/>
            <w:r>
              <w:rPr>
                <w:rFonts w:hint="default" w:eastAsia="宋体"/>
                <w:color w:val="auto"/>
                <w:lang w:val="en-US" w:eastAsia="zh-CN"/>
              </w:rPr>
              <w:t>2</w:t>
            </w:r>
            <w:r>
              <w:rPr>
                <w:rFonts w:hint="eastAsia" w:eastAsia="宋体"/>
                <w:color w:val="auto"/>
                <w:lang w:val="en-US" w:eastAsia="zh-CN"/>
              </w:rPr>
              <w:t>9</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地下水分区防渗</w:t>
            </w:r>
          </w:p>
        </w:tc>
        <w:tc>
          <w:tcPr>
            <w:tcW w:w="6154" w:type="dxa"/>
            <w:gridSpan w:val="2"/>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eastAsia="宋体"/>
                <w:color w:val="auto"/>
                <w:lang w:val="en-US" w:eastAsia="zh-CN"/>
              </w:rPr>
              <w:t>柴油罐区</w:t>
            </w:r>
            <w:r>
              <w:rPr>
                <w:rFonts w:hint="eastAsia"/>
                <w:color w:val="auto"/>
                <w:lang w:val="en-US" w:eastAsia="zh-CN"/>
              </w:rPr>
              <w:t>和放喷池</w:t>
            </w:r>
            <w:r>
              <w:rPr>
                <w:rFonts w:hint="default" w:eastAsia="宋体"/>
                <w:color w:val="auto"/>
                <w:lang w:val="en-US" w:eastAsia="zh-CN"/>
              </w:rPr>
              <w:t>属于重点防渗，防渗措施为铺设厚2mm聚乙烯膜构筑防渗层，防渗系数</w:t>
            </w:r>
            <w:r>
              <w:rPr>
                <w:rFonts w:hint="eastAsia" w:eastAsia="宋体"/>
                <w:color w:val="auto"/>
                <w:lang w:val="en-US" w:eastAsia="zh-CN"/>
              </w:rPr>
              <w:t>K</w:t>
            </w:r>
            <w:r>
              <w:rPr>
                <w:rFonts w:hint="default" w:eastAsia="宋体"/>
                <w:color w:val="auto"/>
                <w:lang w:val="en-US" w:eastAsia="zh-CN"/>
              </w:rPr>
              <w:t>≤1×10</w:t>
            </w:r>
            <w:r>
              <w:rPr>
                <w:rFonts w:hint="default" w:eastAsia="宋体"/>
                <w:color w:val="auto"/>
                <w:vertAlign w:val="superscript"/>
                <w:lang w:val="en-US" w:eastAsia="zh-CN"/>
              </w:rPr>
              <w:t>-13</w:t>
            </w:r>
            <w:r>
              <w:rPr>
                <w:rFonts w:hint="default" w:eastAsia="宋体"/>
                <w:color w:val="auto"/>
                <w:lang w:val="en-US" w:eastAsia="zh-CN"/>
              </w:rPr>
              <w:t xml:space="preserve"> cm/s，防渗性能满足《环境影响评价技术导则 地下水环境》（HJ 610-2016）等效黏土防渗层Mb≥6.0m、K≤1.0×10</w:t>
            </w:r>
            <w:r>
              <w:rPr>
                <w:rFonts w:hint="default" w:eastAsia="宋体"/>
                <w:color w:val="auto"/>
                <w:vertAlign w:val="superscript"/>
                <w:lang w:val="en-US" w:eastAsia="zh-CN"/>
              </w:rPr>
              <w:t>-7</w:t>
            </w:r>
            <w:r>
              <w:rPr>
                <w:rFonts w:hint="default" w:eastAsia="宋体"/>
                <w:color w:val="auto"/>
                <w:lang w:val="en-US" w:eastAsia="zh-CN"/>
              </w:rPr>
              <w:t>cm/s重点防渗要求。在防渗工程施工时候留存影像资料</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bookmarkEnd w:id="384"/>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495" w:type="dxa"/>
            <w:vMerge w:val="continue"/>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6154" w:type="dxa"/>
            <w:gridSpan w:val="2"/>
            <w:vAlign w:val="center"/>
          </w:tcPr>
          <w:p>
            <w:pPr>
              <w:pStyle w:val="79"/>
              <w:keepNext w:val="0"/>
              <w:keepLines w:val="0"/>
              <w:suppressLineNumbers w:val="0"/>
              <w:spacing w:before="0" w:beforeAutospacing="0" w:after="0" w:afterAutospacing="0"/>
              <w:ind w:left="0" w:right="0"/>
              <w:jc w:val="left"/>
              <w:rPr>
                <w:rFonts w:hint="eastAsia"/>
                <w:color w:val="auto"/>
                <w:lang w:val="en-US" w:eastAsia="zh-CN"/>
              </w:rPr>
            </w:pPr>
            <w:r>
              <w:rPr>
                <w:rFonts w:hint="eastAsia" w:eastAsia="宋体"/>
                <w:color w:val="auto"/>
                <w:lang w:val="en-US" w:eastAsia="zh-CN"/>
              </w:rPr>
              <w:t>钻井泥浆的</w:t>
            </w:r>
            <w:r>
              <w:rPr>
                <w:rFonts w:hint="default" w:eastAsia="宋体"/>
                <w:color w:val="auto"/>
                <w:lang w:val="en-US" w:eastAsia="zh-CN"/>
              </w:rPr>
              <w:t>钢制泥浆槽、</w:t>
            </w:r>
            <w:r>
              <w:rPr>
                <w:rFonts w:hint="eastAsia"/>
                <w:color w:val="auto"/>
                <w:lang w:val="en-US" w:eastAsia="zh-CN"/>
              </w:rPr>
              <w:t>储液罐、</w:t>
            </w:r>
            <w:r>
              <w:rPr>
                <w:rFonts w:hint="default" w:eastAsia="宋体"/>
                <w:color w:val="auto"/>
                <w:lang w:val="en-US" w:eastAsia="zh-CN"/>
              </w:rPr>
              <w:t>泥浆循环罐区</w:t>
            </w:r>
            <w:r>
              <w:rPr>
                <w:rFonts w:hint="eastAsia" w:eastAsia="宋体"/>
                <w:color w:val="auto"/>
                <w:lang w:val="en-US" w:eastAsia="zh-CN"/>
              </w:rPr>
              <w:t>和所有井场</w:t>
            </w:r>
            <w:r>
              <w:rPr>
                <w:rFonts w:hint="default" w:eastAsia="宋体"/>
                <w:color w:val="auto"/>
                <w:lang w:val="en-US" w:eastAsia="zh-CN"/>
              </w:rPr>
              <w:t>防渗生活污水池、材料房属于一般防渗区，铺设厚2mm聚乙烯膜构筑防渗层，</w:t>
            </w:r>
            <w:r>
              <w:rPr>
                <w:rFonts w:hint="eastAsia" w:eastAsia="宋体"/>
                <w:color w:val="auto"/>
                <w:lang w:val="en-US" w:eastAsia="zh-CN"/>
              </w:rPr>
              <w:t>防渗系数K</w:t>
            </w:r>
            <w:r>
              <w:rPr>
                <w:rFonts w:hint="default" w:eastAsia="宋体"/>
                <w:color w:val="auto"/>
                <w:lang w:val="en-US" w:eastAsia="zh-CN"/>
              </w:rPr>
              <w:t>≤1×10</w:t>
            </w:r>
            <w:r>
              <w:rPr>
                <w:rFonts w:hint="default" w:eastAsia="宋体"/>
                <w:color w:val="auto"/>
                <w:vertAlign w:val="superscript"/>
                <w:lang w:val="en-US" w:eastAsia="zh-CN"/>
              </w:rPr>
              <w:t>-10</w:t>
            </w:r>
            <w:r>
              <w:rPr>
                <w:rFonts w:hint="default" w:eastAsia="宋体"/>
                <w:color w:val="auto"/>
                <w:lang w:val="en-US" w:eastAsia="zh-CN"/>
              </w:rPr>
              <w:t xml:space="preserve"> cm/s，防渗性能满足《环境影响评价技术导则 地下水环境》（HJ 610-2016）等效黏土防渗层Mb≥1.5m、K≤1.0×10</w:t>
            </w:r>
            <w:r>
              <w:rPr>
                <w:rFonts w:hint="default" w:eastAsia="宋体"/>
                <w:color w:val="auto"/>
                <w:vertAlign w:val="superscript"/>
                <w:lang w:val="en-US" w:eastAsia="zh-CN"/>
              </w:rPr>
              <w:t>-7</w:t>
            </w:r>
            <w:r>
              <w:rPr>
                <w:rFonts w:hint="default" w:eastAsia="宋体"/>
                <w:color w:val="auto"/>
                <w:lang w:val="en-US" w:eastAsia="zh-CN"/>
              </w:rPr>
              <w:t>cm/s一般防渗要求</w:t>
            </w:r>
            <w:r>
              <w:rPr>
                <w:rFonts w:hint="eastAsia"/>
                <w:color w:val="auto"/>
                <w:lang w:val="en-US" w:eastAsia="zh-CN"/>
              </w:rPr>
              <w:t>。</w:t>
            </w:r>
          </w:p>
          <w:p>
            <w:pPr>
              <w:keepNext w:val="0"/>
              <w:keepLines w:val="0"/>
              <w:widowControl/>
              <w:suppressLineNumbers w:val="0"/>
              <w:spacing w:before="0" w:beforeAutospacing="0" w:after="0" w:afterAutospacing="0"/>
              <w:ind w:left="0" w:right="0"/>
              <w:jc w:val="left"/>
              <w:rPr>
                <w:rFonts w:hint="default"/>
                <w:color w:val="auto"/>
                <w:lang w:val="en-US" w:eastAsia="zh-CN"/>
              </w:rPr>
            </w:pPr>
            <w:r>
              <w:rPr>
                <w:rFonts w:hint="eastAsia" w:ascii="宋体" w:hAnsi="宋体" w:eastAsia="宋体" w:cs="宋体"/>
                <w:color w:val="auto"/>
                <w:kern w:val="0"/>
                <w:sz w:val="21"/>
                <w:szCs w:val="21"/>
                <w:lang w:val="en-US" w:eastAsia="zh-CN" w:bidi="ar"/>
              </w:rPr>
              <w:t xml:space="preserve">钻井油基钻井泥浆井场的钢制泥浆槽、泥浆循环罐区属于重点防渗，防渗措施为铺设厚 </w:t>
            </w:r>
            <w:r>
              <w:rPr>
                <w:rFonts w:hint="default" w:ascii="Times New Roman" w:hAnsi="Times New Roman" w:eastAsia="宋体" w:cs="Times New Roman"/>
                <w:color w:val="auto"/>
                <w:kern w:val="0"/>
                <w:sz w:val="21"/>
                <w:szCs w:val="21"/>
                <w:lang w:val="en-US" w:eastAsia="zh-CN" w:bidi="ar"/>
              </w:rPr>
              <w:t xml:space="preserve">2mm </w:t>
            </w:r>
            <w:r>
              <w:rPr>
                <w:rFonts w:hint="eastAsia" w:ascii="宋体" w:hAnsi="宋体" w:eastAsia="宋体" w:cs="宋体"/>
                <w:color w:val="auto"/>
                <w:kern w:val="0"/>
                <w:sz w:val="21"/>
                <w:szCs w:val="21"/>
                <w:lang w:val="en-US" w:eastAsia="zh-CN" w:bidi="ar"/>
              </w:rPr>
              <w:t>聚乙烯膜构筑防渗层，防渗系数</w:t>
            </w:r>
            <w:r>
              <w:rPr>
                <w:rFonts w:hint="default" w:ascii="Times New Roman" w:hAnsi="Times New Roman" w:eastAsia="宋体" w:cs="Times New Roman"/>
                <w:color w:val="auto"/>
                <w:kern w:val="0"/>
                <w:sz w:val="21"/>
                <w:szCs w:val="21"/>
                <w:lang w:val="en-US" w:eastAsia="zh-CN" w:bidi="ar"/>
              </w:rPr>
              <w:t>K≤1×10</w:t>
            </w:r>
            <w:r>
              <w:rPr>
                <w:rFonts w:hint="default" w:ascii="Times New Roman" w:hAnsi="Times New Roman" w:eastAsia="宋体" w:cs="Times New Roman"/>
                <w:color w:val="auto"/>
                <w:kern w:val="0"/>
                <w:sz w:val="13"/>
                <w:szCs w:val="13"/>
                <w:lang w:val="en-US" w:eastAsia="zh-CN" w:bidi="ar"/>
              </w:rPr>
              <w:t xml:space="preserve">-13 </w:t>
            </w:r>
            <w:r>
              <w:rPr>
                <w:rFonts w:hint="default" w:ascii="Times New Roman" w:hAnsi="Times New Roman" w:eastAsia="宋体" w:cs="Times New Roman"/>
                <w:color w:val="auto"/>
                <w:kern w:val="0"/>
                <w:sz w:val="21"/>
                <w:szCs w:val="21"/>
                <w:lang w:val="en-US" w:eastAsia="zh-CN" w:bidi="ar"/>
              </w:rPr>
              <w:t>cm/s</w:t>
            </w:r>
            <w:r>
              <w:rPr>
                <w:rFonts w:hint="eastAsia" w:ascii="宋体" w:hAnsi="宋体" w:eastAsia="宋体" w:cs="宋体"/>
                <w:color w:val="auto"/>
                <w:kern w:val="0"/>
                <w:sz w:val="21"/>
                <w:szCs w:val="21"/>
                <w:lang w:val="en-US" w:eastAsia="zh-CN" w:bidi="ar"/>
              </w:rPr>
              <w:t>，防渗性能满足《环境影响评价技术导则 地下水环境》（</w:t>
            </w:r>
            <w:r>
              <w:rPr>
                <w:rFonts w:hint="default" w:ascii="Times New Roman" w:hAnsi="Times New Roman" w:eastAsia="宋体" w:cs="Times New Roman"/>
                <w:color w:val="auto"/>
                <w:kern w:val="0"/>
                <w:sz w:val="21"/>
                <w:szCs w:val="21"/>
                <w:lang w:val="en-US" w:eastAsia="zh-CN" w:bidi="ar"/>
              </w:rPr>
              <w:t>HJ 610-2016</w:t>
            </w:r>
            <w:r>
              <w:rPr>
                <w:rFonts w:hint="eastAsia" w:ascii="宋体" w:hAnsi="宋体" w:eastAsia="宋体" w:cs="宋体"/>
                <w:color w:val="auto"/>
                <w:kern w:val="0"/>
                <w:sz w:val="21"/>
                <w:szCs w:val="21"/>
                <w:lang w:val="en-US" w:eastAsia="zh-CN" w:bidi="ar"/>
              </w:rPr>
              <w:t xml:space="preserve">）等效黏土防渗层 </w:t>
            </w:r>
            <w:r>
              <w:rPr>
                <w:rFonts w:hint="default" w:ascii="Times New Roman" w:hAnsi="Times New Roman" w:eastAsia="宋体" w:cs="Times New Roman"/>
                <w:color w:val="auto"/>
                <w:kern w:val="0"/>
                <w:sz w:val="21"/>
                <w:szCs w:val="21"/>
                <w:lang w:val="en-US" w:eastAsia="zh-CN" w:bidi="ar"/>
              </w:rPr>
              <w:t>Mb≥6.0m</w:t>
            </w:r>
            <w:r>
              <w:rPr>
                <w:rFonts w:hint="eastAsia" w:ascii="宋体" w:hAnsi="宋体" w:eastAsia="宋体" w:cs="宋体"/>
                <w:color w:val="auto"/>
                <w:kern w:val="0"/>
                <w:sz w:val="21"/>
                <w:szCs w:val="21"/>
                <w:lang w:val="en-US" w:eastAsia="zh-CN" w:bidi="ar"/>
              </w:rPr>
              <w:t xml:space="preserve">、 </w:t>
            </w:r>
            <w:r>
              <w:rPr>
                <w:rFonts w:hint="default" w:ascii="Times New Roman" w:hAnsi="Times New Roman" w:eastAsia="宋体" w:cs="Times New Roman"/>
                <w:color w:val="auto"/>
                <w:kern w:val="0"/>
                <w:sz w:val="21"/>
                <w:szCs w:val="21"/>
                <w:lang w:val="en-US" w:eastAsia="zh-CN" w:bidi="ar"/>
              </w:rPr>
              <w:t>K≤1.0×10</w:t>
            </w:r>
            <w:r>
              <w:rPr>
                <w:rFonts w:hint="default" w:ascii="Times New Roman" w:hAnsi="Times New Roman" w:eastAsia="宋体" w:cs="Times New Roman"/>
                <w:color w:val="auto"/>
                <w:kern w:val="0"/>
                <w:sz w:val="13"/>
                <w:szCs w:val="13"/>
                <w:lang w:val="en-US" w:eastAsia="zh-CN" w:bidi="ar"/>
              </w:rPr>
              <w:t xml:space="preserve">-7 </w:t>
            </w:r>
            <w:r>
              <w:rPr>
                <w:rFonts w:hint="default" w:ascii="Times New Roman" w:hAnsi="Times New Roman" w:eastAsia="宋体" w:cs="Times New Roman"/>
                <w:color w:val="auto"/>
                <w:kern w:val="0"/>
                <w:sz w:val="21"/>
                <w:szCs w:val="21"/>
                <w:lang w:val="en-US" w:eastAsia="zh-CN" w:bidi="ar"/>
              </w:rPr>
              <w:t xml:space="preserve">cm/s </w:t>
            </w:r>
            <w:r>
              <w:rPr>
                <w:rFonts w:hint="eastAsia" w:ascii="宋体" w:hAnsi="宋体" w:eastAsia="宋体" w:cs="宋体"/>
                <w:color w:val="auto"/>
                <w:kern w:val="0"/>
                <w:sz w:val="21"/>
                <w:szCs w:val="21"/>
                <w:lang w:val="en-US" w:eastAsia="zh-CN" w:bidi="ar"/>
              </w:rPr>
              <w:t>重点防渗要求。在防渗工程施工时候留存影像资料</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eastAsia="宋体"/>
                <w:color w:val="auto"/>
                <w:lang w:val="en-US" w:eastAsia="zh-CN"/>
              </w:rPr>
              <w:t>30</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eastAsia="宋体"/>
                <w:color w:val="auto"/>
                <w:lang w:val="en-US" w:eastAsia="zh-CN"/>
              </w:rPr>
              <w:t>地下水监测</w:t>
            </w:r>
          </w:p>
        </w:tc>
        <w:tc>
          <w:tcPr>
            <w:tcW w:w="6154" w:type="dxa"/>
            <w:gridSpan w:val="2"/>
            <w:vAlign w:val="center"/>
          </w:tcPr>
          <w:p>
            <w:pPr>
              <w:pStyle w:val="79"/>
              <w:keepNext w:val="0"/>
              <w:keepLines w:val="0"/>
              <w:suppressLineNumbers w:val="0"/>
              <w:spacing w:before="0" w:beforeAutospacing="0" w:after="0" w:afterAutospacing="0"/>
              <w:ind w:left="0" w:right="0"/>
              <w:jc w:val="left"/>
              <w:rPr>
                <w:rFonts w:hint="eastAsia" w:hAnsi="宋体" w:eastAsia="宋体"/>
                <w:color w:val="auto"/>
                <w:lang w:val="en-US" w:eastAsia="zh-CN"/>
              </w:rPr>
            </w:pPr>
            <w:r>
              <w:rPr>
                <w:rFonts w:hint="default" w:eastAsia="宋体"/>
                <w:color w:val="auto"/>
                <w:lang w:val="en-US" w:eastAsia="zh-CN"/>
              </w:rPr>
              <w:t>依托附近</w:t>
            </w:r>
            <w:r>
              <w:rPr>
                <w:rFonts w:hint="eastAsia"/>
                <w:color w:val="auto"/>
                <w:lang w:val="en-US" w:eastAsia="zh-CN"/>
              </w:rPr>
              <w:t>2</w:t>
            </w:r>
            <w:r>
              <w:rPr>
                <w:rFonts w:hint="default" w:eastAsia="宋体"/>
                <w:color w:val="auto"/>
                <w:lang w:val="en-US" w:eastAsia="zh-CN"/>
              </w:rPr>
              <w:t>口已建水井作为跟踪监测井</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eastAsia" w:hAnsi="宋体" w:eastAsia="宋体"/>
                <w:color w:val="auto"/>
                <w:lang w:val="en-US" w:eastAsia="zh-CN"/>
              </w:rPr>
            </w:pPr>
            <w:r>
              <w:rPr>
                <w:rFonts w:hint="eastAsia" w:hAnsi="宋体" w:eastAsia="宋体"/>
                <w:color w:val="auto"/>
                <w:lang w:val="en-US"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31</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生态恢复和补偿</w:t>
            </w:r>
          </w:p>
        </w:tc>
        <w:tc>
          <w:tcPr>
            <w:tcW w:w="6154" w:type="dxa"/>
            <w:gridSpan w:val="2"/>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eastAsia="宋体"/>
                <w:color w:val="auto"/>
                <w:lang w:val="en-US" w:eastAsia="zh-CN"/>
              </w:rPr>
              <w:t>对永久占用的</w:t>
            </w:r>
            <w:r>
              <w:rPr>
                <w:rFonts w:hint="eastAsia"/>
                <w:color w:val="auto"/>
                <w:lang w:val="en-US" w:eastAsia="zh-CN"/>
              </w:rPr>
              <w:t xml:space="preserve">1.6 </w:t>
            </w:r>
            <w:r>
              <w:rPr>
                <w:rFonts w:hint="default" w:eastAsia="宋体"/>
                <w:color w:val="auto"/>
                <w:lang w:val="en-US" w:eastAsia="zh-CN"/>
              </w:rPr>
              <w:t>hm</w:t>
            </w:r>
            <w:r>
              <w:rPr>
                <w:rFonts w:hint="default" w:eastAsia="宋体"/>
                <w:color w:val="auto"/>
                <w:vertAlign w:val="superscript"/>
                <w:lang w:val="en-US" w:eastAsia="zh-CN"/>
              </w:rPr>
              <w:t>2</w:t>
            </w:r>
            <w:r>
              <w:rPr>
                <w:rFonts w:hint="default" w:eastAsia="宋体"/>
                <w:color w:val="auto"/>
                <w:lang w:val="en-US" w:eastAsia="zh-CN"/>
              </w:rPr>
              <w:t>土地进行经济补偿措施，对临时占用的</w:t>
            </w:r>
            <w:r>
              <w:rPr>
                <w:rFonts w:hint="eastAsia"/>
                <w:color w:val="auto"/>
                <w:lang w:val="en-US" w:eastAsia="zh-CN"/>
              </w:rPr>
              <w:t>0.845</w:t>
            </w:r>
            <w:r>
              <w:rPr>
                <w:rFonts w:hint="default" w:eastAsia="宋体"/>
                <w:color w:val="auto"/>
                <w:lang w:val="en-US" w:eastAsia="zh-CN"/>
              </w:rPr>
              <w:t>hm</w:t>
            </w:r>
            <w:r>
              <w:rPr>
                <w:rFonts w:hint="default" w:eastAsia="宋体"/>
                <w:color w:val="auto"/>
                <w:vertAlign w:val="superscript"/>
                <w:lang w:val="en-US" w:eastAsia="zh-CN"/>
              </w:rPr>
              <w:t>2</w:t>
            </w:r>
            <w:r>
              <w:rPr>
                <w:rFonts w:hint="default" w:eastAsia="宋体"/>
                <w:color w:val="auto"/>
                <w:lang w:val="en-US" w:eastAsia="zh-CN"/>
              </w:rPr>
              <w:t>草地（</w:t>
            </w:r>
            <w:r>
              <w:rPr>
                <w:rFonts w:hint="eastAsia"/>
                <w:color w:val="auto"/>
                <w:lang w:val="en-US" w:eastAsia="zh-CN"/>
              </w:rPr>
              <w:t>一般</w:t>
            </w:r>
            <w:r>
              <w:rPr>
                <w:rFonts w:hint="default" w:eastAsia="宋体"/>
                <w:color w:val="auto"/>
                <w:lang w:val="en-US" w:eastAsia="zh-CN"/>
              </w:rPr>
              <w:t>草</w:t>
            </w:r>
            <w:r>
              <w:rPr>
                <w:rFonts w:hint="eastAsia"/>
                <w:color w:val="auto"/>
                <w:lang w:val="en-US" w:eastAsia="zh-CN"/>
              </w:rPr>
              <w:t>地</w:t>
            </w:r>
            <w:r>
              <w:rPr>
                <w:rFonts w:hint="default" w:eastAsia="宋体"/>
                <w:color w:val="auto"/>
                <w:lang w:val="en-US" w:eastAsia="zh-CN"/>
              </w:rPr>
              <w:t>）进行等</w:t>
            </w:r>
            <w:r>
              <w:rPr>
                <w:rFonts w:hint="eastAsia" w:eastAsia="宋体"/>
                <w:color w:val="auto"/>
                <w:lang w:val="en-US" w:eastAsia="zh-CN"/>
              </w:rPr>
              <w:t>质</w:t>
            </w:r>
            <w:r>
              <w:rPr>
                <w:rFonts w:hint="default" w:eastAsia="宋体"/>
                <w:color w:val="auto"/>
                <w:lang w:val="en-US" w:eastAsia="zh-CN"/>
              </w:rPr>
              <w:t>等量生态恢复，对临时占用的</w:t>
            </w:r>
            <w:r>
              <w:rPr>
                <w:rFonts w:hint="eastAsia"/>
                <w:color w:val="auto"/>
                <w:lang w:val="en-US" w:eastAsia="zh-CN"/>
              </w:rPr>
              <w:t>10.995</w:t>
            </w:r>
            <w:r>
              <w:rPr>
                <w:rFonts w:hint="default" w:eastAsia="宋体"/>
                <w:color w:val="auto"/>
                <w:lang w:val="en-US" w:eastAsia="zh-CN"/>
              </w:rPr>
              <w:t xml:space="preserve"> hm</w:t>
            </w:r>
            <w:r>
              <w:rPr>
                <w:rFonts w:hint="default" w:eastAsia="宋体"/>
                <w:color w:val="auto"/>
                <w:vertAlign w:val="superscript"/>
                <w:lang w:val="en-US" w:eastAsia="zh-CN"/>
              </w:rPr>
              <w:t>2</w:t>
            </w:r>
            <w:r>
              <w:rPr>
                <w:rFonts w:hint="default" w:eastAsia="宋体"/>
                <w:color w:val="auto"/>
                <w:lang w:val="en-US" w:eastAsia="zh-CN"/>
              </w:rPr>
              <w:t>耕地（基本农田）进行复耕</w:t>
            </w:r>
            <w:r>
              <w:rPr>
                <w:rFonts w:hint="eastAsia"/>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32</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事故防范措施</w:t>
            </w:r>
          </w:p>
        </w:tc>
        <w:tc>
          <w:tcPr>
            <w:tcW w:w="6154" w:type="dxa"/>
            <w:gridSpan w:val="2"/>
            <w:vAlign w:val="center"/>
          </w:tcPr>
          <w:p>
            <w:pPr>
              <w:pStyle w:val="79"/>
              <w:keepNext w:val="0"/>
              <w:keepLines w:val="0"/>
              <w:suppressLineNumbers w:val="0"/>
              <w:spacing w:before="0" w:beforeAutospacing="0" w:after="0" w:afterAutospacing="0"/>
              <w:ind w:left="0" w:right="0"/>
              <w:jc w:val="left"/>
              <w:rPr>
                <w:rFonts w:hint="default" w:eastAsia="宋体"/>
                <w:color w:val="auto"/>
                <w:lang w:val="en-US" w:eastAsia="zh-CN"/>
              </w:rPr>
            </w:pPr>
            <w:r>
              <w:rPr>
                <w:rFonts w:hint="default" w:hAnsi="宋体" w:eastAsia="宋体"/>
                <w:color w:val="auto"/>
                <w:lang w:val="en-US" w:eastAsia="zh-CN"/>
              </w:rPr>
              <w:t>钻井井场周围设置围堰，建设高度</w:t>
            </w:r>
            <w:r>
              <w:rPr>
                <w:rFonts w:hint="default" w:eastAsia="宋体"/>
                <w:color w:val="auto"/>
                <w:lang w:val="en-US" w:eastAsia="zh-CN"/>
              </w:rPr>
              <w:t>30cm</w:t>
            </w:r>
            <w:r>
              <w:rPr>
                <w:rFonts w:hint="default" w:hAnsi="宋体" w:eastAsia="宋体"/>
                <w:color w:val="auto"/>
                <w:lang w:val="en-US" w:eastAsia="zh-CN"/>
              </w:rPr>
              <w:t>，宽度</w:t>
            </w:r>
            <w:r>
              <w:rPr>
                <w:rFonts w:hint="default" w:eastAsia="宋体"/>
                <w:color w:val="auto"/>
                <w:lang w:val="en-US" w:eastAsia="zh-CN"/>
              </w:rPr>
              <w:t>40cm</w:t>
            </w:r>
            <w:r>
              <w:rPr>
                <w:rFonts w:hint="default" w:hAnsi="宋体" w:eastAsia="宋体"/>
                <w:color w:val="auto"/>
                <w:lang w:val="en-US" w:eastAsia="zh-CN"/>
              </w:rPr>
              <w:t>，材料为</w:t>
            </w:r>
            <w:r>
              <w:rPr>
                <w:rFonts w:hint="eastAsia" w:hAnsi="宋体" w:eastAsia="宋体"/>
                <w:color w:val="auto"/>
                <w:lang w:val="en-US" w:eastAsia="zh-CN"/>
              </w:rPr>
              <w:t>玻璃钢</w:t>
            </w:r>
            <w:r>
              <w:rPr>
                <w:rFonts w:hint="default" w:hAnsi="宋体" w:eastAsia="宋体"/>
                <w:color w:val="auto"/>
                <w:lang w:val="en-US" w:eastAsia="zh-CN"/>
              </w:rPr>
              <w:t>，防止冒漏时污水流出井场</w:t>
            </w:r>
            <w:r>
              <w:rPr>
                <w:rFonts w:hint="eastAsia" w:hAnsi="宋体"/>
                <w:color w:val="auto"/>
                <w:lang w:val="en-US"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3"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eastAsia="宋体"/>
                <w:color w:val="auto"/>
                <w:lang w:val="en-US" w:eastAsia="zh-CN"/>
              </w:rPr>
              <w:t>33</w:t>
            </w:r>
          </w:p>
        </w:tc>
        <w:tc>
          <w:tcPr>
            <w:tcW w:w="504" w:type="dxa"/>
            <w:vMerge w:val="restart"/>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hAnsi="宋体" w:eastAsia="宋体"/>
                <w:color w:val="auto"/>
                <w:lang w:val="en-US" w:eastAsia="zh-CN"/>
              </w:rPr>
              <w:t>依托工程</w:t>
            </w:r>
          </w:p>
        </w:tc>
        <w:tc>
          <w:tcPr>
            <w:tcW w:w="1377" w:type="dxa"/>
            <w:vAlign w:val="center"/>
          </w:tcPr>
          <w:p>
            <w:pPr>
              <w:pStyle w:val="79"/>
              <w:keepNext w:val="0"/>
              <w:keepLines w:val="0"/>
              <w:suppressLineNumbers w:val="0"/>
              <w:spacing w:before="0" w:beforeAutospacing="0" w:after="0" w:afterAutospacing="0" w:line="300" w:lineRule="exact"/>
              <w:ind w:left="0" w:right="0"/>
              <w:jc w:val="center"/>
              <w:rPr>
                <w:rFonts w:hint="default" w:eastAsia="宋体"/>
                <w:color w:val="auto"/>
                <w:lang w:val="en-US" w:eastAsia="zh-CN"/>
              </w:rPr>
            </w:pPr>
            <w:r>
              <w:rPr>
                <w:rFonts w:hint="default" w:eastAsia="宋体"/>
                <w:color w:val="auto"/>
                <w:lang w:val="en-US" w:eastAsia="zh-CN"/>
              </w:rPr>
              <w:t>废弃泥浆处理</w:t>
            </w:r>
          </w:p>
        </w:tc>
        <w:tc>
          <w:tcPr>
            <w:tcW w:w="6154" w:type="dxa"/>
            <w:gridSpan w:val="2"/>
            <w:vAlign w:val="center"/>
          </w:tcPr>
          <w:p>
            <w:pPr>
              <w:pStyle w:val="79"/>
              <w:keepNext w:val="0"/>
              <w:keepLines w:val="0"/>
              <w:suppressLineNumbers w:val="0"/>
              <w:spacing w:before="0" w:beforeAutospacing="0" w:after="0" w:afterAutospacing="0" w:line="340" w:lineRule="exact"/>
              <w:ind w:left="0" w:right="0"/>
              <w:jc w:val="left"/>
              <w:rPr>
                <w:rFonts w:hint="eastAsia"/>
                <w:color w:val="auto"/>
                <w:lang w:val="en-US" w:eastAsia="zh-CN"/>
              </w:rPr>
            </w:pPr>
            <w:r>
              <w:rPr>
                <w:rFonts w:hint="eastAsia" w:eastAsia="宋体"/>
                <w:color w:val="auto"/>
                <w:lang w:val="en-US" w:eastAsia="zh-CN" w:bidi="ar"/>
              </w:rPr>
              <w:t>本工程钻井过程中产生的钻井污水、</w:t>
            </w:r>
            <w:r>
              <w:rPr>
                <w:rFonts w:hint="eastAsia"/>
                <w:color w:val="auto"/>
                <w:lang w:val="en-US" w:eastAsia="zh-CN" w:bidi="ar"/>
              </w:rPr>
              <w:t>废弃水基</w:t>
            </w:r>
            <w:r>
              <w:rPr>
                <w:rFonts w:hint="eastAsia" w:eastAsia="宋体"/>
                <w:color w:val="auto"/>
                <w:lang w:val="en-US" w:eastAsia="zh-CN" w:bidi="ar"/>
              </w:rPr>
              <w:t>钻井液、岩屑执行不落地收集处理工艺，废弃泥浆在井场进行固液分离处理。分离出的液相处理达标后循环利用，无法利用的，就近拉运至处理站集中处置。分离出的固相废弃物，就近拉运至大庆市采油八厂废弃钻井液集中处理站统一处理，泥饼统一收集后转运至大庆油田采油八厂指定地点，作为油田铺路、铺垫井场等综合利用。不排入外环境</w:t>
            </w:r>
            <w:r>
              <w:rPr>
                <w:rFonts w:hint="default" w:eastAsia="宋体"/>
                <w:color w:val="auto"/>
                <w:lang w:val="en-US" w:eastAsia="zh-CN" w:bidi="ar"/>
              </w:rPr>
              <w:t>。</w:t>
            </w:r>
            <w:r>
              <w:rPr>
                <w:rFonts w:hint="eastAsia" w:eastAsia="宋体"/>
                <w:color w:val="auto"/>
                <w:lang w:val="en-US" w:eastAsia="zh-CN" w:bidi="ar"/>
              </w:rPr>
              <w:t>大庆市采油八厂废弃钻井液集中处理站</w:t>
            </w:r>
            <w:r>
              <w:rPr>
                <w:rFonts w:hint="default" w:eastAsia="宋体"/>
                <w:color w:val="auto"/>
                <w:lang w:val="en-US" w:eastAsia="zh-CN"/>
              </w:rPr>
              <w:t>处理能力为</w:t>
            </w:r>
            <w:r>
              <w:rPr>
                <w:rFonts w:hint="eastAsia"/>
                <w:color w:val="auto"/>
                <w:lang w:val="en-US" w:eastAsia="zh-CN"/>
              </w:rPr>
              <w:t>45</w:t>
            </w:r>
            <w:r>
              <w:rPr>
                <w:rFonts w:hint="default" w:eastAsia="宋体"/>
                <w:color w:val="auto"/>
                <w:lang w:val="en-US" w:eastAsia="zh-CN"/>
              </w:rPr>
              <w:t>×10</w:t>
            </w:r>
            <w:r>
              <w:rPr>
                <w:rFonts w:hint="default" w:eastAsia="宋体"/>
                <w:color w:val="auto"/>
                <w:vertAlign w:val="superscript"/>
                <w:lang w:val="en-US" w:eastAsia="zh-CN"/>
              </w:rPr>
              <w:t>4</w:t>
            </w:r>
            <w:r>
              <w:rPr>
                <w:rFonts w:hint="default" w:eastAsia="宋体"/>
                <w:color w:val="auto"/>
                <w:lang w:val="en-US" w:eastAsia="zh-CN"/>
              </w:rPr>
              <w:t>m</w:t>
            </w:r>
            <w:r>
              <w:rPr>
                <w:rFonts w:hint="default" w:eastAsia="宋体"/>
                <w:color w:val="auto"/>
                <w:vertAlign w:val="superscript"/>
                <w:lang w:val="en-US" w:eastAsia="zh-CN"/>
              </w:rPr>
              <w:t>3</w:t>
            </w:r>
            <w:r>
              <w:rPr>
                <w:rFonts w:hint="default" w:eastAsia="宋体"/>
                <w:color w:val="auto"/>
                <w:lang w:val="en-US" w:eastAsia="zh-CN"/>
              </w:rPr>
              <w:t>/a，本工程共产生废弃水基泥浆总量为</w:t>
            </w:r>
            <w:r>
              <w:rPr>
                <w:rFonts w:hint="eastAsia"/>
                <w:color w:val="auto"/>
                <w:lang w:val="en-US" w:eastAsia="zh-CN"/>
              </w:rPr>
              <w:t>24960m</w:t>
            </w:r>
            <w:r>
              <w:rPr>
                <w:rFonts w:hint="eastAsia"/>
                <w:color w:val="auto"/>
                <w:vertAlign w:val="superscript"/>
                <w:lang w:val="en-US" w:eastAsia="zh-CN"/>
              </w:rPr>
              <w:t>3</w:t>
            </w:r>
            <w:r>
              <w:rPr>
                <w:rFonts w:hint="default" w:eastAsia="宋体"/>
                <w:color w:val="auto"/>
                <w:lang w:val="en-US" w:eastAsia="zh-CN"/>
              </w:rPr>
              <w:t>。目前</w:t>
            </w:r>
            <w:r>
              <w:rPr>
                <w:rFonts w:hint="eastAsia"/>
                <w:color w:val="auto"/>
                <w:lang w:val="en-US" w:eastAsia="zh-CN" w:bidi="ar"/>
              </w:rPr>
              <w:t>该站</w:t>
            </w:r>
            <w:r>
              <w:rPr>
                <w:rFonts w:hint="default" w:eastAsia="宋体"/>
                <w:color w:val="auto"/>
                <w:lang w:val="en-US" w:eastAsia="zh-CN"/>
              </w:rPr>
              <w:t>剩余处理量为</w:t>
            </w:r>
            <w:r>
              <w:rPr>
                <w:rFonts w:hint="eastAsia"/>
                <w:color w:val="auto"/>
                <w:lang w:val="en-US" w:eastAsia="zh-CN"/>
              </w:rPr>
              <w:t>40</w:t>
            </w:r>
            <w:r>
              <w:rPr>
                <w:rFonts w:hint="default" w:eastAsia="宋体"/>
                <w:color w:val="auto"/>
                <w:lang w:val="en-US" w:eastAsia="zh-CN"/>
              </w:rPr>
              <w:t>×10</w:t>
            </w:r>
            <w:r>
              <w:rPr>
                <w:rFonts w:hint="default" w:eastAsia="宋体"/>
                <w:color w:val="auto"/>
                <w:vertAlign w:val="superscript"/>
                <w:lang w:val="en-US" w:eastAsia="zh-CN"/>
              </w:rPr>
              <w:t>4</w:t>
            </w:r>
            <w:r>
              <w:rPr>
                <w:rFonts w:hint="default" w:eastAsia="宋体"/>
                <w:color w:val="auto"/>
                <w:lang w:val="en-US" w:eastAsia="zh-CN"/>
              </w:rPr>
              <w:t xml:space="preserve"> m</w:t>
            </w:r>
            <w:r>
              <w:rPr>
                <w:rFonts w:hint="default" w:eastAsia="宋体"/>
                <w:color w:val="auto"/>
                <w:vertAlign w:val="superscript"/>
                <w:lang w:val="en-US" w:eastAsia="zh-CN"/>
              </w:rPr>
              <w:t>3</w:t>
            </w:r>
            <w:r>
              <w:rPr>
                <w:rFonts w:hint="default" w:eastAsia="宋体"/>
                <w:color w:val="auto"/>
                <w:lang w:val="en-US" w:eastAsia="zh-CN"/>
              </w:rPr>
              <w:t>/a，能满足本工程处理需要。该站环评批复文号为同环建字[20</w:t>
            </w:r>
            <w:r>
              <w:rPr>
                <w:rFonts w:hint="eastAsia"/>
                <w:color w:val="auto"/>
                <w:lang w:val="en-US" w:eastAsia="zh-CN"/>
              </w:rPr>
              <w:t>21</w:t>
            </w:r>
            <w:r>
              <w:rPr>
                <w:rFonts w:hint="default" w:eastAsia="宋体"/>
                <w:color w:val="auto"/>
                <w:lang w:val="en-US" w:eastAsia="zh-CN"/>
              </w:rPr>
              <w:t>] 6号</w:t>
            </w:r>
            <w:r>
              <w:rPr>
                <w:rFonts w:hint="eastAsia"/>
                <w:color w:val="auto"/>
                <w:lang w:val="en-US" w:eastAsia="zh-CN"/>
              </w:rPr>
              <w:t>。</w:t>
            </w:r>
          </w:p>
          <w:p>
            <w:pPr>
              <w:pStyle w:val="79"/>
              <w:keepNext w:val="0"/>
              <w:keepLines w:val="0"/>
              <w:suppressLineNumbers w:val="0"/>
              <w:spacing w:before="0" w:beforeAutospacing="0" w:after="0" w:afterAutospacing="0" w:line="340" w:lineRule="exact"/>
              <w:ind w:left="0" w:right="0"/>
              <w:jc w:val="left"/>
              <w:rPr>
                <w:rFonts w:hint="eastAsia"/>
                <w:color w:val="auto"/>
                <w:lang w:val="en-US" w:eastAsia="zh-CN"/>
              </w:rPr>
            </w:pPr>
            <w:r>
              <w:rPr>
                <w:rFonts w:hint="eastAsia" w:eastAsia="宋体"/>
                <w:color w:val="auto"/>
                <w:lang w:val="en-US" w:eastAsia="zh-CN" w:bidi="ar"/>
              </w:rPr>
              <w:t>本工程钻井过程中产生的</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r>
              <w:rPr>
                <w:rFonts w:hint="default" w:eastAsia="宋体"/>
                <w:color w:val="auto"/>
                <w:lang w:val="en-US" w:eastAsia="zh-CN"/>
              </w:rPr>
              <w:t>本工程共产生废弃</w:t>
            </w:r>
            <w:r>
              <w:rPr>
                <w:rFonts w:hint="eastAsia"/>
                <w:color w:val="auto"/>
                <w:lang w:val="en-US" w:eastAsia="zh-CN"/>
              </w:rPr>
              <w:t>油</w:t>
            </w:r>
            <w:r>
              <w:rPr>
                <w:rFonts w:hint="default" w:eastAsia="宋体"/>
                <w:color w:val="auto"/>
                <w:lang w:val="en-US" w:eastAsia="zh-CN"/>
              </w:rPr>
              <w:t>基泥浆总量为</w:t>
            </w:r>
            <w:r>
              <w:rPr>
                <w:rFonts w:hint="eastAsia"/>
                <w:color w:val="auto"/>
                <w:lang w:val="en-US" w:eastAsia="zh-CN"/>
              </w:rPr>
              <w:t>25860m</w:t>
            </w:r>
            <w:r>
              <w:rPr>
                <w:rFonts w:hint="eastAsia"/>
                <w:color w:val="auto"/>
                <w:vertAlign w:val="superscript"/>
                <w:lang w:val="en-US" w:eastAsia="zh-CN"/>
              </w:rPr>
              <w:t>3</w:t>
            </w:r>
            <w:r>
              <w:rPr>
                <w:rFonts w:hint="default" w:eastAsia="宋体"/>
                <w:color w:val="auto"/>
                <w:lang w:val="en-US" w:eastAsia="zh-CN"/>
              </w:rPr>
              <w:t>。目前处理</w:t>
            </w:r>
            <w:r>
              <w:rPr>
                <w:rFonts w:hint="eastAsia"/>
                <w:color w:val="auto"/>
                <w:lang w:val="en-US" w:eastAsia="zh-CN"/>
              </w:rPr>
              <w:t>负荷</w:t>
            </w:r>
            <w:r>
              <w:rPr>
                <w:rFonts w:hint="default" w:eastAsia="宋体"/>
                <w:color w:val="auto"/>
                <w:lang w:val="en-US" w:eastAsia="zh-CN"/>
              </w:rPr>
              <w:t>为</w:t>
            </w:r>
            <w:r>
              <w:rPr>
                <w:rFonts w:hint="eastAsia"/>
                <w:color w:val="auto"/>
                <w:lang w:val="en-US" w:eastAsia="zh-CN"/>
              </w:rPr>
              <w:t>5</w:t>
            </w:r>
            <w:r>
              <w:rPr>
                <w:rFonts w:hint="default" w:eastAsia="宋体"/>
                <w:color w:val="auto"/>
                <w:lang w:val="en-US" w:eastAsia="zh-CN"/>
              </w:rPr>
              <w:t>×10</w:t>
            </w:r>
            <w:r>
              <w:rPr>
                <w:rFonts w:hint="default" w:eastAsia="宋体"/>
                <w:color w:val="auto"/>
                <w:vertAlign w:val="superscript"/>
                <w:lang w:val="en-US" w:eastAsia="zh-CN"/>
              </w:rPr>
              <w:t>4</w:t>
            </w:r>
            <w:r>
              <w:rPr>
                <w:rFonts w:hint="default" w:eastAsia="宋体"/>
                <w:color w:val="auto"/>
                <w:lang w:val="en-US" w:eastAsia="zh-CN"/>
              </w:rPr>
              <w:t xml:space="preserve"> m</w:t>
            </w:r>
            <w:r>
              <w:rPr>
                <w:rFonts w:hint="default" w:eastAsia="宋体"/>
                <w:color w:val="auto"/>
                <w:vertAlign w:val="superscript"/>
                <w:lang w:val="en-US" w:eastAsia="zh-CN"/>
              </w:rPr>
              <w:t>3</w:t>
            </w:r>
            <w:r>
              <w:rPr>
                <w:rFonts w:hint="default" w:eastAsia="宋体"/>
                <w:color w:val="auto"/>
                <w:lang w:val="en-US" w:eastAsia="zh-CN"/>
              </w:rPr>
              <w:t>/a，能满足本工程</w:t>
            </w:r>
            <w:r>
              <w:rPr>
                <w:rFonts w:hint="eastAsia"/>
                <w:color w:val="auto"/>
                <w:lang w:val="en-US" w:eastAsia="zh-CN"/>
              </w:rPr>
              <w:t>处理需求</w:t>
            </w:r>
            <w:r>
              <w:rPr>
                <w:rFonts w:hint="default" w:eastAsia="宋体"/>
                <w:color w:val="auto"/>
                <w:lang w:val="en-US" w:eastAsia="zh-CN"/>
              </w:rPr>
              <w:t>。该站环评批复文号为</w:t>
            </w:r>
            <w:r>
              <w:rPr>
                <w:rFonts w:hint="eastAsia"/>
                <w:color w:val="auto"/>
                <w:lang w:val="en-US" w:eastAsia="zh-CN"/>
              </w:rPr>
              <w:t>庆环审</w:t>
            </w:r>
            <w:r>
              <w:rPr>
                <w:rFonts w:hint="default" w:eastAsia="宋体"/>
                <w:color w:val="auto"/>
                <w:lang w:val="en-US" w:eastAsia="zh-CN"/>
              </w:rPr>
              <w:t>[20</w:t>
            </w:r>
            <w:r>
              <w:rPr>
                <w:rFonts w:hint="eastAsia"/>
                <w:color w:val="auto"/>
                <w:lang w:val="en-US" w:eastAsia="zh-CN"/>
              </w:rPr>
              <w:t>20</w:t>
            </w:r>
            <w:r>
              <w:rPr>
                <w:rFonts w:hint="default" w:eastAsia="宋体"/>
                <w:color w:val="auto"/>
                <w:lang w:val="en-US" w:eastAsia="zh-CN"/>
              </w:rPr>
              <w:t xml:space="preserve">] </w:t>
            </w:r>
            <w:r>
              <w:rPr>
                <w:rFonts w:hint="eastAsia"/>
                <w:color w:val="auto"/>
                <w:lang w:val="en-US" w:eastAsia="zh-CN"/>
              </w:rPr>
              <w:t>125</w:t>
            </w:r>
            <w:r>
              <w:rPr>
                <w:rFonts w:hint="default" w:eastAsia="宋体"/>
                <w:color w:val="auto"/>
                <w:lang w:val="en-US" w:eastAsia="zh-CN"/>
              </w:rPr>
              <w:t>号</w:t>
            </w:r>
            <w:r>
              <w:rPr>
                <w:rFonts w:hint="eastAsia"/>
                <w:color w:val="auto"/>
                <w:lang w:val="en-US" w:eastAsia="zh-CN"/>
              </w:rPr>
              <w:t>。</w:t>
            </w:r>
          </w:p>
          <w:p>
            <w:pPr>
              <w:pStyle w:val="79"/>
              <w:keepNext w:val="0"/>
              <w:keepLines w:val="0"/>
              <w:suppressLineNumbers w:val="0"/>
              <w:spacing w:before="0" w:beforeAutospacing="0" w:after="0" w:afterAutospacing="0" w:line="340" w:lineRule="exact"/>
              <w:ind w:left="0" w:right="0"/>
              <w:jc w:val="left"/>
              <w:rPr>
                <w:rFonts w:hint="default" w:eastAsia="宋体"/>
                <w:color w:val="auto"/>
                <w:lang w:val="en-US" w:eastAsia="zh-CN"/>
              </w:rPr>
            </w:pP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 w:type="dxa"/>
            <w:tcBorders>
              <w:lef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3</w:t>
            </w:r>
            <w:r>
              <w:rPr>
                <w:rFonts w:hint="eastAsia" w:eastAsia="宋体"/>
                <w:color w:val="auto"/>
                <w:lang w:val="en-US" w:eastAsia="zh-CN"/>
              </w:rPr>
              <w:t>6</w:t>
            </w:r>
          </w:p>
        </w:tc>
        <w:tc>
          <w:tcPr>
            <w:tcW w:w="504" w:type="dxa"/>
            <w:vMerge w:val="continue"/>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p>
        </w:tc>
        <w:tc>
          <w:tcPr>
            <w:tcW w:w="1377" w:type="dxa"/>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hAnsi="宋体" w:eastAsia="宋体"/>
                <w:color w:val="auto"/>
                <w:lang w:val="en-US" w:eastAsia="zh-CN"/>
              </w:rPr>
              <w:t>一般固废处置</w:t>
            </w:r>
          </w:p>
        </w:tc>
        <w:tc>
          <w:tcPr>
            <w:tcW w:w="6154" w:type="dxa"/>
            <w:gridSpan w:val="2"/>
            <w:vAlign w:val="center"/>
          </w:tcPr>
          <w:p>
            <w:pPr>
              <w:pStyle w:val="79"/>
              <w:keepNext w:val="0"/>
              <w:keepLines w:val="0"/>
              <w:suppressLineNumbers w:val="0"/>
              <w:spacing w:before="0" w:beforeAutospacing="0" w:after="0" w:afterAutospacing="0"/>
              <w:ind w:left="0" w:right="0"/>
              <w:rPr>
                <w:rFonts w:hint="eastAsia" w:eastAsia="宋体"/>
                <w:color w:val="auto"/>
                <w:lang w:val="en-US" w:eastAsia="zh-CN"/>
              </w:rPr>
            </w:pPr>
            <w:r>
              <w:rPr>
                <w:rFonts w:hint="eastAsia" w:hAnsi="宋体"/>
                <w:color w:val="auto"/>
              </w:rPr>
              <w:t>大庆市岗源环保科技</w:t>
            </w:r>
            <w:r>
              <w:rPr>
                <w:rFonts w:hint="eastAsia" w:ascii="宋体" w:cs="宋体"/>
                <w:color w:val="auto"/>
                <w:kern w:val="0"/>
                <w:szCs w:val="21"/>
              </w:rPr>
              <w:t>有限责任公司</w:t>
            </w:r>
            <w:r>
              <w:rPr>
                <w:rFonts w:hint="default" w:hAnsi="宋体"/>
                <w:color w:val="auto"/>
              </w:rPr>
              <w:t>工业</w:t>
            </w:r>
            <w:r>
              <w:rPr>
                <w:rFonts w:hint="eastAsia" w:hAnsi="宋体"/>
                <w:color w:val="auto"/>
              </w:rPr>
              <w:t>废弃物处置中心处理能力</w:t>
            </w:r>
            <w:r>
              <w:rPr>
                <w:rFonts w:hint="eastAsia" w:ascii="宋体" w:cs="宋体"/>
                <w:color w:val="auto"/>
                <w:kern w:val="0"/>
                <w:szCs w:val="21"/>
              </w:rPr>
              <w:t>为</w:t>
            </w:r>
            <w:r>
              <w:rPr>
                <w:rFonts w:hint="eastAsia"/>
                <w:color w:val="auto"/>
                <w:kern w:val="0"/>
                <w:szCs w:val="21"/>
              </w:rPr>
              <w:t>14000t/a</w:t>
            </w:r>
            <w:r>
              <w:rPr>
                <w:rFonts w:hint="eastAsia" w:ascii="宋体" w:cs="宋体"/>
                <w:color w:val="auto"/>
                <w:kern w:val="0"/>
                <w:szCs w:val="21"/>
              </w:rPr>
              <w:t>，本工程产生</w:t>
            </w:r>
            <w:r>
              <w:rPr>
                <w:rFonts w:hint="default" w:hAnsi="宋体"/>
                <w:color w:val="auto"/>
              </w:rPr>
              <w:t>一般固废包装袋</w:t>
            </w:r>
            <w:r>
              <w:rPr>
                <w:rFonts w:hint="eastAsia" w:ascii="宋体" w:cs="宋体"/>
                <w:color w:val="auto"/>
                <w:kern w:val="0"/>
                <w:szCs w:val="21"/>
              </w:rPr>
              <w:t>量约为</w:t>
            </w:r>
            <w:r>
              <w:rPr>
                <w:rFonts w:hint="default"/>
                <w:color w:val="auto"/>
                <w:kern w:val="0"/>
                <w:szCs w:val="21"/>
              </w:rPr>
              <w:t>0.</w:t>
            </w:r>
            <w:r>
              <w:rPr>
                <w:rFonts w:hint="eastAsia"/>
                <w:color w:val="auto"/>
                <w:kern w:val="0"/>
                <w:szCs w:val="21"/>
                <w:lang w:val="en-US" w:eastAsia="zh-CN"/>
              </w:rPr>
              <w:t>045</w:t>
            </w:r>
            <w:r>
              <w:rPr>
                <w:rFonts w:hint="default"/>
                <w:color w:val="auto"/>
                <w:kern w:val="0"/>
                <w:szCs w:val="21"/>
              </w:rPr>
              <w:t>t</w:t>
            </w:r>
            <w:r>
              <w:rPr>
                <w:rFonts w:hint="eastAsia" w:ascii="宋体" w:cs="宋体"/>
                <w:color w:val="auto"/>
                <w:kern w:val="0"/>
                <w:szCs w:val="21"/>
              </w:rPr>
              <w:t>，处理能力满足本工程新增固废处理要求。</w:t>
            </w:r>
            <w:r>
              <w:rPr>
                <w:rFonts w:hint="eastAsia" w:hAnsi="宋体"/>
                <w:color w:val="auto"/>
              </w:rPr>
              <w:t>大庆市岗源环保科技</w:t>
            </w:r>
            <w:r>
              <w:rPr>
                <w:rFonts w:hint="eastAsia" w:ascii="宋体" w:cs="宋体"/>
                <w:color w:val="auto"/>
                <w:kern w:val="0"/>
                <w:szCs w:val="21"/>
              </w:rPr>
              <w:t>有限责任公司</w:t>
            </w:r>
            <w:r>
              <w:rPr>
                <w:rFonts w:hint="default" w:hAnsi="宋体"/>
                <w:color w:val="auto"/>
              </w:rPr>
              <w:t>工业</w:t>
            </w:r>
            <w:r>
              <w:rPr>
                <w:rFonts w:hint="eastAsia" w:hAnsi="宋体"/>
                <w:color w:val="auto"/>
              </w:rPr>
              <w:t>废弃物处置中心</w:t>
            </w:r>
            <w:r>
              <w:rPr>
                <w:rFonts w:hint="eastAsia" w:ascii="宋体" w:cs="宋体"/>
                <w:color w:val="auto"/>
                <w:kern w:val="0"/>
                <w:szCs w:val="21"/>
              </w:rPr>
              <w:t>于</w:t>
            </w:r>
            <w:r>
              <w:rPr>
                <w:rFonts w:hint="default"/>
                <w:color w:val="auto"/>
                <w:kern w:val="0"/>
                <w:szCs w:val="21"/>
              </w:rPr>
              <w:t>201</w:t>
            </w:r>
            <w:r>
              <w:rPr>
                <w:rFonts w:hint="eastAsia"/>
                <w:color w:val="auto"/>
                <w:kern w:val="0"/>
                <w:szCs w:val="21"/>
              </w:rPr>
              <w:t>6</w:t>
            </w:r>
            <w:r>
              <w:rPr>
                <w:rFonts w:hint="eastAsia" w:ascii="宋体" w:cs="宋体"/>
                <w:color w:val="auto"/>
                <w:kern w:val="0"/>
                <w:szCs w:val="21"/>
              </w:rPr>
              <w:t>年取得环评批复，批复文号为庆环审</w:t>
            </w:r>
            <w:r>
              <w:rPr>
                <w:rFonts w:hint="default"/>
                <w:color w:val="auto"/>
                <w:kern w:val="0"/>
                <w:szCs w:val="21"/>
              </w:rPr>
              <w:t>[20</w:t>
            </w:r>
            <w:r>
              <w:rPr>
                <w:rFonts w:hint="eastAsia"/>
                <w:color w:val="auto"/>
                <w:kern w:val="0"/>
                <w:szCs w:val="21"/>
              </w:rPr>
              <w:t>16</w:t>
            </w:r>
            <w:r>
              <w:rPr>
                <w:rFonts w:hint="default"/>
                <w:color w:val="auto"/>
                <w:kern w:val="0"/>
                <w:szCs w:val="21"/>
              </w:rPr>
              <w:t>]</w:t>
            </w:r>
            <w:r>
              <w:rPr>
                <w:rFonts w:hint="eastAsia"/>
                <w:color w:val="auto"/>
                <w:kern w:val="0"/>
                <w:szCs w:val="21"/>
              </w:rPr>
              <w:t>280</w:t>
            </w:r>
            <w:r>
              <w:rPr>
                <w:rFonts w:hint="eastAsia" w:ascii="宋体" w:cs="宋体"/>
                <w:color w:val="auto"/>
                <w:kern w:val="0"/>
                <w:szCs w:val="21"/>
              </w:rPr>
              <w:t>号，</w:t>
            </w:r>
            <w:r>
              <w:rPr>
                <w:rFonts w:hint="eastAsia"/>
                <w:color w:val="auto"/>
                <w:szCs w:val="21"/>
              </w:rPr>
              <w:t>目前</w:t>
            </w:r>
            <w:r>
              <w:rPr>
                <w:rFonts w:hint="default"/>
                <w:color w:val="auto"/>
                <w:szCs w:val="21"/>
              </w:rPr>
              <w:t>正在组织竣工环境保护验收</w:t>
            </w:r>
            <w:r>
              <w:rPr>
                <w:rFonts w:hint="eastAsia"/>
                <w:color w:val="auto"/>
                <w:szCs w:val="21"/>
                <w:lang w:eastAsia="zh-CN"/>
              </w:rPr>
              <w:t>。</w:t>
            </w:r>
          </w:p>
        </w:tc>
        <w:tc>
          <w:tcPr>
            <w:tcW w:w="757" w:type="dxa"/>
            <w:tcBorders>
              <w:right w:val="single" w:color="auto" w:sz="4" w:space="0"/>
            </w:tcBorders>
            <w:vAlign w:val="center"/>
          </w:tcPr>
          <w:p>
            <w:pPr>
              <w:pStyle w:val="79"/>
              <w:keepNext w:val="0"/>
              <w:keepLines w:val="0"/>
              <w:suppressLineNumbers w:val="0"/>
              <w:spacing w:before="0" w:beforeAutospacing="0" w:after="0" w:afterAutospacing="0"/>
              <w:ind w:left="0" w:right="0"/>
              <w:jc w:val="center"/>
              <w:rPr>
                <w:rFonts w:hint="default" w:eastAsia="宋体"/>
                <w:color w:val="auto"/>
                <w:lang w:val="en-US" w:eastAsia="zh-CN"/>
              </w:rPr>
            </w:pPr>
            <w:r>
              <w:rPr>
                <w:rFonts w:hint="default" w:eastAsia="宋体"/>
                <w:color w:val="auto"/>
                <w:lang w:val="en-US" w:eastAsia="zh-CN"/>
              </w:rPr>
              <w:t>/</w:t>
            </w:r>
          </w:p>
        </w:tc>
      </w:tr>
    </w:tbl>
    <w:p>
      <w:pPr>
        <w:rPr>
          <w:rFonts w:hint="eastAsia"/>
          <w:color w:val="auto"/>
        </w:rPr>
      </w:pPr>
    </w:p>
    <w:p>
      <w:pPr>
        <w:pStyle w:val="5"/>
        <w:bidi w:val="0"/>
        <w:rPr>
          <w:color w:val="auto"/>
        </w:rPr>
      </w:pPr>
      <w:bookmarkStart w:id="385" w:name="_Toc88146588"/>
      <w:r>
        <w:rPr>
          <w:color w:val="auto"/>
        </w:rPr>
        <w:t>拟钻井分布情况</w:t>
      </w:r>
      <w:bookmarkEnd w:id="385"/>
    </w:p>
    <w:p>
      <w:pPr>
        <w:pStyle w:val="33"/>
        <w:bidi w:val="0"/>
        <w:rPr>
          <w:rFonts w:hint="eastAsia" w:eastAsia="宋体"/>
          <w:color w:val="auto"/>
          <w:lang w:eastAsia="zh-CN"/>
        </w:rPr>
      </w:pPr>
      <w:r>
        <w:rPr>
          <w:color w:val="auto"/>
        </w:rPr>
        <w:t>新钻</w:t>
      </w:r>
      <w:r>
        <w:rPr>
          <w:rFonts w:hint="eastAsia"/>
          <w:color w:val="auto"/>
          <w:lang w:val="en-US" w:eastAsia="zh-CN"/>
        </w:rPr>
        <w:t>30</w:t>
      </w:r>
      <w:r>
        <w:rPr>
          <w:color w:val="auto"/>
        </w:rPr>
        <w:t>口井，完钻</w:t>
      </w:r>
      <w:r>
        <w:rPr>
          <w:rFonts w:hint="eastAsia"/>
          <w:color w:val="auto"/>
          <w:lang w:eastAsia="zh-CN"/>
        </w:rPr>
        <w:t>总进尺</w:t>
      </w:r>
      <w:r>
        <w:rPr>
          <w:rFonts w:hint="eastAsia"/>
          <w:color w:val="auto"/>
          <w:lang w:val="en-US" w:eastAsia="zh-CN"/>
        </w:rPr>
        <w:t>105020</w:t>
      </w:r>
      <w:r>
        <w:rPr>
          <w:color w:val="auto"/>
          <w:lang w:val="zh-CN"/>
        </w:rPr>
        <w:t>m</w:t>
      </w:r>
      <w:r>
        <w:rPr>
          <w:color w:val="auto"/>
        </w:rPr>
        <w:t>。项目所在地位于黑龙江省</w:t>
      </w:r>
      <w:r>
        <w:rPr>
          <w:rFonts w:hint="eastAsia"/>
          <w:color w:val="auto"/>
          <w:lang w:eastAsia="zh-CN"/>
        </w:rPr>
        <w:t>安达市升平镇</w:t>
      </w:r>
      <w:r>
        <w:rPr>
          <w:color w:val="auto"/>
        </w:rPr>
        <w:t>境内，</w:t>
      </w:r>
      <w:r>
        <w:rPr>
          <w:rFonts w:hint="eastAsia"/>
          <w:color w:val="auto"/>
          <w:lang w:eastAsia="zh-CN"/>
        </w:rPr>
        <w:t>永久占地</w:t>
      </w:r>
      <w:r>
        <w:rPr>
          <w:color w:val="auto"/>
        </w:rPr>
        <w:t>所占地类为耕地（基本农田）。拟钻井井位分布情况见表3.1-2</w:t>
      </w:r>
      <w:r>
        <w:rPr>
          <w:rFonts w:hint="eastAsia"/>
          <w:color w:val="auto"/>
          <w:lang w:eastAsia="zh-CN"/>
        </w:rPr>
        <w:t>。</w:t>
      </w:r>
    </w:p>
    <w:p>
      <w:pPr>
        <w:pStyle w:val="7"/>
        <w:bidi w:val="0"/>
        <w:rPr>
          <w:rFonts w:hint="eastAsia"/>
          <w:color w:val="auto"/>
        </w:rPr>
      </w:pPr>
      <w:r>
        <w:rPr>
          <w:color w:val="auto"/>
        </w:rPr>
        <w:t>钻井分布情况</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096"/>
        <w:gridCol w:w="1564"/>
        <w:gridCol w:w="1551"/>
        <w:gridCol w:w="1391"/>
        <w:gridCol w:w="1292"/>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平台</w:t>
            </w:r>
          </w:p>
        </w:tc>
        <w:tc>
          <w:tcPr>
            <w:tcW w:w="992"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井位</w:t>
            </w:r>
          </w:p>
        </w:tc>
        <w:tc>
          <w:tcPr>
            <w:tcW w:w="2818" w:type="dxa"/>
            <w:gridSpan w:val="2"/>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井口坐标</w:t>
            </w:r>
          </w:p>
        </w:tc>
        <w:tc>
          <w:tcPr>
            <w:tcW w:w="1259"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占地性质</w:t>
            </w:r>
          </w:p>
        </w:tc>
        <w:tc>
          <w:tcPr>
            <w:tcW w:w="1169"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占地性质</w:t>
            </w:r>
          </w:p>
        </w:tc>
        <w:tc>
          <w:tcPr>
            <w:tcW w:w="931"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default"/>
                <w:color w:val="auto"/>
              </w:rPr>
              <w:t>井型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992"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x</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y</w:t>
            </w:r>
          </w:p>
        </w:tc>
        <w:tc>
          <w:tcPr>
            <w:tcW w:w="1259"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1169"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931"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A井场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SPKP3</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21675053.21</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5123359.07</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SPKP4</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21675063.21</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5123359.07</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SPKP5</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21675073.21</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5123359.07</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B井场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SPKP6</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21675293.13</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5123263.57</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7</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21675293.13</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5123303.57</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8</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21675303.13</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5123303.57</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9</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21675313.13</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5123303.57</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default"/>
                <w:color w:val="auto"/>
              </w:rPr>
              <w:t>SPKP</w:t>
            </w:r>
            <w:r>
              <w:rPr>
                <w:rFonts w:hint="eastAsia"/>
                <w:color w:val="auto"/>
              </w:rPr>
              <w:t>13井场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SPKP13</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21677000</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5121730</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C井场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w:t>
            </w:r>
            <w:r>
              <w:rPr>
                <w:rFonts w:hint="eastAsia"/>
                <w:color w:val="auto"/>
              </w:rPr>
              <w:t>4</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21676322.4</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5121594.5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w:t>
            </w:r>
            <w:r>
              <w:rPr>
                <w:rFonts w:hint="eastAsia"/>
                <w:color w:val="auto"/>
              </w:rPr>
              <w:t>5</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21676332.4</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5121594.5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w:t>
            </w:r>
            <w:r>
              <w:rPr>
                <w:rFonts w:hint="eastAsia"/>
                <w:color w:val="auto"/>
              </w:rPr>
              <w:t>6</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21676342.4</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5121594.5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top"/>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SPKP17</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21676362.4</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5121594.5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20</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21676352.4</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5121594.5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D井场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w:t>
            </w:r>
            <w:r>
              <w:rPr>
                <w:rFonts w:hint="eastAsia"/>
                <w:color w:val="auto"/>
              </w:rPr>
              <w:t>8</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21676520</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5122862</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w:t>
            </w:r>
            <w:r>
              <w:rPr>
                <w:rFonts w:hint="eastAsia"/>
                <w:color w:val="auto"/>
              </w:rPr>
              <w:t>9</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21676530</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5122862</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SPKP21井场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SPKP21</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21677885.89</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5121549.15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E井场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w:t>
            </w:r>
            <w:r>
              <w:rPr>
                <w:rFonts w:hint="eastAsia"/>
                <w:color w:val="auto"/>
              </w:rPr>
              <w:t>0</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21677048</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5122965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w:t>
            </w:r>
            <w:r>
              <w:rPr>
                <w:rFonts w:hint="eastAsia"/>
                <w:color w:val="auto"/>
              </w:rPr>
              <w:t>1</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21677058</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5122965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SPKP1</w:t>
            </w:r>
            <w:r>
              <w:rPr>
                <w:rFonts w:hint="eastAsia"/>
                <w:color w:val="auto"/>
              </w:rPr>
              <w:t>2</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21677068</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5122965</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tcBorders>
              <w:top w:val="single" w:color="auto" w:sz="4" w:space="0"/>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F井场</w:t>
            </w: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24</w:t>
            </w:r>
          </w:p>
        </w:tc>
        <w:tc>
          <w:tcPr>
            <w:tcW w:w="1415"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21677457.9</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5121297.5</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tcBorders>
              <w:top w:val="single" w:color="auto" w:sz="4" w:space="0"/>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25</w:t>
            </w:r>
          </w:p>
        </w:tc>
        <w:tc>
          <w:tcPr>
            <w:tcW w:w="1415"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21677467.9</w:t>
            </w:r>
          </w:p>
        </w:tc>
        <w:tc>
          <w:tcPr>
            <w:tcW w:w="1403"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5121297.5</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G井场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22</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21677460</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5120043</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23</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21677470</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5120043</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26</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21677500</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5120043</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27</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21677490</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5120043</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28</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21677480</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5120043</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H井场</w:t>
            </w: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29</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21677417.5</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5119701.9</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30</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21677407.5</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5119701.9</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31</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21677397.5</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5119701.9</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4"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p>
        </w:tc>
        <w:tc>
          <w:tcPr>
            <w:tcW w:w="99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SPKP</w:t>
            </w:r>
            <w:r>
              <w:rPr>
                <w:rFonts w:hint="eastAsia"/>
                <w:color w:val="auto"/>
              </w:rPr>
              <w:t>32</w:t>
            </w:r>
          </w:p>
        </w:tc>
        <w:tc>
          <w:tcPr>
            <w:tcW w:w="1415"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21677387.5</w:t>
            </w:r>
          </w:p>
        </w:tc>
        <w:tc>
          <w:tcPr>
            <w:tcW w:w="140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5119701.9</w:t>
            </w:r>
          </w:p>
        </w:tc>
        <w:tc>
          <w:tcPr>
            <w:tcW w:w="125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耕地</w:t>
            </w:r>
          </w:p>
        </w:tc>
        <w:tc>
          <w:tcPr>
            <w:tcW w:w="1169"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基本农田</w:t>
            </w:r>
          </w:p>
        </w:tc>
        <w:tc>
          <w:tcPr>
            <w:tcW w:w="93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水平</w:t>
            </w:r>
            <w:r>
              <w:rPr>
                <w:rFonts w:hint="default"/>
                <w:color w:val="auto"/>
              </w:rPr>
              <w:t>井</w:t>
            </w:r>
          </w:p>
        </w:tc>
      </w:tr>
    </w:tbl>
    <w:p>
      <w:pPr>
        <w:rPr>
          <w:rFonts w:hint="eastAsia"/>
          <w:color w:val="auto"/>
        </w:rPr>
      </w:pPr>
    </w:p>
    <w:p>
      <w:pPr>
        <w:pStyle w:val="5"/>
        <w:spacing w:before="156" w:after="156"/>
        <w:rPr>
          <w:color w:val="auto"/>
        </w:rPr>
      </w:pPr>
      <w:bookmarkStart w:id="386" w:name="_Toc49174805"/>
      <w:bookmarkStart w:id="387" w:name="_Toc49174980"/>
      <w:r>
        <w:rPr>
          <w:color w:val="auto"/>
        </w:rPr>
        <w:t>钻井工程方案简介</w:t>
      </w:r>
      <w:bookmarkEnd w:id="386"/>
      <w:bookmarkEnd w:id="387"/>
    </w:p>
    <w:p>
      <w:pPr>
        <w:pStyle w:val="6"/>
        <w:spacing w:before="156" w:after="156"/>
        <w:rPr>
          <w:color w:val="auto"/>
        </w:rPr>
      </w:pPr>
      <w:r>
        <w:rPr>
          <w:color w:val="auto"/>
        </w:rPr>
        <w:t>井身结构</w:t>
      </w:r>
    </w:p>
    <w:p>
      <w:pPr>
        <w:pStyle w:val="33"/>
        <w:rPr>
          <w:bCs/>
          <w:color w:val="auto"/>
        </w:rPr>
      </w:pPr>
      <w:r>
        <w:rPr>
          <w:rFonts w:hint="eastAsia"/>
          <w:color w:val="auto"/>
        </w:rPr>
        <w:t>本项目共计</w:t>
      </w:r>
      <w:r>
        <w:rPr>
          <w:color w:val="auto"/>
        </w:rPr>
        <w:t>钻井</w:t>
      </w:r>
      <w:r>
        <w:rPr>
          <w:rFonts w:hint="eastAsia"/>
          <w:color w:val="auto"/>
          <w:lang w:val="en-US" w:eastAsia="zh-CN"/>
        </w:rPr>
        <w:t>30</w:t>
      </w:r>
      <w:r>
        <w:rPr>
          <w:rFonts w:hint="eastAsia"/>
          <w:color w:val="auto"/>
        </w:rPr>
        <w:t>口，</w:t>
      </w:r>
      <w:r>
        <w:rPr>
          <w:rFonts w:hint="eastAsia"/>
          <w:color w:val="auto"/>
          <w:lang w:eastAsia="zh-CN"/>
        </w:rPr>
        <w:t>均为水平井</w:t>
      </w:r>
      <w:r>
        <w:rPr>
          <w:color w:val="auto"/>
        </w:rPr>
        <w:t>，项目钻井总进尺约</w:t>
      </w:r>
      <w:r>
        <w:rPr>
          <w:rFonts w:hint="eastAsia"/>
          <w:color w:val="auto"/>
          <w:lang w:val="en-US" w:eastAsia="zh-CN"/>
        </w:rPr>
        <w:t>105020</w:t>
      </w:r>
      <w:r>
        <w:rPr>
          <w:color w:val="auto"/>
        </w:rPr>
        <w:t>m，井身结构设计数据见表</w:t>
      </w:r>
      <w:r>
        <w:rPr>
          <w:rFonts w:hint="eastAsia"/>
          <w:color w:val="auto"/>
        </w:rPr>
        <w:t>3.1-</w:t>
      </w:r>
      <w:r>
        <w:rPr>
          <w:color w:val="auto"/>
        </w:rPr>
        <w:t>3，井</w:t>
      </w:r>
      <w:r>
        <w:rPr>
          <w:bCs/>
          <w:color w:val="auto"/>
        </w:rPr>
        <w:t>身结构图见</w:t>
      </w:r>
      <w:r>
        <w:rPr>
          <w:rFonts w:hint="eastAsia"/>
          <w:bCs/>
          <w:color w:val="auto"/>
          <w:lang w:eastAsia="zh-CN"/>
        </w:rPr>
        <w:t>下</w:t>
      </w:r>
      <w:r>
        <w:rPr>
          <w:bCs/>
          <w:color w:val="auto"/>
        </w:rPr>
        <w:t>图3.1-1</w:t>
      </w:r>
      <w:r>
        <w:rPr>
          <w:rFonts w:hint="eastAsia"/>
          <w:bCs/>
          <w:color w:val="auto"/>
        </w:rPr>
        <w:t>，井场</w:t>
      </w:r>
      <w:r>
        <w:rPr>
          <w:bCs/>
          <w:color w:val="auto"/>
        </w:rPr>
        <w:t>钻</w:t>
      </w:r>
      <w:r>
        <w:rPr>
          <w:rFonts w:hint="eastAsia"/>
          <w:bCs/>
          <w:color w:val="auto"/>
        </w:rPr>
        <w:t>井</w:t>
      </w:r>
      <w:r>
        <w:rPr>
          <w:bCs/>
          <w:color w:val="auto"/>
        </w:rPr>
        <w:t>施工平面</w:t>
      </w:r>
      <w:r>
        <w:rPr>
          <w:rFonts w:hint="eastAsia"/>
          <w:bCs/>
          <w:color w:val="auto"/>
        </w:rPr>
        <w:t>见附</w:t>
      </w:r>
      <w:r>
        <w:rPr>
          <w:bCs/>
          <w:color w:val="auto"/>
        </w:rPr>
        <w:t>图</w:t>
      </w:r>
      <w:r>
        <w:rPr>
          <w:rFonts w:hint="eastAsia"/>
          <w:bCs/>
          <w:color w:val="auto"/>
          <w:lang w:val="en-US" w:eastAsia="zh-CN"/>
        </w:rPr>
        <w:t>3.1-2</w:t>
      </w:r>
      <w:r>
        <w:rPr>
          <w:rFonts w:hint="eastAsia"/>
          <w:bCs/>
          <w:color w:val="auto"/>
        </w:rPr>
        <w:t>。</w:t>
      </w:r>
    </w:p>
    <w:p>
      <w:pPr>
        <w:pStyle w:val="7"/>
        <w:bidi w:val="0"/>
        <w:rPr>
          <w:color w:val="auto"/>
        </w:rPr>
      </w:pPr>
      <w:r>
        <w:rPr>
          <w:rFonts w:hint="eastAsia"/>
          <w:color w:val="auto"/>
          <w:lang w:eastAsia="zh-CN"/>
        </w:rPr>
        <w:t>水平</w:t>
      </w:r>
      <w:r>
        <w:rPr>
          <w:rFonts w:hint="eastAsia"/>
          <w:color w:val="auto"/>
        </w:rPr>
        <w:t>井身结构设计数据</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9"/>
        <w:gridCol w:w="1738"/>
        <w:gridCol w:w="1029"/>
        <w:gridCol w:w="2117"/>
        <w:gridCol w:w="1674"/>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19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开钻</w:t>
            </w:r>
          </w:p>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次序</w:t>
            </w:r>
          </w:p>
        </w:tc>
        <w:tc>
          <w:tcPr>
            <w:tcW w:w="1596"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钻头</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尺寸</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w:t>
            </w:r>
            <w:r>
              <w:rPr>
                <w:rFonts w:hint="default"/>
                <w:color w:val="auto"/>
              </w:rPr>
              <w:t>mm</w:t>
            </w:r>
            <w:r>
              <w:rPr>
                <w:rFonts w:hint="eastAsia"/>
                <w:color w:val="auto"/>
              </w:rPr>
              <w:t>）</w:t>
            </w:r>
          </w:p>
        </w:tc>
        <w:tc>
          <w:tcPr>
            <w:tcW w:w="945"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套管</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尺寸</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w:t>
            </w:r>
            <w:r>
              <w:rPr>
                <w:rFonts w:hint="default"/>
                <w:color w:val="auto"/>
              </w:rPr>
              <w:t>mm</w:t>
            </w:r>
            <w:r>
              <w:rPr>
                <w:rFonts w:hint="eastAsia"/>
                <w:color w:val="auto"/>
              </w:rPr>
              <w:t>）</w:t>
            </w:r>
          </w:p>
        </w:tc>
        <w:tc>
          <w:tcPr>
            <w:tcW w:w="1944"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套管柱</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类</w:t>
            </w:r>
            <w:r>
              <w:rPr>
                <w:rFonts w:hint="default"/>
                <w:color w:val="auto"/>
              </w:rPr>
              <w:t xml:space="preserve">  </w:t>
            </w:r>
            <w:r>
              <w:rPr>
                <w:rFonts w:hint="eastAsia"/>
                <w:color w:val="auto"/>
              </w:rPr>
              <w:t>型</w:t>
            </w:r>
          </w:p>
        </w:tc>
        <w:tc>
          <w:tcPr>
            <w:tcW w:w="1537"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套管下入</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地层层位</w:t>
            </w:r>
          </w:p>
        </w:tc>
        <w:tc>
          <w:tcPr>
            <w:tcW w:w="131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井深</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w:t>
            </w:r>
            <w:r>
              <w:rPr>
                <w:rFonts w:hint="default"/>
                <w:color w:val="auto"/>
              </w:rPr>
              <w:t>m</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19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导管</w:t>
            </w:r>
          </w:p>
        </w:tc>
        <w:tc>
          <w:tcPr>
            <w:tcW w:w="1596"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szCs w:val="18"/>
              </w:rPr>
              <w:t>914.4或砸导管</w:t>
            </w:r>
          </w:p>
        </w:tc>
        <w:tc>
          <w:tcPr>
            <w:tcW w:w="945"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762</w:t>
            </w:r>
          </w:p>
        </w:tc>
        <w:tc>
          <w:tcPr>
            <w:tcW w:w="1944"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导管</w:t>
            </w:r>
          </w:p>
        </w:tc>
        <w:tc>
          <w:tcPr>
            <w:tcW w:w="1537"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第四系</w:t>
            </w:r>
          </w:p>
        </w:tc>
        <w:tc>
          <w:tcPr>
            <w:tcW w:w="131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19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一 开</w:t>
            </w:r>
          </w:p>
        </w:tc>
        <w:tc>
          <w:tcPr>
            <w:tcW w:w="1596"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660.4</w:t>
            </w:r>
          </w:p>
        </w:tc>
        <w:tc>
          <w:tcPr>
            <w:tcW w:w="945"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508</w:t>
            </w:r>
          </w:p>
        </w:tc>
        <w:tc>
          <w:tcPr>
            <w:tcW w:w="1944"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表层套管</w:t>
            </w:r>
          </w:p>
        </w:tc>
        <w:tc>
          <w:tcPr>
            <w:tcW w:w="1537"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明一组</w:t>
            </w:r>
          </w:p>
        </w:tc>
        <w:tc>
          <w:tcPr>
            <w:tcW w:w="131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119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二 开</w:t>
            </w:r>
          </w:p>
        </w:tc>
        <w:tc>
          <w:tcPr>
            <w:tcW w:w="1596"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4</w:t>
            </w:r>
            <w:r>
              <w:rPr>
                <w:rFonts w:hint="default"/>
                <w:color w:val="auto"/>
              </w:rPr>
              <w:t>44.5</w:t>
            </w:r>
          </w:p>
        </w:tc>
        <w:tc>
          <w:tcPr>
            <w:tcW w:w="945"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339.7</w:t>
            </w:r>
          </w:p>
        </w:tc>
        <w:tc>
          <w:tcPr>
            <w:tcW w:w="1944"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技术套管</w:t>
            </w:r>
          </w:p>
        </w:tc>
        <w:tc>
          <w:tcPr>
            <w:tcW w:w="1537"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泉三段</w:t>
            </w:r>
          </w:p>
        </w:tc>
        <w:tc>
          <w:tcPr>
            <w:tcW w:w="131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9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三 开</w:t>
            </w:r>
          </w:p>
        </w:tc>
        <w:tc>
          <w:tcPr>
            <w:tcW w:w="1596"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311.1</w:t>
            </w:r>
          </w:p>
        </w:tc>
        <w:tc>
          <w:tcPr>
            <w:tcW w:w="945"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244.5</w:t>
            </w:r>
          </w:p>
        </w:tc>
        <w:tc>
          <w:tcPr>
            <w:tcW w:w="1944"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生产套管（不入窗）</w:t>
            </w:r>
          </w:p>
        </w:tc>
        <w:tc>
          <w:tcPr>
            <w:tcW w:w="1537"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登二段</w:t>
            </w:r>
          </w:p>
        </w:tc>
        <w:tc>
          <w:tcPr>
            <w:tcW w:w="131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19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四 开</w:t>
            </w:r>
          </w:p>
        </w:tc>
        <w:tc>
          <w:tcPr>
            <w:tcW w:w="1596"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215.9</w:t>
            </w:r>
          </w:p>
        </w:tc>
        <w:tc>
          <w:tcPr>
            <w:tcW w:w="945"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139.7</w:t>
            </w:r>
          </w:p>
        </w:tc>
        <w:tc>
          <w:tcPr>
            <w:tcW w:w="1944"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筛管</w:t>
            </w:r>
          </w:p>
        </w:tc>
        <w:tc>
          <w:tcPr>
            <w:tcW w:w="1537"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营三段</w:t>
            </w:r>
          </w:p>
        </w:tc>
        <w:tc>
          <w:tcPr>
            <w:tcW w:w="1313" w:type="dxa"/>
            <w:noWrap w:val="0"/>
            <w:tcMar>
              <w:top w:w="15" w:type="dxa"/>
              <w:left w:w="108" w:type="dxa"/>
              <w:bottom w:w="0" w:type="dxa"/>
              <w:right w:w="108" w:type="dxa"/>
            </w:tcMar>
            <w:vAlign w:val="center"/>
          </w:tcPr>
          <w:p>
            <w:pPr>
              <w:pStyle w:val="80"/>
              <w:keepNext w:val="0"/>
              <w:keepLines w:val="0"/>
              <w:suppressLineNumbers w:val="0"/>
              <w:spacing w:before="0" w:beforeAutospacing="0" w:after="0" w:afterAutospacing="0"/>
              <w:ind w:left="0" w:right="0"/>
              <w:rPr>
                <w:rFonts w:hint="default" w:cs="Arial"/>
                <w:color w:val="auto"/>
                <w:kern w:val="0"/>
                <w:szCs w:val="36"/>
              </w:rPr>
            </w:pPr>
            <w:r>
              <w:rPr>
                <w:rFonts w:hint="eastAsia"/>
                <w:color w:val="auto"/>
              </w:rPr>
              <w:t>3</w:t>
            </w:r>
            <w:r>
              <w:rPr>
                <w:rFonts w:hint="default"/>
                <w:color w:val="auto"/>
              </w:rPr>
              <w:t>8</w:t>
            </w:r>
            <w:r>
              <w:rPr>
                <w:rFonts w:hint="eastAsia"/>
                <w:color w:val="auto"/>
              </w:rPr>
              <w:t>00</w:t>
            </w:r>
          </w:p>
        </w:tc>
      </w:tr>
    </w:tbl>
    <w:p>
      <w:pPr>
        <w:rPr>
          <w:rFonts w:hint="eastAsia" w:eastAsia="宋体"/>
          <w:color w:val="auto"/>
          <w:lang w:eastAsia="zh-CN"/>
        </w:rPr>
      </w:pPr>
      <w:r>
        <w:rPr>
          <w:rFonts w:hAnsi="宋体"/>
          <w:color w:val="auto"/>
          <w:sz w:val="28"/>
          <w:szCs w:val="28"/>
        </w:rPr>
        <w:t>本工程井身结构示意图见图</w:t>
      </w:r>
      <w:r>
        <w:rPr>
          <w:color w:val="auto"/>
          <w:sz w:val="28"/>
          <w:szCs w:val="28"/>
        </w:rPr>
        <w:t>3.1-1</w:t>
      </w:r>
      <w:r>
        <w:rPr>
          <w:rFonts w:hint="eastAsia"/>
          <w:color w:val="auto"/>
          <w:sz w:val="28"/>
          <w:szCs w:val="28"/>
          <w:lang w:eastAsia="zh-CN"/>
        </w:rPr>
        <w:t>。</w:t>
      </w:r>
    </w:p>
    <w:p>
      <w:pPr>
        <w:jc w:val="center"/>
        <w:rPr>
          <w:color w:val="auto"/>
        </w:rPr>
      </w:pPr>
      <w:r>
        <w:rPr>
          <w:color w:val="auto"/>
        </w:rPr>
        <w:drawing>
          <wp:inline distT="0" distB="0" distL="114300" distR="114300">
            <wp:extent cx="5146040" cy="4079240"/>
            <wp:effectExtent l="0" t="0" r="16510" b="165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5146040" cy="4079240"/>
                    </a:xfrm>
                    <a:prstGeom prst="rect">
                      <a:avLst/>
                    </a:prstGeom>
                    <a:noFill/>
                    <a:ln>
                      <a:noFill/>
                    </a:ln>
                  </pic:spPr>
                </pic:pic>
              </a:graphicData>
            </a:graphic>
          </wp:inline>
        </w:drawing>
      </w:r>
    </w:p>
    <w:p>
      <w:pPr>
        <w:pStyle w:val="8"/>
        <w:bidi w:val="0"/>
        <w:rPr>
          <w:rFonts w:hint="default" w:ascii="Times New Roman" w:hAnsi="Times New Roman" w:cs="Times New Roman"/>
          <w:color w:val="auto"/>
        </w:rPr>
      </w:pPr>
      <w:r>
        <w:rPr>
          <w:rFonts w:hint="eastAsia" w:cs="Times New Roman"/>
          <w:color w:val="auto"/>
          <w:lang w:eastAsia="zh-CN"/>
        </w:rPr>
        <w:t>水平</w:t>
      </w:r>
      <w:r>
        <w:rPr>
          <w:rFonts w:hint="default" w:ascii="Times New Roman" w:hAnsi="Times New Roman" w:cs="Times New Roman"/>
          <w:color w:val="auto"/>
        </w:rPr>
        <w:t>井身结构示意图</w:t>
      </w:r>
    </w:p>
    <w:p>
      <w:pPr>
        <w:pStyle w:val="6"/>
        <w:spacing w:before="156" w:after="156"/>
        <w:rPr>
          <w:color w:val="auto"/>
        </w:rPr>
      </w:pPr>
      <w:r>
        <w:rPr>
          <w:color w:val="auto"/>
        </w:rPr>
        <w:t>钻机选型及钻井主要设备</w:t>
      </w:r>
    </w:p>
    <w:p>
      <w:pPr>
        <w:pStyle w:val="33"/>
        <w:rPr>
          <w:color w:val="auto"/>
        </w:rPr>
      </w:pPr>
      <w:r>
        <w:rPr>
          <w:color w:val="auto"/>
        </w:rPr>
        <w:t>本工程选用ZJ-40D/2250钻机。钻井主要设备型号及规格见</w:t>
      </w:r>
      <w:r>
        <w:rPr>
          <w:rFonts w:hint="eastAsia"/>
          <w:color w:val="auto"/>
        </w:rPr>
        <w:t>下</w:t>
      </w:r>
      <w:r>
        <w:rPr>
          <w:color w:val="auto"/>
        </w:rPr>
        <w:t>表。</w:t>
      </w:r>
    </w:p>
    <w:p>
      <w:pPr>
        <w:pStyle w:val="7"/>
        <w:bidi w:val="0"/>
        <w:rPr>
          <w:color w:val="auto"/>
        </w:rPr>
      </w:pPr>
      <w:r>
        <w:rPr>
          <w:rFonts w:hint="eastAsia"/>
          <w:color w:val="auto"/>
        </w:rPr>
        <w:t xml:space="preserve"> ZJ50钻井主要设备表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821"/>
        <w:gridCol w:w="1609"/>
        <w:gridCol w:w="2236"/>
        <w:gridCol w:w="2109"/>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blHeader/>
          <w:jc w:val="center"/>
        </w:trPr>
        <w:tc>
          <w:tcPr>
            <w:tcW w:w="60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序号</w:t>
            </w:r>
          </w:p>
        </w:tc>
        <w:tc>
          <w:tcPr>
            <w:tcW w:w="2355" w:type="dxa"/>
            <w:gridSpan w:val="2"/>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名</w:t>
            </w:r>
            <w:r>
              <w:rPr>
                <w:rFonts w:hint="default"/>
                <w:color w:val="auto"/>
              </w:rPr>
              <w:t xml:space="preserve">    </w:t>
            </w:r>
            <w:r>
              <w:rPr>
                <w:rFonts w:hint="eastAsia"/>
                <w:color w:val="auto"/>
              </w:rPr>
              <w:t>称</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规</w:t>
            </w:r>
            <w:r>
              <w:rPr>
                <w:rFonts w:hint="default"/>
                <w:color w:val="auto"/>
              </w:rPr>
              <w:t xml:space="preserve"> </w:t>
            </w:r>
            <w:r>
              <w:rPr>
                <w:rFonts w:hint="eastAsia"/>
                <w:color w:val="auto"/>
              </w:rPr>
              <w:t>格</w:t>
            </w:r>
            <w:r>
              <w:rPr>
                <w:rFonts w:hint="default"/>
                <w:color w:val="auto"/>
              </w:rPr>
              <w:t xml:space="preserve"> </w:t>
            </w:r>
            <w:r>
              <w:rPr>
                <w:rFonts w:hint="eastAsia"/>
                <w:color w:val="auto"/>
              </w:rPr>
              <w:t>型</w:t>
            </w:r>
            <w:r>
              <w:rPr>
                <w:rFonts w:hint="default"/>
                <w:color w:val="auto"/>
              </w:rPr>
              <w:t xml:space="preserve"> </w:t>
            </w:r>
            <w:r>
              <w:rPr>
                <w:rFonts w:hint="eastAsia"/>
                <w:color w:val="auto"/>
              </w:rPr>
              <w:t>号</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主要技术参数</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备</w:t>
            </w:r>
            <w:r>
              <w:rPr>
                <w:rFonts w:hint="default"/>
                <w:color w:val="auto"/>
              </w:rPr>
              <w:t xml:space="preserve">  </w:t>
            </w:r>
            <w:r>
              <w:rPr>
                <w:rFonts w:hint="eastAsia"/>
                <w:color w:val="auto"/>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9" w:hRule="atLeast"/>
          <w:jc w:val="center"/>
        </w:trPr>
        <w:tc>
          <w:tcPr>
            <w:tcW w:w="609"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2355" w:type="dxa"/>
            <w:gridSpan w:val="2"/>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钻</w:t>
            </w:r>
            <w:r>
              <w:rPr>
                <w:rFonts w:hint="default"/>
                <w:color w:val="auto"/>
              </w:rPr>
              <w:t xml:space="preserve">   </w:t>
            </w:r>
            <w:r>
              <w:rPr>
                <w:rFonts w:hint="eastAsia"/>
                <w:color w:val="auto"/>
              </w:rPr>
              <w:t>机</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ZJ-50D/3150</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09"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2355" w:type="dxa"/>
            <w:gridSpan w:val="2"/>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井</w:t>
            </w:r>
            <w:r>
              <w:rPr>
                <w:rFonts w:hint="default"/>
                <w:color w:val="auto"/>
              </w:rPr>
              <w:t xml:space="preserve">   </w:t>
            </w:r>
            <w:r>
              <w:rPr>
                <w:rFonts w:hint="eastAsia"/>
                <w:color w:val="auto"/>
              </w:rPr>
              <w:t>架</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JJ315/45-K</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最大载荷</w:t>
            </w:r>
            <w:r>
              <w:rPr>
                <w:rFonts w:hint="default"/>
                <w:color w:val="auto"/>
              </w:rPr>
              <w:t>3150kN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底座净高：</w:t>
            </w:r>
            <w:r>
              <w:rPr>
                <w:rFonts w:hint="default"/>
                <w:color w:val="auto"/>
              </w:rPr>
              <w:t>7.6m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09"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3</w:t>
            </w:r>
          </w:p>
        </w:tc>
        <w:tc>
          <w:tcPr>
            <w:tcW w:w="796"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提升</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系统</w:t>
            </w: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绞</w:t>
            </w:r>
            <w:r>
              <w:rPr>
                <w:rFonts w:hint="default"/>
                <w:color w:val="auto"/>
              </w:rPr>
              <w:t xml:space="preserve">  </w:t>
            </w:r>
            <w:r>
              <w:rPr>
                <w:rFonts w:hint="eastAsia"/>
                <w:color w:val="auto"/>
              </w:rPr>
              <w:t>车</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JC-50D</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快绳拉力</w:t>
            </w:r>
            <w:r>
              <w:rPr>
                <w:rFonts w:hint="default"/>
                <w:color w:val="auto"/>
              </w:rPr>
              <w:t>340 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天</w:t>
            </w:r>
            <w:r>
              <w:rPr>
                <w:rFonts w:hint="default"/>
                <w:color w:val="auto"/>
              </w:rPr>
              <w:t xml:space="preserve">  </w:t>
            </w:r>
            <w:r>
              <w:rPr>
                <w:rFonts w:hint="eastAsia"/>
                <w:color w:val="auto"/>
              </w:rPr>
              <w:t>车</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TC-315</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最大载荷</w:t>
            </w:r>
            <w:r>
              <w:rPr>
                <w:rFonts w:hint="default"/>
                <w:color w:val="auto"/>
              </w:rPr>
              <w:t>3150 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游动滑车</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YC-315</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最大载荷</w:t>
            </w:r>
            <w:r>
              <w:rPr>
                <w:rFonts w:hint="default"/>
                <w:color w:val="auto"/>
              </w:rPr>
              <w:t>3150 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大</w:t>
            </w:r>
            <w:r>
              <w:rPr>
                <w:rFonts w:hint="default"/>
                <w:color w:val="auto"/>
              </w:rPr>
              <w:t xml:space="preserve">  </w:t>
            </w:r>
            <w:r>
              <w:rPr>
                <w:rFonts w:hint="eastAsia"/>
                <w:color w:val="auto"/>
              </w:rPr>
              <w:t>钩</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DG-315</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最大载荷</w:t>
            </w:r>
            <w:r>
              <w:rPr>
                <w:rFonts w:hint="default"/>
                <w:color w:val="auto"/>
              </w:rPr>
              <w:t>3150 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水龙头</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SL-450-Z</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最大载荷</w:t>
            </w:r>
            <w:r>
              <w:rPr>
                <w:rFonts w:hint="default"/>
                <w:color w:val="auto"/>
              </w:rPr>
              <w:t>4500 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09"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4</w:t>
            </w:r>
          </w:p>
        </w:tc>
        <w:tc>
          <w:tcPr>
            <w:tcW w:w="2355" w:type="dxa"/>
            <w:gridSpan w:val="2"/>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顶部驱动装置</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TDS-11SA</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最大载荷</w:t>
            </w:r>
            <w:r>
              <w:rPr>
                <w:rFonts w:hint="default"/>
                <w:color w:val="auto"/>
              </w:rPr>
              <w:t>5000kN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09"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5</w:t>
            </w:r>
          </w:p>
        </w:tc>
        <w:tc>
          <w:tcPr>
            <w:tcW w:w="2355" w:type="dxa"/>
            <w:gridSpan w:val="2"/>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转</w:t>
            </w:r>
            <w:r>
              <w:rPr>
                <w:rFonts w:hint="default"/>
                <w:color w:val="auto"/>
              </w:rPr>
              <w:t xml:space="preserve">   </w:t>
            </w:r>
            <w:r>
              <w:rPr>
                <w:rFonts w:hint="eastAsia"/>
                <w:color w:val="auto"/>
              </w:rPr>
              <w:t>盘</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ZP-375</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最大载荷</w:t>
            </w:r>
            <w:r>
              <w:rPr>
                <w:rFonts w:hint="default"/>
                <w:color w:val="auto"/>
              </w:rPr>
              <w:t>5850kN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最大工作扭矩</w:t>
            </w:r>
            <w:r>
              <w:rPr>
                <w:rFonts w:hint="default"/>
                <w:color w:val="auto"/>
              </w:rPr>
              <w:t>32362N·m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6</w:t>
            </w:r>
          </w:p>
        </w:tc>
        <w:tc>
          <w:tcPr>
            <w:tcW w:w="796"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循环</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系统</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配置</w:t>
            </w: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钻井泵</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F-1300</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1300HP</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3</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钻井液罐</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380m</w:t>
            </w:r>
            <w:r>
              <w:rPr>
                <w:rFonts w:hint="default"/>
                <w:color w:val="auto"/>
                <w:vertAlign w:val="superscript"/>
              </w:rPr>
              <w:t>3</w:t>
            </w:r>
            <w:r>
              <w:rPr>
                <w:rFonts w:hint="default"/>
                <w:color w:val="auto"/>
              </w:rPr>
              <w:t>(</w:t>
            </w:r>
            <w:r>
              <w:rPr>
                <w:rFonts w:hint="eastAsia"/>
                <w:color w:val="auto"/>
              </w:rPr>
              <w:t>循环罐</w:t>
            </w:r>
            <w:r>
              <w:rPr>
                <w:rFonts w:hint="default"/>
                <w:color w:val="auto"/>
              </w:rPr>
              <w:t>)</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含储备罐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7</w:t>
            </w:r>
          </w:p>
        </w:tc>
        <w:tc>
          <w:tcPr>
            <w:tcW w:w="796"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动力</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系统</w:t>
            </w: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直流电动机</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YZ08</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800kW</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柴油机</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G12V190/ZLD</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1200HP</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3</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8</w:t>
            </w:r>
          </w:p>
        </w:tc>
        <w:tc>
          <w:tcPr>
            <w:tcW w:w="796"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发电</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机组</w:t>
            </w: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发电机组</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GF800</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800kW</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3</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辅助发电机</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MND604B</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500 kW</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9</w:t>
            </w:r>
          </w:p>
        </w:tc>
        <w:tc>
          <w:tcPr>
            <w:tcW w:w="796"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钻机</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控制</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系统</w:t>
            </w: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螺杆压缩机</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XK06/10LGFD-6/10X</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处理量</w:t>
            </w:r>
            <w:r>
              <w:rPr>
                <w:rFonts w:hint="default"/>
                <w:color w:val="auto"/>
              </w:rPr>
              <w:t xml:space="preserve"> 6m</w:t>
            </w:r>
            <w:r>
              <w:rPr>
                <w:rFonts w:hint="default"/>
                <w:color w:val="auto"/>
                <w:vertAlign w:val="superscript"/>
              </w:rPr>
              <w:t>3</w:t>
            </w:r>
            <w:r>
              <w:rPr>
                <w:rFonts w:hint="default"/>
                <w:color w:val="auto"/>
              </w:rPr>
              <w:t>/min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气源净化装置</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SAD-6F</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处理量</w:t>
            </w:r>
            <w:r>
              <w:rPr>
                <w:rFonts w:hint="default"/>
                <w:color w:val="auto"/>
              </w:rPr>
              <w:t xml:space="preserve"> 6m</w:t>
            </w:r>
            <w:r>
              <w:rPr>
                <w:rFonts w:hint="default"/>
                <w:color w:val="auto"/>
                <w:vertAlign w:val="superscript"/>
              </w:rPr>
              <w:t>3</w:t>
            </w:r>
            <w:r>
              <w:rPr>
                <w:rFonts w:hint="default"/>
                <w:color w:val="auto"/>
              </w:rPr>
              <w:t>/min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2</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刹车系统</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FDWS-50D</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最大转矩</w:t>
            </w:r>
            <w:r>
              <w:rPr>
                <w:rFonts w:hint="default"/>
                <w:color w:val="auto"/>
              </w:rPr>
              <w:t xml:space="preserve"> 110kN</w:t>
            </w:r>
            <w:r>
              <w:rPr>
                <w:rFonts w:hint="eastAsia"/>
                <w:color w:val="auto"/>
              </w:rPr>
              <w:t>·</w:t>
            </w:r>
            <w:r>
              <w:rPr>
                <w:rFonts w:hint="default"/>
                <w:color w:val="auto"/>
              </w:rPr>
              <w:t>m</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10</w:t>
            </w:r>
          </w:p>
        </w:tc>
        <w:tc>
          <w:tcPr>
            <w:tcW w:w="796"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固控及</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净化</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设备</w:t>
            </w: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振动筛</w:t>
            </w:r>
            <w:r>
              <w:rPr>
                <w:rFonts w:hint="default"/>
                <w:color w:val="auto"/>
              </w:rPr>
              <w:t>1</w:t>
            </w:r>
            <w:r>
              <w:rPr>
                <w:rFonts w:hint="default"/>
                <w:color w:val="auto"/>
                <w:vertAlign w:val="superscript"/>
              </w:rPr>
              <w:t>#</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ATL-1000</w:t>
            </w:r>
            <w:r>
              <w:rPr>
                <w:rFonts w:hint="eastAsia"/>
                <w:color w:val="auto"/>
              </w:rPr>
              <w:t>高</w:t>
            </w:r>
            <w:r>
              <w:rPr>
                <w:rFonts w:hint="default"/>
                <w:color w:val="auto"/>
              </w:rPr>
              <w:t>·</w:t>
            </w:r>
            <w:r>
              <w:rPr>
                <w:rFonts w:hint="eastAsia"/>
                <w:color w:val="auto"/>
              </w:rPr>
              <w:t>直</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振动筛</w:t>
            </w:r>
            <w:r>
              <w:rPr>
                <w:rFonts w:hint="default"/>
                <w:color w:val="auto"/>
              </w:rPr>
              <w:t>2</w:t>
            </w:r>
            <w:r>
              <w:rPr>
                <w:rFonts w:hint="default"/>
                <w:color w:val="auto"/>
                <w:vertAlign w:val="superscript"/>
              </w:rPr>
              <w:t>#</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ATL-1000</w:t>
            </w:r>
            <w:r>
              <w:rPr>
                <w:rFonts w:hint="eastAsia"/>
                <w:color w:val="auto"/>
              </w:rPr>
              <w:t>高</w:t>
            </w:r>
            <w:r>
              <w:rPr>
                <w:rFonts w:hint="default"/>
                <w:color w:val="auto"/>
              </w:rPr>
              <w:t>·</w:t>
            </w:r>
            <w:r>
              <w:rPr>
                <w:rFonts w:hint="eastAsia"/>
                <w:color w:val="auto"/>
              </w:rPr>
              <w:t>直</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除砂器</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NCS-300X2</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处理量</w:t>
            </w:r>
            <w:r>
              <w:rPr>
                <w:rFonts w:hint="default"/>
                <w:color w:val="auto"/>
              </w:rPr>
              <w:t>200m</w:t>
            </w:r>
            <w:r>
              <w:rPr>
                <w:rFonts w:hint="default"/>
                <w:color w:val="auto"/>
                <w:vertAlign w:val="superscript"/>
              </w:rPr>
              <w:t>3</w:t>
            </w:r>
            <w:r>
              <w:rPr>
                <w:rFonts w:hint="default"/>
                <w:color w:val="auto"/>
              </w:rPr>
              <w:t>/h</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离心机</w:t>
            </w:r>
            <w:r>
              <w:rPr>
                <w:rFonts w:hint="default"/>
                <w:color w:val="auto"/>
              </w:rPr>
              <w:t>1</w:t>
            </w:r>
            <w:r>
              <w:rPr>
                <w:rFonts w:hint="default"/>
                <w:color w:val="auto"/>
                <w:vertAlign w:val="superscript"/>
              </w:rPr>
              <w:t>#</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LW-500X125-N</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处理量</w:t>
            </w:r>
            <w:r>
              <w:rPr>
                <w:rFonts w:hint="default"/>
                <w:color w:val="auto"/>
              </w:rPr>
              <w:t>40m</w:t>
            </w:r>
            <w:r>
              <w:rPr>
                <w:rFonts w:hint="default"/>
                <w:color w:val="auto"/>
                <w:vertAlign w:val="superscript"/>
              </w:rPr>
              <w:t>3</w:t>
            </w:r>
            <w:r>
              <w:rPr>
                <w:rFonts w:hint="default"/>
                <w:color w:val="auto"/>
              </w:rPr>
              <w:t>/h</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vertAlign w:val="superscript"/>
              </w:rPr>
            </w:pPr>
            <w:r>
              <w:rPr>
                <w:rFonts w:hint="eastAsia"/>
                <w:color w:val="auto"/>
              </w:rPr>
              <w:t>离心机</w:t>
            </w:r>
            <w:r>
              <w:rPr>
                <w:rFonts w:hint="default"/>
                <w:color w:val="auto"/>
              </w:rPr>
              <w:t>2</w:t>
            </w:r>
            <w:r>
              <w:rPr>
                <w:rFonts w:hint="default"/>
                <w:color w:val="auto"/>
                <w:vertAlign w:val="superscript"/>
              </w:rPr>
              <w:t>#</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SWACO518</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处理量</w:t>
            </w:r>
            <w:r>
              <w:rPr>
                <w:rFonts w:hint="default"/>
                <w:color w:val="auto"/>
              </w:rPr>
              <w:t>50m</w:t>
            </w:r>
            <w:r>
              <w:rPr>
                <w:rFonts w:hint="default"/>
                <w:color w:val="auto"/>
                <w:vertAlign w:val="superscript"/>
              </w:rPr>
              <w:t>3</w:t>
            </w:r>
            <w:r>
              <w:rPr>
                <w:rFonts w:hint="default"/>
                <w:color w:val="auto"/>
              </w:rPr>
              <w:t>/h</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除气器</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ZCQ2/6</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处理量</w:t>
            </w:r>
            <w:r>
              <w:rPr>
                <w:rFonts w:hint="default"/>
                <w:color w:val="auto"/>
              </w:rPr>
              <w:t>360m</w:t>
            </w:r>
            <w:r>
              <w:rPr>
                <w:rFonts w:hint="default"/>
                <w:color w:val="auto"/>
                <w:vertAlign w:val="superscript"/>
              </w:rPr>
              <w:t>3</w:t>
            </w:r>
            <w:r>
              <w:rPr>
                <w:rFonts w:hint="default"/>
                <w:color w:val="auto"/>
              </w:rPr>
              <w:t>/h</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09"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11</w:t>
            </w:r>
          </w:p>
        </w:tc>
        <w:tc>
          <w:tcPr>
            <w:tcW w:w="796"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加重</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装置</w:t>
            </w: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加重漏斗</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 xml:space="preserve">1 </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电动加重泵</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气动下灰装置</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09"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12</w:t>
            </w:r>
          </w:p>
        </w:tc>
        <w:tc>
          <w:tcPr>
            <w:tcW w:w="796" w:type="dxa"/>
            <w:vMerge w:val="restart"/>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仪器</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仪表</w:t>
            </w: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钻井参数仪表</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0~4300kN</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含死绳固定器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测斜仪</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BXJ-4</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 w:hRule="atLeast"/>
          <w:jc w:val="center"/>
        </w:trPr>
        <w:tc>
          <w:tcPr>
            <w:tcW w:w="609"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796" w:type="dxa"/>
            <w:vMerge w:val="continue"/>
            <w:vAlign w:val="center"/>
          </w:tcPr>
          <w:p>
            <w:pPr>
              <w:pStyle w:val="80"/>
              <w:keepNext w:val="0"/>
              <w:keepLines w:val="0"/>
              <w:suppressLineNumbers w:val="0"/>
              <w:spacing w:before="0" w:beforeAutospacing="0" w:after="0" w:afterAutospacing="0"/>
              <w:ind w:left="0" w:right="0"/>
              <w:rPr>
                <w:rFonts w:hint="default"/>
                <w:color w:val="auto"/>
              </w:rPr>
            </w:pPr>
          </w:p>
        </w:tc>
        <w:tc>
          <w:tcPr>
            <w:tcW w:w="1559" w:type="dxa"/>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测斜绞车</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jc w:val="center"/>
        </w:trPr>
        <w:tc>
          <w:tcPr>
            <w:tcW w:w="609"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13</w:t>
            </w:r>
          </w:p>
        </w:tc>
        <w:tc>
          <w:tcPr>
            <w:tcW w:w="2355" w:type="dxa"/>
            <w:gridSpan w:val="2"/>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液压大钳</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YQ100</w:t>
            </w: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16.6MPa</w:t>
            </w:r>
            <w:r>
              <w:rPr>
                <w:rFonts w:hint="eastAsia"/>
                <w:color w:val="auto"/>
              </w:rPr>
              <w:t>时扭矩</w:t>
            </w:r>
            <w:r>
              <w:rPr>
                <w:rFonts w:hint="default"/>
                <w:color w:val="auto"/>
              </w:rPr>
              <w:t>100kN·m</w:t>
            </w: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609"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14</w:t>
            </w:r>
          </w:p>
        </w:tc>
        <w:tc>
          <w:tcPr>
            <w:tcW w:w="2355" w:type="dxa"/>
            <w:gridSpan w:val="2"/>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CO</w:t>
            </w:r>
            <w:r>
              <w:rPr>
                <w:rFonts w:hint="default"/>
                <w:color w:val="auto"/>
                <w:vertAlign w:val="subscript"/>
              </w:rPr>
              <w:t>2</w:t>
            </w:r>
            <w:r>
              <w:rPr>
                <w:rFonts w:hint="eastAsia"/>
                <w:color w:val="auto"/>
              </w:rPr>
              <w:t>监测仪</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3</w:t>
            </w:r>
            <w:r>
              <w:rPr>
                <w:rFonts w:hint="eastAsia"/>
                <w:color w:val="auto"/>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609"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15</w:t>
            </w:r>
          </w:p>
        </w:tc>
        <w:tc>
          <w:tcPr>
            <w:tcW w:w="2355" w:type="dxa"/>
            <w:gridSpan w:val="2"/>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天然气报警器</w:t>
            </w:r>
          </w:p>
        </w:tc>
        <w:tc>
          <w:tcPr>
            <w:tcW w:w="2167" w:type="dxa"/>
            <w:vAlign w:val="center"/>
          </w:tcPr>
          <w:p>
            <w:pPr>
              <w:pStyle w:val="80"/>
              <w:keepNext w:val="0"/>
              <w:keepLines w:val="0"/>
              <w:suppressLineNumbers w:val="0"/>
              <w:spacing w:before="0" w:beforeAutospacing="0" w:after="0" w:afterAutospacing="0"/>
              <w:ind w:left="0" w:right="0"/>
              <w:rPr>
                <w:rFonts w:hint="default"/>
                <w:color w:val="auto"/>
              </w:rPr>
            </w:pPr>
          </w:p>
        </w:tc>
        <w:tc>
          <w:tcPr>
            <w:tcW w:w="2043" w:type="dxa"/>
            <w:vAlign w:val="center"/>
          </w:tcPr>
          <w:p>
            <w:pPr>
              <w:pStyle w:val="80"/>
              <w:keepNext w:val="0"/>
              <w:keepLines w:val="0"/>
              <w:suppressLineNumbers w:val="0"/>
              <w:spacing w:before="0" w:beforeAutospacing="0" w:after="0" w:afterAutospacing="0"/>
              <w:ind w:left="0" w:right="0"/>
              <w:rPr>
                <w:rFonts w:hint="default"/>
                <w:color w:val="auto"/>
              </w:rPr>
            </w:pPr>
          </w:p>
        </w:tc>
        <w:tc>
          <w:tcPr>
            <w:tcW w:w="1825" w:type="dxa"/>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3</w:t>
            </w:r>
            <w:r>
              <w:rPr>
                <w:rFonts w:hint="eastAsia"/>
                <w:color w:val="auto"/>
              </w:rPr>
              <w:t>台</w:t>
            </w:r>
          </w:p>
        </w:tc>
      </w:tr>
    </w:tbl>
    <w:p>
      <w:pPr>
        <w:pStyle w:val="5"/>
        <w:spacing w:before="159" w:beforeLines="50" w:after="159" w:afterLines="50" w:line="460" w:lineRule="exact"/>
        <w:rPr>
          <w:b w:val="0"/>
          <w:snapToGrid w:val="0"/>
          <w:color w:val="auto"/>
          <w:kern w:val="0"/>
          <w:sz w:val="28"/>
          <w:szCs w:val="28"/>
        </w:rPr>
      </w:pPr>
      <w:bookmarkStart w:id="388" w:name="_Toc88146592"/>
      <w:r>
        <w:rPr>
          <w:rFonts w:hint="eastAsia"/>
          <w:b w:val="0"/>
          <w:snapToGrid w:val="0"/>
          <w:color w:val="auto"/>
          <w:kern w:val="0"/>
          <w:sz w:val="28"/>
          <w:szCs w:val="28"/>
        </w:rPr>
        <w:t>钻井液</w:t>
      </w:r>
      <w:bookmarkEnd w:id="388"/>
    </w:p>
    <w:p>
      <w:pPr>
        <w:pStyle w:val="83"/>
        <w:bidi w:val="0"/>
        <w:rPr>
          <w:rFonts w:hint="default" w:eastAsia="宋体"/>
          <w:color w:val="auto"/>
          <w:lang w:val="en-US" w:eastAsia="zh-CN"/>
        </w:rPr>
      </w:pPr>
      <w:r>
        <w:rPr>
          <w:rFonts w:hint="eastAsia"/>
          <w:color w:val="auto"/>
        </w:rPr>
        <w:t>本工程</w:t>
      </w:r>
      <w:r>
        <w:rPr>
          <w:rFonts w:hint="eastAsia"/>
          <w:color w:val="auto"/>
          <w:lang w:val="en-US" w:eastAsia="zh-CN"/>
        </w:rPr>
        <w:t>30</w:t>
      </w:r>
      <w:r>
        <w:rPr>
          <w:rFonts w:hint="eastAsia"/>
          <w:color w:val="auto"/>
        </w:rPr>
        <w:t>口水平井采取一开、二开、三开</w:t>
      </w:r>
      <w:r>
        <w:rPr>
          <w:rFonts w:hint="eastAsia"/>
          <w:color w:val="auto"/>
          <w:lang w:eastAsia="zh-CN"/>
        </w:rPr>
        <w:t>、四开。</w:t>
      </w:r>
      <w:r>
        <w:rPr>
          <w:rFonts w:hint="eastAsia"/>
          <w:color w:val="auto"/>
          <w:lang w:val="en-US" w:eastAsia="zh-CN"/>
        </w:rPr>
        <w:t>一开二开</w:t>
      </w:r>
      <w:r>
        <w:rPr>
          <w:rFonts w:hint="eastAsia"/>
          <w:color w:val="auto"/>
        </w:rPr>
        <w:t>采用了无毒无害或毒性极小的水基钻井液体系，包括膨润土浆、低固相氯化钾盐水</w:t>
      </w:r>
      <w:r>
        <w:rPr>
          <w:color w:val="auto"/>
        </w:rPr>
        <w:t>钻井液体系</w:t>
      </w:r>
      <w:r>
        <w:rPr>
          <w:rFonts w:hint="eastAsia"/>
          <w:color w:val="auto"/>
        </w:rPr>
        <w:t>、盐水</w:t>
      </w:r>
      <w:r>
        <w:rPr>
          <w:color w:val="auto"/>
        </w:rPr>
        <w:t>钻井液体系</w:t>
      </w:r>
      <w:r>
        <w:rPr>
          <w:rFonts w:hint="eastAsia"/>
          <w:color w:val="auto"/>
        </w:rPr>
        <w:t>、保护储层钻井液体系。</w:t>
      </w:r>
      <w:r>
        <w:rPr>
          <w:rFonts w:hint="eastAsia"/>
          <w:color w:val="auto"/>
          <w:lang w:val="en-US" w:eastAsia="zh-CN"/>
        </w:rPr>
        <w:t>三开、四开采用油基钻井液体系。</w:t>
      </w:r>
    </w:p>
    <w:p>
      <w:pPr>
        <w:pStyle w:val="83"/>
        <w:bidi w:val="0"/>
        <w:rPr>
          <w:rFonts w:hint="eastAsia"/>
          <w:color w:val="auto"/>
          <w:lang w:eastAsia="zh-CN"/>
        </w:rPr>
      </w:pPr>
      <w:r>
        <w:rPr>
          <w:color w:val="auto"/>
        </w:rPr>
        <w:t>一开主要是钻第四系地层，使用膨润土钻井液。钻井液主要组</w:t>
      </w:r>
      <w:r>
        <w:rPr>
          <w:rFonts w:hint="eastAsia"/>
          <w:color w:val="auto"/>
        </w:rPr>
        <w:t>成</w:t>
      </w:r>
      <w:r>
        <w:rPr>
          <w:color w:val="auto"/>
        </w:rPr>
        <w:t>成份有膨润土、</w:t>
      </w:r>
      <w:r>
        <w:rPr>
          <w:rFonts w:hint="eastAsia"/>
          <w:color w:val="auto"/>
        </w:rPr>
        <w:t>纯碱</w:t>
      </w:r>
      <w:r>
        <w:rPr>
          <w:color w:val="auto"/>
        </w:rPr>
        <w:t>，防止坍塌及有效清洗井眼，使表层套管下入顺利。钻井液配方：</w:t>
      </w:r>
      <w:r>
        <w:rPr>
          <w:rFonts w:hint="eastAsia"/>
          <w:color w:val="auto"/>
        </w:rPr>
        <w:t>4</w:t>
      </w:r>
      <w:r>
        <w:rPr>
          <w:color w:val="auto"/>
        </w:rPr>
        <w:t>-</w:t>
      </w:r>
      <w:r>
        <w:rPr>
          <w:rFonts w:hint="eastAsia"/>
          <w:color w:val="auto"/>
        </w:rPr>
        <w:t>5</w:t>
      </w:r>
      <w:r>
        <w:rPr>
          <w:color w:val="auto"/>
        </w:rPr>
        <w:t>%膨润土+0.</w:t>
      </w:r>
      <w:r>
        <w:rPr>
          <w:rFonts w:hint="eastAsia"/>
          <w:color w:val="auto"/>
        </w:rPr>
        <w:t>4</w:t>
      </w:r>
      <w:r>
        <w:rPr>
          <w:color w:val="auto"/>
        </w:rPr>
        <w:t>%纯碱</w:t>
      </w:r>
      <w:r>
        <w:rPr>
          <w:rFonts w:hint="eastAsia"/>
          <w:color w:val="auto"/>
          <w:lang w:eastAsia="zh-CN"/>
        </w:rPr>
        <w:t>。</w:t>
      </w:r>
    </w:p>
    <w:p>
      <w:pPr>
        <w:pStyle w:val="83"/>
        <w:bidi w:val="0"/>
        <w:rPr>
          <w:rFonts w:hint="eastAsia"/>
          <w:color w:val="auto"/>
          <w:lang w:eastAsia="zh-CN"/>
        </w:rPr>
      </w:pPr>
      <w:r>
        <w:rPr>
          <w:rFonts w:hint="eastAsia"/>
          <w:color w:val="auto"/>
          <w:lang w:eastAsia="zh-CN"/>
        </w:rPr>
        <w:t>二开井段钻进四方台组、嫩江组、姚家组、青山口组、泉头组地层，使用低固相氯化钾盐水钻井液体系，密度1.25-1.30g/cm</w:t>
      </w:r>
      <w:r>
        <w:rPr>
          <w:rFonts w:hint="eastAsia"/>
          <w:color w:val="auto"/>
          <w:vertAlign w:val="superscript"/>
          <w:lang w:eastAsia="zh-CN"/>
        </w:rPr>
        <w:t>3</w:t>
      </w:r>
      <w:r>
        <w:rPr>
          <w:rFonts w:hint="eastAsia"/>
          <w:color w:val="auto"/>
          <w:lang w:eastAsia="zh-CN"/>
        </w:rPr>
        <w:t>。根据需要补充其它相关处理剂，调整钻井液性能达到设计要求，保证钻井施工安全。</w:t>
      </w:r>
    </w:p>
    <w:p>
      <w:pPr>
        <w:pStyle w:val="83"/>
        <w:bidi w:val="0"/>
        <w:rPr>
          <w:rFonts w:hint="eastAsia"/>
          <w:color w:val="auto"/>
          <w:lang w:eastAsia="zh-CN"/>
        </w:rPr>
      </w:pPr>
      <w:r>
        <w:rPr>
          <w:rFonts w:hint="eastAsia"/>
          <w:color w:val="auto"/>
          <w:lang w:eastAsia="zh-CN"/>
        </w:rPr>
        <w:t>三开井段应用盐水钻井液体系，密度1.25-1.27g/cm</w:t>
      </w:r>
      <w:r>
        <w:rPr>
          <w:rFonts w:hint="eastAsia"/>
          <w:color w:val="auto"/>
          <w:vertAlign w:val="superscript"/>
          <w:lang w:eastAsia="zh-CN"/>
        </w:rPr>
        <w:t>3</w:t>
      </w:r>
      <w:r>
        <w:rPr>
          <w:rFonts w:hint="eastAsia"/>
          <w:color w:val="auto"/>
          <w:lang w:eastAsia="zh-CN"/>
        </w:rPr>
        <w:t>。并保证体系中保持聚合物有效含量，使其具有良好的抑制性，抑制地层粘土造浆。储层钻进过程中严格控制API滤失量小于5ml，根据需要补充其它相关处理剂，调整钻井液性能达到设计要求，保证钻井施工安全。定向造斜前在钻井液中加入润滑剂，提高钻井液的润滑性，摩阻小于0.08，保证定向造斜施工顺利。</w:t>
      </w:r>
    </w:p>
    <w:p>
      <w:pPr>
        <w:pStyle w:val="83"/>
        <w:bidi w:val="0"/>
        <w:rPr>
          <w:rFonts w:hint="eastAsia"/>
          <w:color w:val="auto"/>
          <w:lang w:eastAsia="zh-CN"/>
        </w:rPr>
      </w:pPr>
      <w:r>
        <w:rPr>
          <w:rFonts w:hint="eastAsia"/>
          <w:color w:val="auto"/>
          <w:lang w:eastAsia="zh-CN"/>
        </w:rPr>
        <w:t>四开井段应用保护储层钻井液体系，密度1.15-1.20g/cm</w:t>
      </w:r>
      <w:r>
        <w:rPr>
          <w:rFonts w:hint="eastAsia"/>
          <w:color w:val="auto"/>
          <w:vertAlign w:val="superscript"/>
          <w:lang w:eastAsia="zh-CN"/>
        </w:rPr>
        <w:t>3</w:t>
      </w:r>
      <w:r>
        <w:rPr>
          <w:rFonts w:hint="eastAsia"/>
          <w:color w:val="auto"/>
          <w:lang w:eastAsia="zh-CN"/>
        </w:rPr>
        <w:t>。储层钻井液性能要求：1）性能稳定，16小时热滚和72小时热滚后性能变化不大。2）具有良好的缓冲作用，降低地层水矿化度不稳定对钻井液性能的影响。3）滤失量低，封堵性好，流变性能稳定。在钻井液中加入润滑剂，提高钻井液的润滑性，摩阻小于0.08，保证水平段施工顺利。</w:t>
      </w:r>
    </w:p>
    <w:p>
      <w:pPr>
        <w:pStyle w:val="33"/>
        <w:bidi w:val="0"/>
        <w:rPr>
          <w:color w:val="auto"/>
        </w:rPr>
      </w:pPr>
      <w:r>
        <w:rPr>
          <w:rFonts w:hint="eastAsia"/>
          <w:color w:val="auto"/>
        </w:rPr>
        <w:t>具体钻井液成分及材料用量设计见表</w:t>
      </w:r>
      <w:r>
        <w:rPr>
          <w:color w:val="auto"/>
        </w:rPr>
        <w:t>3.</w:t>
      </w:r>
      <w:r>
        <w:rPr>
          <w:rFonts w:hint="eastAsia"/>
          <w:color w:val="auto"/>
          <w:lang w:val="en-US" w:eastAsia="zh-CN"/>
        </w:rPr>
        <w:t>1</w:t>
      </w:r>
      <w:r>
        <w:rPr>
          <w:color w:val="auto"/>
        </w:rPr>
        <w:t>-</w:t>
      </w:r>
      <w:r>
        <w:rPr>
          <w:rFonts w:hint="eastAsia"/>
          <w:color w:val="auto"/>
          <w:lang w:val="en-US" w:eastAsia="zh-CN"/>
        </w:rPr>
        <w:t>5、表3.1-6</w:t>
      </w:r>
      <w:r>
        <w:rPr>
          <w:rFonts w:hint="eastAsia"/>
          <w:color w:val="auto"/>
        </w:rPr>
        <w:t>。</w:t>
      </w:r>
    </w:p>
    <w:p>
      <w:pPr>
        <w:pStyle w:val="7"/>
        <w:bidi w:val="0"/>
        <w:rPr>
          <w:color w:val="auto"/>
        </w:rPr>
      </w:pPr>
      <w:r>
        <w:rPr>
          <w:rFonts w:hint="eastAsia"/>
          <w:color w:val="auto"/>
          <w:lang w:eastAsia="zh-CN"/>
        </w:rPr>
        <w:t>升平储气库钻井工程</w:t>
      </w:r>
      <w:r>
        <w:rPr>
          <w:rFonts w:hint="eastAsia"/>
          <w:color w:val="auto"/>
        </w:rPr>
        <w:t>钻井液材料用量设计数据表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13" w:type="dxa"/>
          <w:bottom w:w="0" w:type="dxa"/>
          <w:right w:w="113" w:type="dxa"/>
        </w:tblCellMar>
      </w:tblPr>
      <w:tblGrid>
        <w:gridCol w:w="839"/>
        <w:gridCol w:w="2225"/>
        <w:gridCol w:w="1384"/>
        <w:gridCol w:w="1387"/>
        <w:gridCol w:w="1340"/>
        <w:gridCol w:w="979"/>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2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开钻次序</w:t>
            </w:r>
          </w:p>
        </w:tc>
        <w:tc>
          <w:tcPr>
            <w:tcW w:w="127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一开</w:t>
            </w:r>
          </w:p>
        </w:tc>
        <w:tc>
          <w:tcPr>
            <w:tcW w:w="127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二开</w:t>
            </w:r>
          </w:p>
        </w:tc>
        <w:tc>
          <w:tcPr>
            <w:tcW w:w="123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三开</w:t>
            </w:r>
          </w:p>
        </w:tc>
        <w:tc>
          <w:tcPr>
            <w:tcW w:w="1950" w:type="dxa"/>
            <w:gridSpan w:val="2"/>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四开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2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钻头尺寸（</w:t>
            </w:r>
            <w:r>
              <w:rPr>
                <w:rFonts w:hint="default" w:ascii="Times New Roman" w:hAnsi="Times New Roman" w:eastAsia="宋体" w:cs="Times New Roman"/>
                <w:color w:val="auto"/>
                <w:kern w:val="0"/>
                <w:sz w:val="21"/>
                <w:szCs w:val="21"/>
                <w:lang w:val="en-US" w:eastAsia="zh-CN" w:bidi="ar"/>
              </w:rPr>
              <w:t>mm</w:t>
            </w:r>
            <w:r>
              <w:rPr>
                <w:rFonts w:hint="eastAsia" w:ascii="宋体" w:hAnsi="宋体" w:eastAsia="宋体" w:cs="宋体"/>
                <w:color w:val="auto"/>
                <w:kern w:val="0"/>
                <w:sz w:val="21"/>
                <w:szCs w:val="21"/>
                <w:lang w:val="en-US" w:eastAsia="zh-CN" w:bidi="ar"/>
              </w:rPr>
              <w:t>）</w:t>
            </w:r>
          </w:p>
        </w:tc>
        <w:tc>
          <w:tcPr>
            <w:tcW w:w="127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660.4</w:t>
            </w:r>
          </w:p>
        </w:tc>
        <w:tc>
          <w:tcPr>
            <w:tcW w:w="127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444.5</w:t>
            </w:r>
          </w:p>
        </w:tc>
        <w:tc>
          <w:tcPr>
            <w:tcW w:w="123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311.1</w:t>
            </w:r>
          </w:p>
        </w:tc>
        <w:tc>
          <w:tcPr>
            <w:tcW w:w="1950" w:type="dxa"/>
            <w:gridSpan w:val="2"/>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215.9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2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井段（</w:t>
            </w:r>
            <w:r>
              <w:rPr>
                <w:rFonts w:hint="default" w:ascii="Times New Roman" w:hAnsi="Times New Roman" w:eastAsia="宋体" w:cs="Times New Roman"/>
                <w:color w:val="auto"/>
                <w:kern w:val="0"/>
                <w:sz w:val="21"/>
                <w:szCs w:val="21"/>
                <w:lang w:val="en-US" w:eastAsia="zh-CN" w:bidi="ar"/>
              </w:rPr>
              <w:t>m</w:t>
            </w:r>
            <w:r>
              <w:rPr>
                <w:rFonts w:hint="eastAsia" w:ascii="宋体" w:hAnsi="宋体" w:eastAsia="宋体" w:cs="宋体"/>
                <w:color w:val="auto"/>
                <w:kern w:val="0"/>
                <w:sz w:val="21"/>
                <w:szCs w:val="21"/>
                <w:lang w:val="en-US" w:eastAsia="zh-CN" w:bidi="ar"/>
              </w:rPr>
              <w:t>）</w:t>
            </w:r>
          </w:p>
        </w:tc>
        <w:tc>
          <w:tcPr>
            <w:tcW w:w="127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0</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313</w:t>
            </w:r>
          </w:p>
        </w:tc>
        <w:tc>
          <w:tcPr>
            <w:tcW w:w="127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313</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2000</w:t>
            </w:r>
          </w:p>
        </w:tc>
        <w:tc>
          <w:tcPr>
            <w:tcW w:w="123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2000</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2850</w:t>
            </w:r>
          </w:p>
        </w:tc>
        <w:tc>
          <w:tcPr>
            <w:tcW w:w="1950" w:type="dxa"/>
            <w:gridSpan w:val="2"/>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2850</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2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井筒容积（</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eastAsia" w:ascii="宋体" w:hAnsi="宋体" w:eastAsia="宋体" w:cs="宋体"/>
                <w:color w:val="auto"/>
                <w:kern w:val="0"/>
                <w:sz w:val="21"/>
                <w:szCs w:val="21"/>
                <w:lang w:val="en-US" w:eastAsia="zh-CN" w:bidi="ar"/>
              </w:rPr>
              <w:t>）</w:t>
            </w:r>
          </w:p>
        </w:tc>
        <w:tc>
          <w:tcPr>
            <w:tcW w:w="127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181</w:t>
            </w:r>
          </w:p>
        </w:tc>
        <w:tc>
          <w:tcPr>
            <w:tcW w:w="127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410</w:t>
            </w:r>
          </w:p>
        </w:tc>
        <w:tc>
          <w:tcPr>
            <w:tcW w:w="123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287</w:t>
            </w:r>
          </w:p>
        </w:tc>
        <w:tc>
          <w:tcPr>
            <w:tcW w:w="1950" w:type="dxa"/>
            <w:gridSpan w:val="2"/>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2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钻井液用量（</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eastAsia" w:ascii="宋体" w:hAnsi="宋体" w:eastAsia="宋体" w:cs="宋体"/>
                <w:color w:val="auto"/>
                <w:kern w:val="0"/>
                <w:sz w:val="21"/>
                <w:szCs w:val="21"/>
                <w:lang w:val="en-US" w:eastAsia="zh-CN" w:bidi="ar"/>
              </w:rPr>
              <w:t>）</w:t>
            </w:r>
          </w:p>
        </w:tc>
        <w:tc>
          <w:tcPr>
            <w:tcW w:w="127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234</w:t>
            </w:r>
          </w:p>
        </w:tc>
        <w:tc>
          <w:tcPr>
            <w:tcW w:w="127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598</w:t>
            </w:r>
          </w:p>
        </w:tc>
        <w:tc>
          <w:tcPr>
            <w:tcW w:w="1232"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574</w:t>
            </w:r>
          </w:p>
        </w:tc>
        <w:tc>
          <w:tcPr>
            <w:tcW w:w="1950" w:type="dxa"/>
            <w:gridSpan w:val="2"/>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序号</w:t>
            </w:r>
          </w:p>
        </w:tc>
        <w:tc>
          <w:tcPr>
            <w:tcW w:w="204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材料名称</w:t>
            </w:r>
          </w:p>
        </w:tc>
        <w:tc>
          <w:tcPr>
            <w:tcW w:w="4679" w:type="dxa"/>
            <w:gridSpan w:val="4"/>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材料数量（</w:t>
            </w:r>
            <w:r>
              <w:rPr>
                <w:rFonts w:hint="default" w:ascii="Times New Roman" w:hAnsi="Times New Roman" w:eastAsia="宋体" w:cs="Times New Roman"/>
                <w:color w:val="auto"/>
                <w:kern w:val="0"/>
                <w:sz w:val="21"/>
                <w:szCs w:val="21"/>
                <w:lang w:val="en-US" w:eastAsia="zh-CN" w:bidi="ar"/>
              </w:rPr>
              <w:t>t</w:t>
            </w:r>
            <w:r>
              <w:rPr>
                <w:rFonts w:hint="eastAsia" w:ascii="宋体" w:hAnsi="宋体" w:eastAsia="宋体" w:cs="宋体"/>
                <w:color w:val="auto"/>
                <w:kern w:val="0"/>
                <w:sz w:val="21"/>
                <w:szCs w:val="21"/>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w:t>
            </w:r>
          </w:p>
        </w:tc>
        <w:tc>
          <w:tcPr>
            <w:tcW w:w="204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膨润土</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12.9</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32.9</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2</w:t>
            </w:r>
          </w:p>
        </w:tc>
        <w:tc>
          <w:tcPr>
            <w:tcW w:w="204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Times New Roman" w:hAnsi="Times New Roman" w:eastAsia="宋体" w:cs="宋体"/>
                <w:color w:val="auto"/>
                <w:kern w:val="0"/>
                <w:sz w:val="21"/>
                <w:szCs w:val="21"/>
                <w:lang w:val="en-US" w:eastAsia="zh-CN" w:bidi="ar"/>
              </w:rPr>
              <w:t>纯碱</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0.6</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1.6</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3</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WDYZ-1</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2.4</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4</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HX-D</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2.4</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5</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JS-1</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7.2</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6</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JS-2</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9.0</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7</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NH</w:t>
            </w:r>
            <w:r>
              <w:rPr>
                <w:rFonts w:hint="default" w:ascii="Arial" w:hAnsi="Arial" w:eastAsia="宋体" w:cs="Arial"/>
                <w:color w:val="auto"/>
                <w:kern w:val="2"/>
                <w:sz w:val="21"/>
                <w:szCs w:val="21"/>
                <w:u w:val="none"/>
                <w:vertAlign w:val="subscript"/>
                <w:lang w:val="en-US" w:eastAsia="zh-CN" w:bidi="ar"/>
              </w:rPr>
              <w:t>4</w:t>
            </w:r>
            <w:r>
              <w:rPr>
                <w:rFonts w:hint="default" w:ascii="Arial" w:hAnsi="Arial" w:eastAsia="宋体" w:cs="Arial"/>
                <w:color w:val="auto"/>
                <w:kern w:val="2"/>
                <w:sz w:val="21"/>
                <w:szCs w:val="21"/>
                <w:u w:val="none"/>
                <w:lang w:val="en-US" w:eastAsia="zh-CN" w:bidi="ar"/>
              </w:rPr>
              <w:t>-HPAN-2</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7.8</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0"/>
                <w:sz w:val="24"/>
                <w:szCs w:val="24"/>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8</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SPNH</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7.2</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9</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HX-A</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bidi="ar"/>
              </w:rPr>
              <w:t>9.0</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10</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KOH</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0.6</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11</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1"/>
                <w:szCs w:val="21"/>
                <w:lang w:val="en-US" w:eastAsia="zh-CN" w:bidi="ar"/>
              </w:rPr>
              <w:t>柴油</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516.6</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147.6</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664.2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12</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1"/>
                <w:szCs w:val="21"/>
                <w:lang w:val="en-US" w:eastAsia="zh-CN" w:bidi="ar"/>
              </w:rPr>
              <w:t>主乳化剂</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22.9</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6.5</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13</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1"/>
                <w:szCs w:val="21"/>
                <w:lang w:val="en-US" w:eastAsia="zh-CN" w:bidi="ar"/>
              </w:rPr>
              <w:t>辅乳化剂</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17.22</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4.9</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14</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1"/>
                <w:szCs w:val="21"/>
                <w:lang w:val="en-US" w:eastAsia="zh-CN" w:bidi="ar"/>
              </w:rPr>
              <w:t>油包水降滤失剂</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28.7</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8.2</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15</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1"/>
                <w:szCs w:val="21"/>
                <w:lang w:val="en-US" w:eastAsia="zh-CN" w:bidi="ar"/>
              </w:rPr>
              <w:t>有机土</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28.7</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8.2</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351"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16</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CaCl</w:t>
            </w:r>
            <w:r>
              <w:rPr>
                <w:rFonts w:hint="default" w:ascii="Arial" w:hAnsi="Arial" w:eastAsia="宋体" w:cs="Arial"/>
                <w:color w:val="auto"/>
                <w:kern w:val="0"/>
                <w:sz w:val="21"/>
                <w:szCs w:val="21"/>
                <w:vertAlign w:val="subscript"/>
                <w:lang w:val="en-US" w:eastAsia="zh-CN" w:bidi="ar"/>
              </w:rPr>
              <w:t>2</w:t>
            </w:r>
            <w:r>
              <w:rPr>
                <w:rFonts w:hint="eastAsia" w:ascii="宋体" w:hAnsi="宋体" w:eastAsia="宋体" w:cs="宋体"/>
                <w:color w:val="auto"/>
                <w:kern w:val="0"/>
                <w:sz w:val="21"/>
                <w:szCs w:val="21"/>
                <w:lang w:val="en-US" w:eastAsia="zh-CN" w:bidi="ar"/>
              </w:rPr>
              <w:t>水溶液（</w:t>
            </w:r>
            <w:r>
              <w:rPr>
                <w:rFonts w:hint="default" w:ascii="Arial" w:hAnsi="Arial" w:eastAsia="宋体" w:cs="Arial"/>
                <w:color w:val="auto"/>
                <w:kern w:val="2"/>
                <w:sz w:val="21"/>
                <w:szCs w:val="21"/>
                <w:u w:val="none"/>
                <w:lang w:val="en-US" w:eastAsia="zh-CN" w:bidi="ar"/>
              </w:rPr>
              <w:t>20%~40%</w:t>
            </w:r>
            <w:r>
              <w:rPr>
                <w:rFonts w:hint="eastAsia" w:ascii="宋体" w:hAnsi="宋体" w:eastAsia="宋体" w:cs="宋体"/>
                <w:color w:val="auto"/>
                <w:kern w:val="0"/>
                <w:sz w:val="21"/>
                <w:szCs w:val="21"/>
                <w:lang w:val="en-US" w:eastAsia="zh-CN" w:bidi="ar"/>
              </w:rPr>
              <w:t>）</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firstLine="240" w:firstLineChars="100"/>
              <w:jc w:val="both"/>
              <w:textAlignment w:val="bottom"/>
              <w:rPr>
                <w:rFonts w:hint="default"/>
                <w:color w:val="auto"/>
                <w:lang w:val="en-US"/>
              </w:rPr>
            </w:pPr>
            <w:r>
              <w:rPr>
                <w:rFonts w:hint="eastAsia" w:ascii="宋体" w:hAnsi="宋体" w:eastAsia="宋体" w:cs="宋体"/>
                <w:color w:val="auto"/>
                <w:kern w:val="0"/>
                <w:sz w:val="24"/>
                <w:szCs w:val="24"/>
                <w:lang w:val="en-US" w:eastAsia="zh-CN" w:bidi="ar"/>
              </w:rPr>
              <w:t>57.4</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16.4</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17</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default" w:ascii="Arial" w:hAnsi="Arial" w:eastAsia="宋体" w:cs="Arial"/>
                <w:color w:val="auto"/>
                <w:kern w:val="0"/>
                <w:sz w:val="21"/>
                <w:szCs w:val="21"/>
                <w:lang w:val="en-US" w:eastAsia="zh-CN" w:bidi="ar"/>
              </w:rPr>
              <w:t>CaO</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22.9</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6.5</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18</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1"/>
                <w:szCs w:val="21"/>
                <w:lang w:val="en-US" w:eastAsia="zh-CN" w:bidi="ar"/>
              </w:rPr>
              <w:t>油包水封堵剂Ⅰ型</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17.2</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4.9</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19</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1"/>
                <w:szCs w:val="21"/>
                <w:lang w:val="en-US" w:eastAsia="zh-CN" w:bidi="ar"/>
              </w:rPr>
              <w:t>油包水封堵剂Ⅱ型</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17.2</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4.9</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7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center"/>
              <w:rPr>
                <w:rFonts w:hint="default"/>
                <w:color w:val="auto"/>
                <w:lang w:val="en-US"/>
              </w:rPr>
            </w:pPr>
            <w:r>
              <w:rPr>
                <w:rFonts w:hint="default" w:ascii="Times New Roman" w:hAnsi="Times New Roman" w:eastAsia="宋体" w:cs="Arial"/>
                <w:color w:val="auto"/>
                <w:kern w:val="0"/>
                <w:sz w:val="21"/>
                <w:szCs w:val="21"/>
                <w:lang w:val="en-US" w:eastAsia="zh-CN" w:bidi="ar"/>
              </w:rPr>
              <w:t>20</w:t>
            </w:r>
          </w:p>
        </w:tc>
        <w:tc>
          <w:tcPr>
            <w:tcW w:w="20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1"/>
                <w:szCs w:val="21"/>
                <w:lang w:val="en-US" w:eastAsia="zh-CN" w:bidi="ar"/>
              </w:rPr>
              <w:t>超细碳酸钙</w:t>
            </w:r>
          </w:p>
        </w:tc>
        <w:tc>
          <w:tcPr>
            <w:tcW w:w="127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eastAsia" w:ascii="等线" w:hAnsi="等线" w:eastAsia="等线" w:cs="Times New Roman"/>
                <w:color w:val="auto"/>
                <w:kern w:val="2"/>
                <w:sz w:val="21"/>
                <w:szCs w:val="22"/>
                <w:lang w:val="en-US" w:eastAsia="zh-CN" w:bidi="ar"/>
              </w:rPr>
              <w:t>/</w:t>
            </w:r>
          </w:p>
        </w:tc>
        <w:tc>
          <w:tcPr>
            <w:tcW w:w="123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17.2</w:t>
            </w:r>
          </w:p>
        </w:tc>
        <w:tc>
          <w:tcPr>
            <w:tcW w:w="90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color w:val="auto"/>
                <w:lang w:val="en-US"/>
              </w:rPr>
            </w:pPr>
            <w:r>
              <w:rPr>
                <w:rFonts w:hint="eastAsia" w:ascii="宋体" w:hAnsi="宋体" w:eastAsia="宋体" w:cs="宋体"/>
                <w:color w:val="auto"/>
                <w:kern w:val="0"/>
                <w:sz w:val="24"/>
                <w:szCs w:val="24"/>
                <w:lang w:val="en-US" w:eastAsia="zh-CN" w:bidi="ar"/>
              </w:rPr>
              <w:t>4.9</w:t>
            </w:r>
          </w:p>
        </w:tc>
        <w:tc>
          <w:tcPr>
            <w:tcW w:w="105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bottom"/>
              <w:rPr>
                <w:rFonts w:hint="default" w:eastAsia="宋体"/>
                <w:color w:val="auto"/>
                <w:lang w:val="en-US"/>
              </w:rPr>
            </w:pPr>
            <w:r>
              <w:rPr>
                <w:rFonts w:hint="eastAsia" w:ascii="宋体" w:hAnsi="宋体" w:eastAsia="宋体" w:cs="宋体"/>
                <w:color w:val="auto"/>
                <w:kern w:val="0"/>
                <w:sz w:val="24"/>
                <w:szCs w:val="24"/>
                <w:lang w:val="en-US" w:eastAsia="zh-CN" w:bidi="ar"/>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20" w:hRule="atLeast"/>
        </w:trPr>
        <w:tc>
          <w:tcPr>
            <w:tcW w:w="854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ind w:left="0" w:right="0"/>
              <w:jc w:val="both"/>
              <w:rPr>
                <w:rFonts w:hint="default"/>
                <w:color w:val="auto"/>
                <w:lang w:val="en-US"/>
              </w:rPr>
            </w:pPr>
            <w:r>
              <w:rPr>
                <w:rFonts w:hint="eastAsia" w:ascii="Times New Roman" w:hAnsi="Times New Roman" w:eastAsia="宋体" w:cs="宋体"/>
                <w:color w:val="auto"/>
                <w:kern w:val="0"/>
                <w:sz w:val="21"/>
                <w:szCs w:val="21"/>
                <w:lang w:val="en-US" w:eastAsia="zh-CN" w:bidi="ar"/>
              </w:rPr>
              <w:t>注</w:t>
            </w:r>
            <w:r>
              <w:rPr>
                <w:rFonts w:hint="default" w:ascii="Times New Roman" w:hAnsi="Times New Roman" w:eastAsia="宋体" w:cs="Arial"/>
                <w:color w:val="auto"/>
                <w:kern w:val="0"/>
                <w:sz w:val="21"/>
                <w:szCs w:val="21"/>
                <w:lang w:val="en-US" w:eastAsia="zh-CN" w:bidi="ar"/>
              </w:rPr>
              <w:t>1</w:t>
            </w:r>
            <w:r>
              <w:rPr>
                <w:rFonts w:hint="eastAsia" w:ascii="Times New Roman" w:hAnsi="Times New Roman" w:eastAsia="宋体" w:cs="宋体"/>
                <w:color w:val="auto"/>
                <w:kern w:val="0"/>
                <w:sz w:val="21"/>
                <w:szCs w:val="21"/>
                <w:lang w:val="en-US" w:eastAsia="zh-CN" w:bidi="ar"/>
              </w:rPr>
              <w:t>：钻井液用量设计未考虑井漏等复杂情况下损耗量。</w:t>
            </w:r>
          </w:p>
          <w:p>
            <w:pPr>
              <w:pStyle w:val="29"/>
              <w:keepNext w:val="0"/>
              <w:keepLines w:val="0"/>
              <w:widowControl w:val="0"/>
              <w:suppressLineNumbers w:val="0"/>
              <w:spacing w:before="0" w:beforeAutospacing="0" w:after="0" w:afterAutospacing="0"/>
              <w:ind w:left="0" w:right="0"/>
              <w:jc w:val="both"/>
              <w:rPr>
                <w:rFonts w:hint="default"/>
                <w:color w:val="auto"/>
                <w:lang w:val="en-US"/>
              </w:rPr>
            </w:pPr>
            <w:r>
              <w:rPr>
                <w:rFonts w:hint="eastAsia" w:ascii="Times New Roman" w:hAnsi="Times New Roman" w:eastAsia="宋体" w:cs="宋体"/>
                <w:color w:val="auto"/>
                <w:kern w:val="0"/>
                <w:sz w:val="21"/>
                <w:szCs w:val="21"/>
                <w:lang w:val="en-US" w:eastAsia="zh-CN" w:bidi="ar"/>
              </w:rPr>
              <w:t>注</w:t>
            </w:r>
            <w:r>
              <w:rPr>
                <w:rFonts w:hint="default" w:ascii="Times New Roman" w:hAnsi="Times New Roman" w:eastAsia="宋体" w:cs="Arial"/>
                <w:color w:val="auto"/>
                <w:kern w:val="0"/>
                <w:sz w:val="21"/>
                <w:szCs w:val="21"/>
                <w:lang w:val="en-US" w:eastAsia="zh-CN" w:bidi="ar"/>
              </w:rPr>
              <w:t>2</w:t>
            </w:r>
            <w:r>
              <w:rPr>
                <w:rFonts w:hint="eastAsia" w:ascii="Times New Roman" w:hAnsi="Times New Roman" w:eastAsia="宋体" w:cs="宋体"/>
                <w:color w:val="auto"/>
                <w:kern w:val="0"/>
                <w:sz w:val="21"/>
                <w:szCs w:val="21"/>
                <w:lang w:val="en-US" w:eastAsia="zh-CN" w:bidi="ar"/>
              </w:rPr>
              <w:t>：四开钻井液用量设计考虑三开重复利用</w:t>
            </w:r>
            <w:r>
              <w:rPr>
                <w:rFonts w:hint="default" w:ascii="Times New Roman" w:hAnsi="Times New Roman" w:eastAsia="宋体" w:cs="Arial"/>
                <w:color w:val="auto"/>
                <w:kern w:val="0"/>
                <w:sz w:val="21"/>
                <w:szCs w:val="21"/>
                <w:lang w:val="en-US" w:eastAsia="zh-CN" w:bidi="ar"/>
              </w:rPr>
              <w:t>344m</w:t>
            </w:r>
            <w:r>
              <w:rPr>
                <w:rFonts w:hint="default" w:ascii="Times New Roman" w:hAnsi="Times New Roman" w:eastAsia="宋体" w:cs="Arial"/>
                <w:color w:val="auto"/>
                <w:kern w:val="0"/>
                <w:sz w:val="21"/>
                <w:szCs w:val="21"/>
                <w:vertAlign w:val="superscript"/>
                <w:lang w:val="en-US" w:eastAsia="zh-CN" w:bidi="ar"/>
              </w:rPr>
              <w:t>3</w:t>
            </w:r>
            <w:r>
              <w:rPr>
                <w:rFonts w:hint="eastAsia" w:ascii="Times New Roman" w:hAnsi="Times New Roman" w:eastAsia="宋体" w:cs="宋体"/>
                <w:color w:val="auto"/>
                <w:kern w:val="0"/>
                <w:sz w:val="21"/>
                <w:szCs w:val="21"/>
                <w:lang w:val="en-US" w:eastAsia="zh-CN" w:bidi="ar"/>
              </w:rPr>
              <w:t>。</w:t>
            </w:r>
          </w:p>
        </w:tc>
      </w:tr>
    </w:tbl>
    <w:p>
      <w:pPr>
        <w:pStyle w:val="21"/>
        <w:spacing w:line="480" w:lineRule="exact"/>
        <w:rPr>
          <w:rFonts w:ascii="Times New Roman"/>
          <w:color w:val="auto"/>
          <w:sz w:val="28"/>
          <w:szCs w:val="28"/>
        </w:rPr>
      </w:pPr>
      <w:r>
        <w:rPr>
          <w:rFonts w:hint="eastAsia" w:ascii="Times New Roman"/>
          <w:color w:val="auto"/>
          <w:sz w:val="28"/>
          <w:szCs w:val="28"/>
        </w:rPr>
        <w:t>项目钻井液主要化学物质的具体理化性质见下表</w:t>
      </w:r>
      <w:r>
        <w:rPr>
          <w:rFonts w:ascii="Times New Roman"/>
          <w:color w:val="auto"/>
          <w:sz w:val="28"/>
          <w:szCs w:val="28"/>
        </w:rPr>
        <w:t>3.2-15</w:t>
      </w:r>
      <w:r>
        <w:rPr>
          <w:rFonts w:hint="eastAsia" w:ascii="Times New Roman"/>
          <w:color w:val="auto"/>
          <w:sz w:val="28"/>
          <w:szCs w:val="28"/>
        </w:rPr>
        <w:t>。</w:t>
      </w:r>
    </w:p>
    <w:p>
      <w:pPr>
        <w:pStyle w:val="7"/>
        <w:bidi w:val="0"/>
        <w:rPr>
          <w:color w:val="auto"/>
        </w:rPr>
      </w:pPr>
      <w:r>
        <w:rPr>
          <w:rFonts w:hint="eastAsia"/>
          <w:color w:val="auto"/>
        </w:rPr>
        <w:t>钻井液体系各成分理化性质表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13" w:type="dxa"/>
          <w:bottom w:w="0" w:type="dxa"/>
          <w:right w:w="113" w:type="dxa"/>
        </w:tblCellMar>
      </w:tblPr>
      <w:tblGrid>
        <w:gridCol w:w="564"/>
        <w:gridCol w:w="1164"/>
        <w:gridCol w:w="1491"/>
        <w:gridCol w:w="5279"/>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序号</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材料名称</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重要组分</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理化性质</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毒理</w:t>
            </w:r>
          </w:p>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膨润土</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天然矿物，主要成分是层状铝硅酸盐蒙脱石</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其晶体结构是由两个硅氧四面体晶片中间夹1个铝氧八面体晶片组成1个晶层，在硅氧四面体中，有部分的Si</w:t>
            </w:r>
            <w:r>
              <w:rPr>
                <w:rFonts w:hint="eastAsia"/>
                <w:color w:val="auto"/>
                <w:vertAlign w:val="superscript"/>
                <w:lang w:val="en-US" w:eastAsia="zh-CN"/>
              </w:rPr>
              <w:t>4+</w:t>
            </w:r>
            <w:r>
              <w:rPr>
                <w:rFonts w:hint="eastAsia"/>
                <w:color w:val="auto"/>
                <w:lang w:val="en-US" w:eastAsia="zh-CN"/>
              </w:rPr>
              <w:t>可被Al</w:t>
            </w:r>
            <w:r>
              <w:rPr>
                <w:rFonts w:hint="eastAsia"/>
                <w:color w:val="auto"/>
                <w:vertAlign w:val="superscript"/>
                <w:lang w:val="en-US" w:eastAsia="zh-CN"/>
              </w:rPr>
              <w:t>3+</w:t>
            </w:r>
            <w:r>
              <w:rPr>
                <w:rFonts w:hint="eastAsia"/>
                <w:color w:val="auto"/>
                <w:lang w:val="en-US" w:eastAsia="zh-CN"/>
              </w:rPr>
              <w:t>取代，铝氧八面体层中有部分的Al</w:t>
            </w:r>
            <w:r>
              <w:rPr>
                <w:rFonts w:hint="eastAsia"/>
                <w:color w:val="auto"/>
                <w:vertAlign w:val="superscript"/>
                <w:lang w:val="en-US" w:eastAsia="zh-CN"/>
              </w:rPr>
              <w:t>3+</w:t>
            </w:r>
            <w:r>
              <w:rPr>
                <w:rFonts w:hint="eastAsia"/>
                <w:color w:val="auto"/>
                <w:lang w:val="en-US" w:eastAsia="zh-CN"/>
              </w:rPr>
              <w:t>可被Fe</w:t>
            </w:r>
            <w:r>
              <w:rPr>
                <w:rFonts w:hint="eastAsia"/>
                <w:color w:val="auto"/>
                <w:vertAlign w:val="superscript"/>
                <w:lang w:val="en-US" w:eastAsia="zh-CN"/>
              </w:rPr>
              <w:t>2+</w:t>
            </w:r>
            <w:r>
              <w:rPr>
                <w:rFonts w:hint="eastAsia"/>
                <w:color w:val="auto"/>
                <w:lang w:val="en-US" w:eastAsia="zh-CN"/>
              </w:rPr>
              <w:t>、Mg</w:t>
            </w:r>
            <w:r>
              <w:rPr>
                <w:rFonts w:hint="eastAsia"/>
                <w:color w:val="auto"/>
                <w:vertAlign w:val="superscript"/>
                <w:lang w:val="en-US" w:eastAsia="zh-CN"/>
              </w:rPr>
              <w:t>2+</w:t>
            </w:r>
            <w:r>
              <w:rPr>
                <w:rFonts w:hint="eastAsia"/>
                <w:color w:val="auto"/>
                <w:lang w:val="en-US" w:eastAsia="zh-CN"/>
              </w:rPr>
              <w:t>、Zn</w:t>
            </w:r>
            <w:r>
              <w:rPr>
                <w:rFonts w:hint="eastAsia"/>
                <w:color w:val="auto"/>
                <w:vertAlign w:val="superscript"/>
                <w:lang w:val="en-US" w:eastAsia="zh-CN"/>
              </w:rPr>
              <w:t>2+</w:t>
            </w:r>
            <w:r>
              <w:rPr>
                <w:rFonts w:hint="eastAsia"/>
                <w:color w:val="auto"/>
                <w:lang w:val="en-US" w:eastAsia="zh-CN"/>
              </w:rPr>
              <w:t>等阳离子取代，这样使得蒙脱石的晶格显负电性，同时晶层上下皆为氧原子层，不能开成氢键，晶层间有微弱的分子力连接，连接力弱，水分子容易进入两层之间使之吸水肿胀。因此，它具有很强的吸水性、可塑性、粘结性和离子交换性，水化分散性较好</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2</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纯碱</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碳酸钠Na</w:t>
            </w:r>
            <w:r>
              <w:rPr>
                <w:rFonts w:hint="eastAsia"/>
                <w:color w:val="auto"/>
                <w:vertAlign w:val="subscript"/>
                <w:lang w:val="en-US" w:eastAsia="zh-CN"/>
              </w:rPr>
              <w:t>2</w:t>
            </w:r>
            <w:r>
              <w:rPr>
                <w:rFonts w:hint="eastAsia"/>
                <w:color w:val="auto"/>
                <w:lang w:val="en-US" w:eastAsia="zh-CN"/>
              </w:rPr>
              <w:t>CO</w:t>
            </w:r>
            <w:r>
              <w:rPr>
                <w:rFonts w:hint="eastAsia"/>
                <w:color w:val="auto"/>
                <w:vertAlign w:val="subscript"/>
                <w:lang w:val="en-US" w:eastAsia="zh-CN"/>
              </w:rPr>
              <w:t>3</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无水碳酸钠为白色粉末，易溶于水，水溶液呈碱性，pH值为11.5。在泥浆中发生电离和水解，提供Na</w:t>
            </w:r>
            <w:r>
              <w:rPr>
                <w:rFonts w:hint="eastAsia"/>
                <w:color w:val="auto"/>
                <w:vertAlign w:val="superscript"/>
                <w:lang w:val="en-US" w:eastAsia="zh-CN"/>
              </w:rPr>
              <w:t>+</w:t>
            </w:r>
            <w:r>
              <w:rPr>
                <w:rFonts w:hint="eastAsia"/>
                <w:color w:val="auto"/>
                <w:lang w:val="en-US" w:eastAsia="zh-CN"/>
              </w:rPr>
              <w:t>和CO</w:t>
            </w:r>
            <w:r>
              <w:rPr>
                <w:rFonts w:hint="eastAsia"/>
                <w:color w:val="auto"/>
                <w:vertAlign w:val="subscript"/>
                <w:lang w:val="en-US" w:eastAsia="zh-CN"/>
              </w:rPr>
              <w:t>3</w:t>
            </w:r>
            <w:r>
              <w:rPr>
                <w:rFonts w:hint="eastAsia"/>
                <w:color w:val="auto"/>
                <w:vertAlign w:val="superscript"/>
                <w:lang w:val="en-US" w:eastAsia="zh-CN"/>
              </w:rPr>
              <w:t>2-</w:t>
            </w:r>
            <w:r>
              <w:rPr>
                <w:rFonts w:hint="eastAsia"/>
                <w:color w:val="auto"/>
                <w:lang w:val="en-US" w:eastAsia="zh-CN"/>
              </w:rPr>
              <w:t>，在泥浆中通过离子交换和沉淀作用，使钙质粘土变为钠质粘土。另外可除掉石膏或水泥浸入泥浆中的Ca</w:t>
            </w:r>
            <w:r>
              <w:rPr>
                <w:rFonts w:hint="eastAsia"/>
                <w:color w:val="auto"/>
                <w:vertAlign w:val="superscript"/>
                <w:lang w:val="en-US" w:eastAsia="zh-CN"/>
              </w:rPr>
              <w:t>2+</w:t>
            </w:r>
            <w:r>
              <w:rPr>
                <w:rFonts w:hint="eastAsia"/>
                <w:color w:val="auto"/>
                <w:lang w:val="en-US" w:eastAsia="zh-CN"/>
              </w:rPr>
              <w:t>离子，使泥浆性能变好</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3</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钻井液用包被剂BZ-BYJ-1</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烯丙基钠盐、丙烯酸-2-丙烯酰胺-2-甲基丙烯酸共聚物</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外观与性能：白色粉末；pH值：7-8；熔点：210°C；爆炸上限：无爆炸危险；引燃温度：不燃；溶解性：油不溶、水可溶；稳定性：常温常压性稳定；禁配物：潮湿、强氧化剂、强酸和食用化学品；聚合危险：不聚合；生物降解性：部分降解。主要作用：可调节钻井液的流变性，提高体系动逆比、切力。</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4</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钻井液用降滤失剂BZ-KLS-1</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烯丙基钠盐、乙烯基钠盐、2-丙烯酰胺基-2-甲基丙钠盐</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外观与性能：白色粉末；pH值：7-9；爆炸上限：无爆炸危险；引燃温度：不燃；溶解性：油不溶、水可溶；稳定性：常温常压性稳定；禁配物：潮湿、强氧化剂、强酸和食用化学品；聚合危险：不聚合；生物降解性：部分易分解。主要作用：降低钻井液粘度和降滤失作用。</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5</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钻井液用抑制剂BZ-YZJ</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聚醚胺等</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外观与性能：自由流动液体；pH值：7-9；溶解性：易溶于水；稳定性：常温常压性稳定；禁配物：潮湿、强氧化剂、强酸和食用化学品；分解产物：不分解；聚合危害：不聚合；生物降解性：易降解。主要作用：强抑制、吸附和包被钻井泥浆起到防塌、防膨等作用。</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6</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钻井液用防塌封堵剂BZ-YFT</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聚乙醇硬脂酸脂，硬脂醇</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外观与性能：白色或黄色粉末；pH值：7-8；熔点：280°C；溶解性：部分油溶、水溶；稳定性：常温常压性稳定；禁配物：潮湿、强氧化剂、强酸和食用化学品；聚合危险：不聚合；生物降解性：易降解。主要作用：封堵裂缝能力、稳定泥浆流变性、改善泥饼质量。</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7</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钻井液用润滑剂BZ-RH-1</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改性植物油等</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外观与性能：褐色或棕红色液体；pH值：7-9；溶于水；稳定性：常温常压性稳定；禁配物：潮湿、强氧化剂、强酸和食用化学品；聚合危险：不聚合；生物降解性：易降解。主要作用：起润滑作用。</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8</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重晶石粉</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BaSO</w:t>
            </w:r>
            <w:r>
              <w:rPr>
                <w:rFonts w:hint="eastAsia"/>
                <w:color w:val="auto"/>
                <w:vertAlign w:val="subscript"/>
                <w:lang w:val="en-US" w:eastAsia="zh-CN"/>
              </w:rPr>
              <w:t>4</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纯品为白色粉末，如含有杂质多为灰绿化。相对密度4.3~4.6，不溶于水。钻井加重剂，增加钻井泥浆的密度。</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轻微毒性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9</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NH</w:t>
            </w:r>
            <w:r>
              <w:rPr>
                <w:rFonts w:hint="eastAsia"/>
                <w:color w:val="auto"/>
                <w:vertAlign w:val="subscript"/>
                <w:lang w:val="en-US" w:eastAsia="zh-CN"/>
              </w:rPr>
              <w:t>4</w:t>
            </w:r>
            <w:r>
              <w:rPr>
                <w:rFonts w:hint="eastAsia"/>
                <w:color w:val="auto"/>
                <w:lang w:val="en-US" w:eastAsia="zh-CN"/>
              </w:rPr>
              <w:t>-HPAN-2</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双聚铵盐（NH</w:t>
            </w:r>
            <w:r>
              <w:rPr>
                <w:rFonts w:hint="eastAsia"/>
                <w:color w:val="auto"/>
                <w:vertAlign w:val="subscript"/>
                <w:lang w:val="en-US" w:eastAsia="zh-CN"/>
              </w:rPr>
              <w:t>4</w:t>
            </w:r>
            <w:r>
              <w:rPr>
                <w:rFonts w:hint="eastAsia"/>
                <w:color w:val="auto"/>
                <w:lang w:val="en-US" w:eastAsia="zh-CN"/>
              </w:rPr>
              <w:t>-HPAN-2）</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双聚铵盐(NH</w:t>
            </w:r>
            <w:r>
              <w:rPr>
                <w:rFonts w:hint="eastAsia"/>
                <w:color w:val="auto"/>
                <w:vertAlign w:val="subscript"/>
                <w:lang w:val="en-US" w:eastAsia="zh-CN"/>
              </w:rPr>
              <w:t>4</w:t>
            </w:r>
            <w:r>
              <w:rPr>
                <w:rFonts w:hint="eastAsia"/>
                <w:color w:val="auto"/>
                <w:lang w:val="en-US" w:eastAsia="zh-CN"/>
              </w:rPr>
              <w:t>-HPAN-2)，外观为自由流动的粉末及颗粒，铵含量（%）≤6.0，是水解聚丙烯腈-铵盐（NH</w:t>
            </w:r>
            <w:r>
              <w:rPr>
                <w:rFonts w:hint="eastAsia"/>
                <w:color w:val="auto"/>
                <w:vertAlign w:val="subscript"/>
                <w:lang w:val="en-US" w:eastAsia="zh-CN"/>
              </w:rPr>
              <w:t>4</w:t>
            </w:r>
            <w:r>
              <w:rPr>
                <w:rFonts w:hint="eastAsia"/>
                <w:color w:val="auto"/>
                <w:lang w:val="en-US" w:eastAsia="zh-CN"/>
              </w:rPr>
              <w:t>-HPAN）的进一步改进，克服了铵盐抗盐、抗钙力较差的缺点，是腈纶丝、丙烯酰胺、氨水在高温、高压下聚合的产物，因带有-NH</w:t>
            </w:r>
            <w:r>
              <w:rPr>
                <w:rFonts w:hint="eastAsia"/>
                <w:color w:val="auto"/>
                <w:vertAlign w:val="subscript"/>
                <w:lang w:val="en-US" w:eastAsia="zh-CN"/>
              </w:rPr>
              <w:t>4</w:t>
            </w:r>
            <w:r>
              <w:rPr>
                <w:rFonts w:hint="eastAsia"/>
                <w:color w:val="auto"/>
                <w:lang w:val="en-US" w:eastAsia="zh-CN"/>
              </w:rPr>
              <w:t>、-NH</w:t>
            </w:r>
            <w:r>
              <w:rPr>
                <w:rFonts w:hint="eastAsia"/>
                <w:color w:val="auto"/>
                <w:vertAlign w:val="subscript"/>
                <w:lang w:val="en-US" w:eastAsia="zh-CN"/>
              </w:rPr>
              <w:t>2</w:t>
            </w:r>
            <w:r>
              <w:rPr>
                <w:rFonts w:hint="eastAsia"/>
                <w:color w:val="auto"/>
                <w:lang w:val="en-US" w:eastAsia="zh-CN"/>
              </w:rPr>
              <w:t>、-CN基团，具有一定的防塌、防水化膨胀和很好的抗盐能力，并且使用不受温度的限制，具有良好的降滤失功能。</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10</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default"/>
                <w:color w:val="auto"/>
                <w:lang w:val="en-US" w:eastAsia="zh-CN"/>
              </w:rPr>
              <w:t>KOH</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氢氧化钾（KOH）</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氢氧化钾是一种白色透明的晶体，易溶于水，溶解时强烈放热，水溶液呈碱性，pH值为14，有较强的腐蚀性，</w:t>
            </w:r>
            <w:r>
              <w:rPr>
                <w:rFonts w:hint="default"/>
                <w:color w:val="auto"/>
                <w:lang w:val="en-US" w:eastAsia="zh-CN"/>
              </w:rPr>
              <w:fldChar w:fldCharType="begin"/>
            </w:r>
            <w:r>
              <w:rPr>
                <w:rFonts w:hint="default"/>
                <w:color w:val="auto"/>
                <w:lang w:val="en-US" w:eastAsia="zh-CN"/>
              </w:rPr>
              <w:instrText xml:space="preserve"> HYPERLINK "https://baike.baidu.com/item/%E5%8D%8A%E6%95%B0%E8%87%B4%E6%AD%BB%E9%87%8F" </w:instrText>
            </w:r>
            <w:r>
              <w:rPr>
                <w:rFonts w:hint="default"/>
                <w:color w:val="auto"/>
                <w:lang w:val="en-US" w:eastAsia="zh-CN"/>
              </w:rPr>
              <w:fldChar w:fldCharType="separate"/>
            </w:r>
            <w:r>
              <w:rPr>
                <w:rStyle w:val="39"/>
                <w:rFonts w:hint="eastAsia" w:ascii="等线" w:hAnsi="等线" w:eastAsia="等线" w:cs="Times New Roman"/>
                <w:color w:val="auto"/>
                <w:kern w:val="2"/>
                <w:szCs w:val="20"/>
                <w:u w:val="none"/>
                <w:lang w:val="en-US"/>
              </w:rPr>
              <w:t>半数致死量</w:t>
            </w:r>
            <w:r>
              <w:rPr>
                <w:rFonts w:hint="default"/>
                <w:color w:val="auto"/>
                <w:lang w:val="en-US" w:eastAsia="zh-CN"/>
              </w:rPr>
              <w:fldChar w:fldCharType="end"/>
            </w:r>
            <w:r>
              <w:rPr>
                <w:rFonts w:hint="eastAsia"/>
                <w:color w:val="auto"/>
                <w:lang w:val="en-US" w:eastAsia="zh-CN"/>
              </w:rPr>
              <w:t>（大鼠，经口）273mg/kg，既能用来调节泥浆的pH值，又能提供K</w:t>
            </w:r>
            <w:r>
              <w:rPr>
                <w:rFonts w:hint="eastAsia"/>
                <w:color w:val="auto"/>
                <w:vertAlign w:val="superscript"/>
                <w:lang w:val="en-US" w:eastAsia="zh-CN"/>
              </w:rPr>
              <w:t>+</w:t>
            </w:r>
            <w:r>
              <w:rPr>
                <w:rFonts w:hint="eastAsia"/>
                <w:color w:val="auto"/>
                <w:lang w:val="en-US" w:eastAsia="zh-CN"/>
              </w:rPr>
              <w:t>离子，其在泥浆中全部电离，提供的K+离子有较好的防塌作用，因此钾盐泥浆被广泛使用。此外，KOH可用来与某些有机处理剂进行水解作用，生成钾盐</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中毒性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11</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柴油</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柴油</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柴油有色透明液体，难溶于水，易溶于醇和其他有机溶液；闪点38°C，沸点170-390°C，相对密度0.82-0.846;化学性质稳定；易燃物；分解产物氮氧化物、一氧化碳、二氧化碳、醛类。柴油是轻质石油产品，复杂烃类（碳原子数约10～22）混合物。</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低毒性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12</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主乳化剂</w:t>
            </w:r>
          </w:p>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BZ-OPE</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聚酰胺及其衍生物</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BZ-OPE外观棕褐色液体，不溶于水，常温常压下稳定；避免接触的条件和物质有强氧化剂、强酸、食用化学品；分解产物为一氧化碳、二氧化碳；不聚合、不易降解。</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13</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辅乳化剂</w:t>
            </w:r>
          </w:p>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BZ-OSE</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改性脂肪酸、白油</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BZ-OSE棕色液体，相对密度,0.85-1.05，pH值6，不溶于水，常温常压下稳定；避免接触的条件和物质有高温、明火、强氧化剂；分解产物为一氧化碳、二氧化碳；不聚合、不易降解。</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14</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油包水降滤失剂</w:t>
            </w:r>
          </w:p>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BZ-OFL</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树脂及疏水性表面活性剂</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BZ-OFL黑色或棕褐色粉末，不溶于水，常温常压下稳定；避免接触的条件和物质有潮湿、强氧化剂、强酸、食用化学品；分解产物为一氧化碳、二氧化碳；不聚合、不易降解。</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15</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有机土</w:t>
            </w:r>
          </w:p>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BZ-OC</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膨润土和表面活性剂</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BZ-OC白色粉末，不溶于水，常温常压下稳定；避免接触的条件和物质有潮湿、强氧化剂、强酸、食用化学品；分解产物为一氧化碳、二氧化碳；不聚合、不易降解。</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16</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default"/>
                <w:color w:val="auto"/>
                <w:lang w:val="en-US" w:eastAsia="zh-CN"/>
              </w:rPr>
              <w:t>CaCl</w:t>
            </w:r>
            <w:r>
              <w:rPr>
                <w:rFonts w:hint="default"/>
                <w:color w:val="auto"/>
                <w:vertAlign w:val="subscript"/>
                <w:lang w:val="en-US" w:eastAsia="zh-CN"/>
              </w:rPr>
              <w:t>2</w:t>
            </w:r>
            <w:r>
              <w:rPr>
                <w:rFonts w:hint="eastAsia"/>
                <w:color w:val="auto"/>
                <w:lang w:val="en-US" w:eastAsia="zh-CN"/>
              </w:rPr>
              <w:t>水溶液（</w:t>
            </w:r>
            <w:r>
              <w:rPr>
                <w:rFonts w:hint="default"/>
                <w:color w:val="auto"/>
                <w:lang w:val="en-US" w:eastAsia="zh-CN"/>
              </w:rPr>
              <w:t>20%~40%</w:t>
            </w:r>
            <w:r>
              <w:rPr>
                <w:rFonts w:hint="eastAsia"/>
                <w:color w:val="auto"/>
                <w:lang w:val="en-US" w:eastAsia="zh-CN"/>
              </w:rPr>
              <w:t>）</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氯化钙</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无色立方结晶体,白色或灰白色,有粒状、蜂窝块状、圆</w:t>
            </w:r>
          </w:p>
          <w:p>
            <w:pPr>
              <w:pStyle w:val="79"/>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球状、不规则颗粒状、粉末状。微毒、无臭、味微苦。</w:t>
            </w:r>
          </w:p>
          <w:p>
            <w:pPr>
              <w:pStyle w:val="79"/>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吸湿性极强,暴露于空气中极易潮解。易溶于水,同时放</w:t>
            </w:r>
          </w:p>
          <w:p>
            <w:pPr>
              <w:pStyle w:val="79"/>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出大量的热（氯化钙的溶解焓为-176.2cal/g）,其水溶液</w:t>
            </w:r>
          </w:p>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呈微酸性。</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微毒性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17</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default"/>
                <w:color w:val="auto"/>
                <w:lang w:val="en-US" w:eastAsia="zh-CN"/>
              </w:rPr>
              <w:t>CaO</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氧化钙</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氧化钙是表面白色粉末，具有吸湿性，密度3.35，常压常压下稳定；不溶于乙醇，容于酸、甘油</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18</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油包水封堵剂Ⅰ型</w:t>
            </w:r>
          </w:p>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BZ-DFT</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植物纤维、凝胶颗粒等</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BZ-DFT灰黄色粉末，pH值5-8，部分溶于水，常温常压下稳定；接触的条件和物质有潮湿、强氧化剂、强酸、食用化学品；分解产物为一氧化碳、二氧化碳；不聚合、易降解。</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低毒性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19</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油包水封堵剂Ⅱ型</w:t>
            </w:r>
          </w:p>
          <w:p>
            <w:pPr>
              <w:pStyle w:val="79"/>
              <w:keepNext w:val="0"/>
              <w:keepLines w:val="0"/>
              <w:suppressLineNumbers w:val="0"/>
              <w:bidi w:val="0"/>
              <w:spacing w:before="0" w:beforeAutospacing="0" w:after="0" w:afterAutospacing="0"/>
              <w:ind w:left="0" w:right="0"/>
              <w:jc w:val="center"/>
              <w:rPr>
                <w:rFonts w:hint="eastAsia"/>
                <w:color w:val="auto"/>
                <w:lang w:val="en-US"/>
              </w:rPr>
            </w:pPr>
            <w:r>
              <w:rPr>
                <w:rFonts w:hint="eastAsia"/>
                <w:color w:val="auto"/>
                <w:lang w:val="en-US" w:eastAsia="zh-CN"/>
              </w:rPr>
              <w:t>BZ-SPA</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凝胶纤维等</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BZ-SPA棕黄色颗粒，pH值7-9，不溶于水，常温常压下稳定；接触的条件和物质有潮湿、强氧化剂、强酸、食用化学品；分解产物为一氧化碳、二氧化碳；不聚合、易降解。</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低毒性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13" w:type="dxa"/>
            <w:bottom w:w="0" w:type="dxa"/>
            <w:right w:w="113" w:type="dxa"/>
          </w:tblCellMar>
        </w:tblPrEx>
        <w:trPr>
          <w:cantSplit/>
          <w:trHeight w:val="18" w:hRule="atLeast"/>
          <w:jc w:val="center"/>
        </w:trPr>
        <w:tc>
          <w:tcPr>
            <w:tcW w:w="51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20</w:t>
            </w:r>
          </w:p>
        </w:tc>
        <w:tc>
          <w:tcPr>
            <w:tcW w:w="107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超细碳酸钙</w:t>
            </w:r>
          </w:p>
        </w:tc>
        <w:tc>
          <w:tcPr>
            <w:tcW w:w="1373"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超细碳酸钙</w:t>
            </w:r>
          </w:p>
        </w:tc>
        <w:tc>
          <w:tcPr>
            <w:tcW w:w="4862"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超细碳酸钙为白色粉末、无臭、无味、露置空气中无变化，不溶于水，在含有铵盐或二氧化碳的水中微能溶解，不溶于醇。遇稀醋酸、稀盐酸、稀硝酸易发生泡沸并溶解；加热分解为氧化钙和二氧化碳。</w:t>
            </w:r>
          </w:p>
        </w:tc>
        <w:tc>
          <w:tcPr>
            <w:tcW w:w="736" w:type="dxa"/>
            <w:tcBorders>
              <w:top w:val="single" w:color="auto" w:sz="4" w:space="0"/>
              <w:left w:val="nil"/>
              <w:bottom w:val="single" w:color="auto" w:sz="4" w:space="0"/>
              <w:right w:val="single" w:color="auto" w:sz="4" w:space="0"/>
            </w:tcBorders>
            <w:shd w:val="clear" w:color="auto" w:fill="auto"/>
            <w:vAlign w:val="center"/>
          </w:tcPr>
          <w:p>
            <w:pPr>
              <w:pStyle w:val="79"/>
              <w:keepNext w:val="0"/>
              <w:keepLines w:val="0"/>
              <w:suppressLineNumbers w:val="0"/>
              <w:bidi w:val="0"/>
              <w:spacing w:before="0" w:beforeAutospacing="0" w:after="0" w:afterAutospacing="0"/>
              <w:ind w:left="0" w:right="0"/>
              <w:jc w:val="center"/>
              <w:rPr>
                <w:rFonts w:hint="default"/>
                <w:color w:val="auto"/>
                <w:lang w:val="en-US"/>
              </w:rPr>
            </w:pPr>
            <w:r>
              <w:rPr>
                <w:rFonts w:hint="eastAsia"/>
                <w:color w:val="auto"/>
                <w:lang w:val="en-US" w:eastAsia="zh-CN"/>
              </w:rPr>
              <w:t>无毒性</w:t>
            </w:r>
          </w:p>
        </w:tc>
      </w:tr>
    </w:tbl>
    <w:p>
      <w:pPr>
        <w:pStyle w:val="33"/>
        <w:bidi w:val="0"/>
        <w:rPr>
          <w:color w:val="auto"/>
        </w:rPr>
      </w:pPr>
      <w:r>
        <w:rPr>
          <w:rFonts w:hint="eastAsia"/>
          <w:color w:val="auto"/>
        </w:rPr>
        <w:t>由上表可知，工程配制水基钻井液的成分除氢氢化钾具中毒性外，其余成分均为无毒性物质。而氢氢化钾在配制钻井液过程中全部电离，反应生成物无毒性，对环境不会造成危害。油基钻井液体系成分中主要是柴油、CaCl</w:t>
      </w:r>
      <w:r>
        <w:rPr>
          <w:rFonts w:hint="eastAsia"/>
          <w:color w:val="auto"/>
          <w:vertAlign w:val="subscript"/>
        </w:rPr>
        <w:t>2</w:t>
      </w:r>
      <w:r>
        <w:rPr>
          <w:rFonts w:hint="eastAsia"/>
          <w:color w:val="auto"/>
        </w:rPr>
        <w:t>有微毒，其它成分均为无毒物质，在配制油基钻井液时，柴油、CaCl</w:t>
      </w:r>
      <w:r>
        <w:rPr>
          <w:rFonts w:hint="eastAsia"/>
          <w:color w:val="auto"/>
          <w:vertAlign w:val="subscript"/>
        </w:rPr>
        <w:t>2</w:t>
      </w:r>
      <w:r>
        <w:rPr>
          <w:rFonts w:hint="eastAsia"/>
          <w:color w:val="auto"/>
        </w:rPr>
        <w:t>随料拉运，随拉随用，对环境影响较小。所以本工程使用的水基钻井液体系均为无毒或毒性极小物质，对环境影响较小。</w:t>
      </w:r>
    </w:p>
    <w:p>
      <w:pPr>
        <w:pStyle w:val="5"/>
        <w:spacing w:before="159" w:beforeLines="50" w:after="159" w:afterLines="50" w:line="460" w:lineRule="exact"/>
        <w:rPr>
          <w:b w:val="0"/>
          <w:snapToGrid w:val="0"/>
          <w:color w:val="auto"/>
          <w:kern w:val="0"/>
          <w:sz w:val="28"/>
          <w:szCs w:val="28"/>
        </w:rPr>
      </w:pPr>
      <w:bookmarkStart w:id="389" w:name="_Toc88146593"/>
      <w:r>
        <w:rPr>
          <w:b w:val="0"/>
          <w:snapToGrid w:val="0"/>
          <w:color w:val="auto"/>
          <w:kern w:val="0"/>
          <w:sz w:val="28"/>
          <w:szCs w:val="28"/>
        </w:rPr>
        <w:t>钻井工程工艺</w:t>
      </w:r>
      <w:bookmarkEnd w:id="389"/>
    </w:p>
    <w:p>
      <w:pPr>
        <w:pStyle w:val="33"/>
        <w:bidi w:val="0"/>
        <w:rPr>
          <w:color w:val="auto"/>
        </w:rPr>
      </w:pPr>
      <w:r>
        <w:rPr>
          <w:color w:val="auto"/>
        </w:rPr>
        <w:t>钻井工艺包括：钻前准备、钻进、钻进辅助作业、固井、钻井完成。其中钻进辅助作业包括测井和固井。</w:t>
      </w:r>
    </w:p>
    <w:p>
      <w:pPr>
        <w:pStyle w:val="33"/>
        <w:bidi w:val="0"/>
        <w:rPr>
          <w:color w:val="auto"/>
        </w:rPr>
      </w:pPr>
      <w:r>
        <w:rPr>
          <w:color w:val="auto"/>
        </w:rPr>
        <w:t>（1）钻前准备工作</w:t>
      </w:r>
    </w:p>
    <w:p>
      <w:pPr>
        <w:pStyle w:val="33"/>
        <w:bidi w:val="0"/>
        <w:rPr>
          <w:color w:val="auto"/>
        </w:rPr>
      </w:pPr>
      <w:r>
        <w:rPr>
          <w:rFonts w:hint="eastAsia"/>
          <w:color w:val="auto"/>
        </w:rPr>
        <w:t>①</w:t>
      </w:r>
      <w:r>
        <w:rPr>
          <w:color w:val="auto"/>
        </w:rPr>
        <w:t>钻前整理场地，按照表土保护，分区防渗工作要求，对场地进行施工，平整土地后，柴油储罐区</w:t>
      </w:r>
      <w:r>
        <w:rPr>
          <w:rFonts w:hint="eastAsia"/>
          <w:color w:val="auto"/>
          <w:lang w:eastAsia="zh-CN"/>
        </w:rPr>
        <w:t>、井场钢制泥浆槽、泥浆循环罐区</w:t>
      </w:r>
      <w:r>
        <w:rPr>
          <w:rFonts w:hint="eastAsia"/>
          <w:color w:val="auto"/>
          <w:lang w:val="en-US" w:eastAsia="zh-CN"/>
        </w:rPr>
        <w:t>和</w:t>
      </w:r>
      <w:r>
        <w:rPr>
          <w:rFonts w:hint="eastAsia"/>
          <w:color w:val="auto"/>
          <w:lang w:eastAsia="zh-CN"/>
        </w:rPr>
        <w:t>放喷池</w:t>
      </w:r>
      <w:r>
        <w:rPr>
          <w:color w:val="auto"/>
        </w:rPr>
        <w:t>属于重点防渗区，</w:t>
      </w:r>
      <w:r>
        <w:rPr>
          <w:rFonts w:hint="eastAsia"/>
          <w:color w:val="auto"/>
        </w:rPr>
        <w:t>铺设厚2mm聚乙烯膜构筑防渗层，</w:t>
      </w:r>
      <w:r>
        <w:rPr>
          <w:color w:val="auto"/>
        </w:rPr>
        <w:t>防渗系数</w:t>
      </w:r>
      <w:r>
        <w:rPr>
          <w:rFonts w:hint="eastAsia"/>
          <w:color w:val="auto"/>
        </w:rPr>
        <w:t>K</w:t>
      </w:r>
      <w:r>
        <w:rPr>
          <w:color w:val="auto"/>
        </w:rPr>
        <w:t>≤1</w:t>
      </w:r>
      <w:r>
        <w:rPr>
          <w:rFonts w:hint="eastAsia"/>
          <w:color w:val="auto"/>
        </w:rPr>
        <w:t>.0×10</w:t>
      </w:r>
      <w:r>
        <w:rPr>
          <w:rFonts w:hint="eastAsia"/>
          <w:color w:val="auto"/>
          <w:vertAlign w:val="superscript"/>
        </w:rPr>
        <w:t>-13</w:t>
      </w:r>
      <w:r>
        <w:rPr>
          <w:rFonts w:hint="eastAsia"/>
          <w:color w:val="auto"/>
        </w:rPr>
        <w:t>cm/s，</w:t>
      </w:r>
      <w:r>
        <w:rPr>
          <w:color w:val="auto"/>
        </w:rPr>
        <w:t>防渗性能满足《环境影响评价技术导则 地下水环境》（HJ610-2016）中</w:t>
      </w:r>
      <w:r>
        <w:rPr>
          <w:rFonts w:hint="eastAsia"/>
          <w:color w:val="auto"/>
        </w:rPr>
        <w:t>重点</w:t>
      </w:r>
      <w:r>
        <w:rPr>
          <w:color w:val="auto"/>
        </w:rPr>
        <w:t>防渗区的要求，即防渗性能达到等效黏土防渗层Mb≥6.0m、K≤1.0×10</w:t>
      </w:r>
      <w:r>
        <w:rPr>
          <w:color w:val="auto"/>
          <w:vertAlign w:val="superscript"/>
        </w:rPr>
        <w:t>-7</w:t>
      </w:r>
      <w:r>
        <w:rPr>
          <w:color w:val="auto"/>
        </w:rPr>
        <w:t>cm/s的程度。</w:t>
      </w:r>
      <w:r>
        <w:rPr>
          <w:rFonts w:hint="eastAsia"/>
          <w:color w:val="auto"/>
        </w:rPr>
        <w:t>所有井场</w:t>
      </w:r>
      <w:r>
        <w:rPr>
          <w:color w:val="auto"/>
        </w:rPr>
        <w:t>防渗生活污水池</w:t>
      </w:r>
      <w:r>
        <w:rPr>
          <w:rFonts w:hint="eastAsia"/>
          <w:color w:val="auto"/>
        </w:rPr>
        <w:t>、材料房</w:t>
      </w:r>
      <w:r>
        <w:rPr>
          <w:color w:val="auto"/>
        </w:rPr>
        <w:t>属于一般防渗区，铺设人工材料防渗层，</w:t>
      </w:r>
      <w:r>
        <w:rPr>
          <w:rFonts w:hint="eastAsia"/>
          <w:color w:val="auto"/>
        </w:rPr>
        <w:t>厚2mm土工膜构筑防渗层，</w:t>
      </w:r>
      <w:r>
        <w:rPr>
          <w:color w:val="auto"/>
        </w:rPr>
        <w:t>防渗系数</w:t>
      </w:r>
      <w:r>
        <w:rPr>
          <w:rFonts w:hint="eastAsia"/>
          <w:color w:val="auto"/>
        </w:rPr>
        <w:t>K</w:t>
      </w:r>
      <w:r>
        <w:rPr>
          <w:color w:val="auto"/>
        </w:rPr>
        <w:t>≤1</w:t>
      </w:r>
      <w:r>
        <w:rPr>
          <w:rFonts w:hint="eastAsia"/>
          <w:color w:val="auto"/>
        </w:rPr>
        <w:t>.0×10</w:t>
      </w:r>
      <w:r>
        <w:rPr>
          <w:rFonts w:hint="eastAsia"/>
          <w:color w:val="auto"/>
          <w:vertAlign w:val="superscript"/>
        </w:rPr>
        <w:t>-1</w:t>
      </w:r>
      <w:r>
        <w:rPr>
          <w:color w:val="auto"/>
          <w:vertAlign w:val="superscript"/>
        </w:rPr>
        <w:t>0</w:t>
      </w:r>
      <w:r>
        <w:rPr>
          <w:rFonts w:hint="eastAsia"/>
          <w:color w:val="auto"/>
        </w:rPr>
        <w:t>cm/s。</w:t>
      </w:r>
      <w:r>
        <w:rPr>
          <w:color w:val="auto"/>
        </w:rPr>
        <w:t>防渗性能满足《环境影响评价技术导则 地下水环境》（HJ610-2016）中一般防渗区的要求，即等效黏土防渗层Mb≥1.5m、K≤1.0×10</w:t>
      </w:r>
      <w:r>
        <w:rPr>
          <w:color w:val="auto"/>
          <w:vertAlign w:val="superscript"/>
        </w:rPr>
        <w:t>-7</w:t>
      </w:r>
      <w:r>
        <w:rPr>
          <w:color w:val="auto"/>
        </w:rPr>
        <w:t>cm/s的程度。临时占地内划分作业带，建设柴油储罐基础及生活区、机房等临时工程，尽量减少临时占地。钻前整理场地，并保证全套钻井设备达到相关的安装标准。</w:t>
      </w:r>
    </w:p>
    <w:p>
      <w:pPr>
        <w:pStyle w:val="33"/>
        <w:bidi w:val="0"/>
        <w:rPr>
          <w:color w:val="auto"/>
        </w:rPr>
      </w:pPr>
      <w:r>
        <w:rPr>
          <w:rFonts w:hint="eastAsia"/>
          <w:color w:val="auto"/>
        </w:rPr>
        <w:t>②</w:t>
      </w:r>
      <w:r>
        <w:rPr>
          <w:color w:val="auto"/>
        </w:rPr>
        <w:t>钻机安装，注意保护原井口设备。</w:t>
      </w:r>
    </w:p>
    <w:p>
      <w:pPr>
        <w:pStyle w:val="33"/>
        <w:bidi w:val="0"/>
        <w:rPr>
          <w:color w:val="auto"/>
        </w:rPr>
      </w:pPr>
      <w:r>
        <w:rPr>
          <w:rFonts w:hint="eastAsia"/>
          <w:color w:val="auto"/>
        </w:rPr>
        <w:t>③</w:t>
      </w:r>
      <w:r>
        <w:rPr>
          <w:color w:val="auto"/>
        </w:rPr>
        <w:t>开钻前必须校正天车、转盘和井口，以保证三者中心偏差不大于10mm。</w:t>
      </w:r>
    </w:p>
    <w:p>
      <w:pPr>
        <w:pStyle w:val="33"/>
        <w:bidi w:val="0"/>
        <w:rPr>
          <w:color w:val="auto"/>
        </w:rPr>
      </w:pPr>
      <w:r>
        <w:rPr>
          <w:rFonts w:hint="eastAsia"/>
          <w:color w:val="auto"/>
        </w:rPr>
        <w:t>④</w:t>
      </w:r>
      <w:r>
        <w:rPr>
          <w:color w:val="auto"/>
        </w:rPr>
        <w:t>设备运转正常，安全装置灵活好用。各种仪器仪表准确灵敏好用。</w:t>
      </w:r>
    </w:p>
    <w:p>
      <w:pPr>
        <w:pStyle w:val="33"/>
        <w:bidi w:val="0"/>
        <w:rPr>
          <w:color w:val="auto"/>
        </w:rPr>
      </w:pPr>
      <w:r>
        <w:rPr>
          <w:rFonts w:hint="eastAsia"/>
          <w:color w:val="auto"/>
        </w:rPr>
        <w:t>⑤</w:t>
      </w:r>
      <w:r>
        <w:rPr>
          <w:color w:val="auto"/>
        </w:rPr>
        <w:t>设备安装完后，进行整机试运转，连续运转90min，各部件工作正常，性能可靠。然后进行高压循环系统试压，钻机试压25.0MPa，运转30min以上，所有管线不刺不漏，油气水路畅通。</w:t>
      </w:r>
    </w:p>
    <w:p>
      <w:pPr>
        <w:pStyle w:val="33"/>
        <w:bidi w:val="0"/>
        <w:rPr>
          <w:color w:val="auto"/>
        </w:rPr>
      </w:pPr>
      <w:r>
        <w:rPr>
          <w:rFonts w:hint="eastAsia"/>
          <w:color w:val="auto"/>
        </w:rPr>
        <w:t>⑥</w:t>
      </w:r>
      <w:r>
        <w:rPr>
          <w:color w:val="auto"/>
        </w:rPr>
        <w:t>井口挖直径3.0m、深2.5m的圆井，挖好后周围用5mm厚的钢板围住，防止圆井坍塌。钢板焊好后，内壁用60mm×60mm角铁焊接固定，并焊有扶梯。圆井底部铺0.5m厚的砂浆，并找平。钢板周围环隙不小于10cm，并灌水泥砂浆固化。圆井顶部高于地面5cm~10cm，满足后续施工要求。</w:t>
      </w:r>
    </w:p>
    <w:p>
      <w:pPr>
        <w:pStyle w:val="33"/>
        <w:bidi w:val="0"/>
        <w:rPr>
          <w:color w:val="auto"/>
        </w:rPr>
      </w:pPr>
      <w:r>
        <w:rPr>
          <w:color w:val="auto"/>
        </w:rPr>
        <w:t>（2）钻进</w:t>
      </w:r>
    </w:p>
    <w:p>
      <w:pPr>
        <w:pStyle w:val="33"/>
        <w:bidi w:val="0"/>
        <w:rPr>
          <w:color w:val="auto"/>
        </w:rPr>
      </w:pPr>
      <w:r>
        <w:rPr>
          <w:rFonts w:hint="eastAsia"/>
          <w:color w:val="auto"/>
        </w:rPr>
        <w:t>钻进过程主要包括钻机钻进、接单根、超下钻等。钻机钻进主要是利用钻头高效率地破碎岩石，钻头上面连接钻柱，钻柱把地面动力传给钻头；接单根是指随着井不断加深钻杆也要随之加长，每次接入一根钻杆称之为接单根；起下钻主要为了更换磨损的钻头。</w:t>
      </w:r>
    </w:p>
    <w:p>
      <w:pPr>
        <w:pStyle w:val="5"/>
        <w:spacing w:before="159" w:beforeLines="50" w:after="159" w:afterLines="50" w:line="460" w:lineRule="exact"/>
        <w:rPr>
          <w:b w:val="0"/>
          <w:snapToGrid w:val="0"/>
          <w:color w:val="auto"/>
          <w:kern w:val="0"/>
          <w:sz w:val="28"/>
          <w:szCs w:val="28"/>
        </w:rPr>
      </w:pPr>
      <w:bookmarkStart w:id="390" w:name="_Toc88146594"/>
      <w:r>
        <w:rPr>
          <w:rFonts w:hint="eastAsia"/>
          <w:b w:val="0"/>
          <w:snapToGrid w:val="0"/>
          <w:color w:val="auto"/>
          <w:kern w:val="0"/>
          <w:sz w:val="28"/>
          <w:szCs w:val="28"/>
        </w:rPr>
        <w:t>测</w:t>
      </w:r>
      <w:r>
        <w:rPr>
          <w:b w:val="0"/>
          <w:snapToGrid w:val="0"/>
          <w:color w:val="auto"/>
          <w:kern w:val="0"/>
          <w:sz w:val="28"/>
          <w:szCs w:val="28"/>
        </w:rPr>
        <w:t>井</w:t>
      </w:r>
      <w:bookmarkEnd w:id="390"/>
    </w:p>
    <w:p>
      <w:pPr>
        <w:pStyle w:val="83"/>
        <w:bidi w:val="0"/>
        <w:rPr>
          <w:color w:val="auto"/>
        </w:rPr>
      </w:pPr>
      <w:r>
        <w:rPr>
          <w:rFonts w:hint="eastAsia"/>
          <w:color w:val="auto"/>
        </w:rPr>
        <w:t>测井包括声幅/变密度测井、超声波成像测井等，仪器下入井中进行测井，测量完毕后进行资料解释。</w:t>
      </w:r>
    </w:p>
    <w:p>
      <w:pPr>
        <w:pStyle w:val="5"/>
        <w:spacing w:before="159" w:beforeLines="50" w:after="159" w:afterLines="50" w:line="460" w:lineRule="exact"/>
        <w:rPr>
          <w:b w:val="0"/>
          <w:snapToGrid w:val="0"/>
          <w:color w:val="auto"/>
          <w:kern w:val="0"/>
          <w:sz w:val="28"/>
          <w:szCs w:val="28"/>
        </w:rPr>
      </w:pPr>
      <w:bookmarkStart w:id="391" w:name="_Toc88146595"/>
      <w:r>
        <w:rPr>
          <w:rFonts w:hint="eastAsia"/>
          <w:b w:val="0"/>
          <w:snapToGrid w:val="0"/>
          <w:color w:val="auto"/>
          <w:kern w:val="0"/>
          <w:sz w:val="28"/>
          <w:szCs w:val="28"/>
        </w:rPr>
        <w:t>录</w:t>
      </w:r>
      <w:r>
        <w:rPr>
          <w:b w:val="0"/>
          <w:snapToGrid w:val="0"/>
          <w:color w:val="auto"/>
          <w:kern w:val="0"/>
          <w:sz w:val="28"/>
          <w:szCs w:val="28"/>
        </w:rPr>
        <w:t>井</w:t>
      </w:r>
      <w:bookmarkEnd w:id="391"/>
    </w:p>
    <w:p>
      <w:pPr>
        <w:pStyle w:val="33"/>
        <w:bidi w:val="0"/>
        <w:rPr>
          <w:color w:val="auto"/>
        </w:rPr>
      </w:pPr>
      <w:r>
        <w:rPr>
          <w:rFonts w:hint="eastAsia"/>
          <w:color w:val="auto"/>
        </w:rPr>
        <w:t>（</w:t>
      </w:r>
      <w:r>
        <w:rPr>
          <w:color w:val="auto"/>
        </w:rPr>
        <w:t>1</w:t>
      </w:r>
      <w:r>
        <w:rPr>
          <w:rFonts w:hint="eastAsia"/>
          <w:color w:val="auto"/>
        </w:rPr>
        <w:t>）钻井参数录取要求</w:t>
      </w:r>
    </w:p>
    <w:p>
      <w:pPr>
        <w:pStyle w:val="33"/>
        <w:bidi w:val="0"/>
        <w:rPr>
          <w:color w:val="auto"/>
        </w:rPr>
      </w:pPr>
      <w:r>
        <w:rPr>
          <w:rFonts w:hint="eastAsia"/>
          <w:color w:val="auto"/>
        </w:rPr>
        <w:t>钻井参数悬重、钻压、转数、排量、泵压等钻开油气层前</w:t>
      </w:r>
      <w:r>
        <w:rPr>
          <w:color w:val="auto"/>
        </w:rPr>
        <w:t>1h</w:t>
      </w:r>
      <w:r>
        <w:rPr>
          <w:rFonts w:hint="eastAsia"/>
          <w:color w:val="auto"/>
        </w:rPr>
        <w:t>测量一次，钻开油气层后</w:t>
      </w:r>
      <w:r>
        <w:rPr>
          <w:color w:val="auto"/>
        </w:rPr>
        <w:t>0.5h</w:t>
      </w:r>
      <w:r>
        <w:rPr>
          <w:rFonts w:hint="eastAsia"/>
          <w:color w:val="auto"/>
        </w:rPr>
        <w:t>测量一次，如有异常情况加密测量。</w:t>
      </w:r>
    </w:p>
    <w:p>
      <w:pPr>
        <w:pStyle w:val="33"/>
        <w:bidi w:val="0"/>
        <w:rPr>
          <w:color w:val="auto"/>
        </w:rPr>
      </w:pPr>
      <w:r>
        <w:rPr>
          <w:rFonts w:hint="eastAsia"/>
          <w:color w:val="auto"/>
        </w:rPr>
        <w:t>（</w:t>
      </w:r>
      <w:r>
        <w:rPr>
          <w:color w:val="auto"/>
        </w:rPr>
        <w:t>2</w:t>
      </w:r>
      <w:r>
        <w:rPr>
          <w:rFonts w:hint="eastAsia"/>
          <w:color w:val="auto"/>
        </w:rPr>
        <w:t>）钻井液录取资料要求</w:t>
      </w:r>
    </w:p>
    <w:p>
      <w:pPr>
        <w:pStyle w:val="33"/>
        <w:bidi w:val="0"/>
        <w:rPr>
          <w:rFonts w:ascii="Times New Roman"/>
          <w:color w:val="auto"/>
          <w:szCs w:val="28"/>
        </w:rPr>
      </w:pPr>
      <w:r>
        <w:rPr>
          <w:rFonts w:hint="eastAsia"/>
          <w:color w:val="auto"/>
        </w:rPr>
        <w:t>按照中国石油天然气集团有限公司《钻井液技术规范》（工程【2019】21号文件）执行。</w:t>
      </w:r>
    </w:p>
    <w:p>
      <w:pPr>
        <w:pStyle w:val="5"/>
        <w:spacing w:before="159" w:beforeLines="50" w:after="159" w:afterLines="50" w:line="460" w:lineRule="exact"/>
        <w:rPr>
          <w:b w:val="0"/>
          <w:snapToGrid w:val="0"/>
          <w:color w:val="auto"/>
          <w:kern w:val="0"/>
          <w:sz w:val="28"/>
          <w:szCs w:val="28"/>
        </w:rPr>
      </w:pPr>
      <w:bookmarkStart w:id="392" w:name="_Toc88146596"/>
      <w:r>
        <w:rPr>
          <w:b w:val="0"/>
          <w:snapToGrid w:val="0"/>
          <w:color w:val="auto"/>
          <w:kern w:val="0"/>
          <w:sz w:val="28"/>
          <w:szCs w:val="28"/>
        </w:rPr>
        <w:t>固井</w:t>
      </w:r>
      <w:bookmarkEnd w:id="392"/>
    </w:p>
    <w:p>
      <w:pPr>
        <w:pStyle w:val="33"/>
        <w:bidi w:val="0"/>
        <w:rPr>
          <w:rFonts w:hint="eastAsia"/>
          <w:color w:val="auto"/>
        </w:rPr>
      </w:pPr>
      <w:r>
        <w:rPr>
          <w:rFonts w:hint="eastAsia"/>
          <w:color w:val="auto"/>
        </w:rPr>
        <w:t>在升平储气库的各项工程作业中，固井质量与储气库的寿命及长期安全运行紧密相关，要保证升平储气库井的长期安全运行，不发生天然气泄漏等严重事故，首先要确保套管及环空水泥环的长期有效密封。固井质量应满足储气库注采强度高、压力变化大、使用周期长等特殊要求。升平储气库登二段固井的特殊性及难点表现在以下几个方面：</w:t>
      </w:r>
    </w:p>
    <w:p>
      <w:pPr>
        <w:pStyle w:val="6"/>
        <w:bidi w:val="0"/>
        <w:rPr>
          <w:rFonts w:hint="eastAsia"/>
          <w:color w:val="auto"/>
          <w:lang w:eastAsia="zh-CN"/>
        </w:rPr>
      </w:pPr>
      <w:r>
        <w:rPr>
          <w:rFonts w:hint="eastAsia"/>
          <w:color w:val="auto"/>
          <w:lang w:eastAsia="zh-CN"/>
        </w:rPr>
        <w:t>固井方案</w:t>
      </w:r>
    </w:p>
    <w:p>
      <w:pPr>
        <w:pStyle w:val="33"/>
        <w:bidi w:val="0"/>
        <w:rPr>
          <w:rFonts w:hint="eastAsia"/>
          <w:color w:val="auto"/>
        </w:rPr>
      </w:pPr>
      <w:r>
        <w:rPr>
          <w:rFonts w:hint="eastAsia"/>
          <w:color w:val="auto"/>
        </w:rPr>
        <w:t>（1）储气库井对一次固井质量要求高。各层套管固井水泥浆要求返至地面，生产套管和封固盖层的技术套管固井胶结合格段长度不小于70%，自储层顶以上盖层段连续优质水泥段不小于25m。</w:t>
      </w:r>
    </w:p>
    <w:p>
      <w:pPr>
        <w:pStyle w:val="33"/>
        <w:bidi w:val="0"/>
        <w:rPr>
          <w:rFonts w:hint="eastAsia"/>
          <w:color w:val="auto"/>
        </w:rPr>
      </w:pPr>
      <w:r>
        <w:rPr>
          <w:rFonts w:hint="eastAsia"/>
          <w:color w:val="auto"/>
        </w:rPr>
        <w:t>（2）储气库运行时需要承受注、采交变载荷，对井筒密封性能（管串、水泥环、井口）要求高。</w:t>
      </w:r>
    </w:p>
    <w:p>
      <w:pPr>
        <w:pStyle w:val="33"/>
        <w:bidi w:val="0"/>
        <w:rPr>
          <w:rFonts w:hint="eastAsia"/>
          <w:color w:val="auto"/>
        </w:rPr>
      </w:pPr>
      <w:r>
        <w:rPr>
          <w:rFonts w:hint="eastAsia"/>
          <w:color w:val="auto"/>
        </w:rPr>
        <w:t>（3）单井封隔质量差，会影响到以后升平储气库整个库群的安全运行。</w:t>
      </w:r>
    </w:p>
    <w:p>
      <w:pPr>
        <w:pStyle w:val="33"/>
        <w:bidi w:val="0"/>
        <w:rPr>
          <w:rFonts w:hint="eastAsia"/>
          <w:color w:val="auto"/>
        </w:rPr>
      </w:pPr>
      <w:r>
        <w:rPr>
          <w:rFonts w:hint="eastAsia"/>
          <w:color w:val="auto"/>
        </w:rPr>
        <w:t>（4）如果后期储气库运行中窜气、带压处理难度大，管理复杂，成本高。</w:t>
      </w:r>
    </w:p>
    <w:p>
      <w:pPr>
        <w:pStyle w:val="33"/>
        <w:bidi w:val="0"/>
        <w:rPr>
          <w:rFonts w:hint="eastAsia"/>
          <w:color w:val="auto"/>
        </w:rPr>
      </w:pPr>
      <w:r>
        <w:rPr>
          <w:rFonts w:hint="eastAsia"/>
          <w:color w:val="auto"/>
        </w:rPr>
        <w:t>（5）黑帝庙、萨尔图、高台子、葡萄花、扶余油层、泉三段、泉二段、泉一段、登四段、登三段、登二段、营城组存在气层或油气层，上部井段地层承压能力低，要保证施工安全，提高固井质量及防止生产运行中环空带压。</w:t>
      </w:r>
    </w:p>
    <w:p>
      <w:pPr>
        <w:pStyle w:val="33"/>
        <w:bidi w:val="0"/>
        <w:rPr>
          <w:rFonts w:hint="eastAsia"/>
          <w:color w:val="auto"/>
        </w:rPr>
      </w:pPr>
      <w:r>
        <w:rPr>
          <w:rFonts w:hint="eastAsia"/>
          <w:color w:val="auto"/>
        </w:rPr>
        <w:t>（6）泉头组固井采用一次上返固井工艺，固井中存在漏失风险，套管内固井对水泥浆综合性能及密封性要求高。</w:t>
      </w:r>
    </w:p>
    <w:p>
      <w:pPr>
        <w:pStyle w:val="33"/>
        <w:bidi w:val="0"/>
        <w:rPr>
          <w:rFonts w:hint="eastAsia"/>
          <w:color w:val="auto"/>
        </w:rPr>
      </w:pPr>
      <w:r>
        <w:rPr>
          <w:rFonts w:hint="eastAsia"/>
          <w:color w:val="auto"/>
        </w:rPr>
        <w:t>（7）水平段采用筛管悬挂完井，对悬挂器的可靠性及现场操作要求高。</w:t>
      </w:r>
    </w:p>
    <w:p>
      <w:pPr>
        <w:pStyle w:val="33"/>
        <w:bidi w:val="0"/>
        <w:rPr>
          <w:rFonts w:hint="eastAsia"/>
          <w:color w:val="auto"/>
          <w:lang w:eastAsia="zh-CN"/>
        </w:rPr>
      </w:pPr>
      <w:r>
        <w:rPr>
          <w:rFonts w:hint="eastAsia"/>
          <w:color w:val="auto"/>
          <w:lang w:eastAsia="zh-CN"/>
        </w:rPr>
        <w:t>（</w:t>
      </w:r>
      <w:r>
        <w:rPr>
          <w:rFonts w:hint="eastAsia"/>
          <w:color w:val="auto"/>
          <w:lang w:val="en-US" w:eastAsia="zh-CN"/>
        </w:rPr>
        <w:t>8</w:t>
      </w:r>
      <w:r>
        <w:rPr>
          <w:rFonts w:hint="eastAsia"/>
          <w:color w:val="auto"/>
          <w:lang w:eastAsia="zh-CN"/>
        </w:rPr>
        <w:t>）</w:t>
      </w:r>
      <w:r>
        <w:rPr>
          <w:rFonts w:hint="eastAsia"/>
          <w:color w:val="auto"/>
        </w:rPr>
        <w:t>注采井各层套管固井水泥浆均应返至地面。生产套管及盖层段固井应采用韧性水泥浆体系</w:t>
      </w:r>
      <w:r>
        <w:rPr>
          <w:rFonts w:hint="eastAsia"/>
          <w:color w:val="auto"/>
          <w:lang w:eastAsia="zh-CN"/>
        </w:rPr>
        <w:t>。</w:t>
      </w:r>
    </w:p>
    <w:p>
      <w:pPr>
        <w:pStyle w:val="33"/>
        <w:bidi w:val="0"/>
        <w:rPr>
          <w:rFonts w:hint="eastAsia"/>
          <w:color w:val="auto"/>
          <w:lang w:eastAsia="zh-CN"/>
        </w:rPr>
      </w:pPr>
      <w:r>
        <w:rPr>
          <w:rFonts w:hint="eastAsia"/>
          <w:color w:val="auto"/>
          <w:lang w:eastAsia="zh-CN"/>
        </w:rPr>
        <w:t>（</w:t>
      </w:r>
      <w:r>
        <w:rPr>
          <w:rFonts w:hint="eastAsia"/>
          <w:color w:val="auto"/>
          <w:lang w:val="en-US" w:eastAsia="zh-CN"/>
        </w:rPr>
        <w:t>9</w:t>
      </w:r>
      <w:r>
        <w:rPr>
          <w:rFonts w:hint="eastAsia"/>
          <w:color w:val="auto"/>
          <w:lang w:eastAsia="zh-CN"/>
        </w:rPr>
        <w:t>）常规密度水泥浆水泥石48h抗压强度应不小于16MPa，7天抗压强度应不低于28MPa，渗透率应小于0.05×10</w:t>
      </w:r>
      <w:r>
        <w:rPr>
          <w:rFonts w:hint="eastAsia"/>
          <w:color w:val="auto"/>
          <w:vertAlign w:val="superscript"/>
          <w:lang w:eastAsia="zh-CN"/>
        </w:rPr>
        <w:t>-3</w:t>
      </w:r>
      <w:r>
        <w:rPr>
          <w:rFonts w:hint="default" w:ascii="Times New Roman" w:hAnsi="Times New Roman" w:cs="Times New Roman"/>
          <w:color w:val="auto"/>
          <w:lang w:eastAsia="zh-CN"/>
        </w:rPr>
        <w:t>μ</w:t>
      </w:r>
      <w:r>
        <w:rPr>
          <w:rFonts w:hint="eastAsia"/>
          <w:color w:val="auto"/>
          <w:lang w:eastAsia="zh-CN"/>
        </w:rPr>
        <w:t>m</w:t>
      </w:r>
      <w:r>
        <w:rPr>
          <w:rFonts w:hint="eastAsia"/>
          <w:color w:val="auto"/>
          <w:vertAlign w:val="superscript"/>
          <w:lang w:eastAsia="zh-CN"/>
        </w:rPr>
        <w:t>2</w:t>
      </w:r>
      <w:r>
        <w:rPr>
          <w:rFonts w:hint="eastAsia"/>
          <w:color w:val="auto"/>
          <w:lang w:eastAsia="zh-CN"/>
        </w:rPr>
        <w:t>，7d线性膨胀率范围为0～0.2%。</w:t>
      </w:r>
    </w:p>
    <w:p>
      <w:pPr>
        <w:pStyle w:val="33"/>
        <w:bidi w:val="0"/>
        <w:rPr>
          <w:rFonts w:hint="eastAsia"/>
          <w:color w:val="auto"/>
          <w:lang w:eastAsia="zh-CN"/>
        </w:rPr>
      </w:pPr>
      <w:r>
        <w:rPr>
          <w:rFonts w:hint="eastAsia"/>
          <w:color w:val="auto"/>
          <w:lang w:eastAsia="zh-CN"/>
        </w:rPr>
        <w:t>（</w:t>
      </w:r>
      <w:r>
        <w:rPr>
          <w:rFonts w:hint="eastAsia"/>
          <w:color w:val="auto"/>
          <w:lang w:val="en-US" w:eastAsia="zh-CN"/>
        </w:rPr>
        <w:t>10</w:t>
      </w:r>
      <w:r>
        <w:rPr>
          <w:rFonts w:hint="eastAsia"/>
          <w:color w:val="auto"/>
          <w:lang w:eastAsia="zh-CN"/>
        </w:rPr>
        <w:t>）为保证气密螺纹的气密性能，下套管作业应采用专用工具完成，并结合气密封检测（氦气检测）指导合理的上扣参数。生产套管应逐根进行螺纹气密性现场检测，检测压力为储气库最大运行压力的1.1倍。</w:t>
      </w:r>
    </w:p>
    <w:p>
      <w:pPr>
        <w:pStyle w:val="33"/>
        <w:bidi w:val="0"/>
        <w:rPr>
          <w:rFonts w:hint="eastAsia"/>
          <w:color w:val="auto"/>
          <w:lang w:eastAsia="zh-CN"/>
        </w:rPr>
      </w:pPr>
      <w:r>
        <w:rPr>
          <w:rFonts w:hint="eastAsia"/>
          <w:color w:val="auto"/>
          <w:lang w:eastAsia="zh-CN"/>
        </w:rPr>
        <w:t>（</w:t>
      </w:r>
      <w:r>
        <w:rPr>
          <w:rFonts w:hint="eastAsia"/>
          <w:color w:val="auto"/>
          <w:lang w:val="en-US" w:eastAsia="zh-CN"/>
        </w:rPr>
        <w:t>11</w:t>
      </w:r>
      <w:r>
        <w:rPr>
          <w:rFonts w:hint="eastAsia"/>
          <w:color w:val="auto"/>
          <w:lang w:eastAsia="zh-CN"/>
        </w:rPr>
        <w:t>）为避免水平段钻井过程中对生产套管的磨损，现场施工时可在四开完钻后再回接生产套管。</w:t>
      </w:r>
    </w:p>
    <w:p>
      <w:pPr>
        <w:pStyle w:val="6"/>
        <w:bidi w:val="0"/>
        <w:rPr>
          <w:rFonts w:hint="eastAsia"/>
          <w:color w:val="auto"/>
          <w:lang w:eastAsia="zh-CN"/>
        </w:rPr>
      </w:pPr>
      <w:r>
        <w:rPr>
          <w:rFonts w:hint="eastAsia"/>
          <w:color w:val="auto"/>
          <w:lang w:eastAsia="zh-CN"/>
        </w:rPr>
        <w:t>固井水泥用量</w:t>
      </w:r>
    </w:p>
    <w:p>
      <w:pPr>
        <w:pStyle w:val="83"/>
        <w:bidi w:val="0"/>
        <w:rPr>
          <w:rFonts w:hint="eastAsia"/>
          <w:color w:val="auto"/>
          <w:lang w:eastAsia="zh-CN"/>
        </w:rPr>
      </w:pPr>
      <w:r>
        <w:rPr>
          <w:rFonts w:hint="eastAsia"/>
          <w:color w:val="auto"/>
          <w:lang w:eastAsia="zh-CN"/>
        </w:rPr>
        <w:t>向井内下入套管，并向井眼和套管之间的环形空间注入水泥。各层套管固井主要工艺要求水泥返至地面。固井质量要求见表3.1-7、表</w:t>
      </w:r>
      <w:r>
        <w:rPr>
          <w:rFonts w:hint="eastAsia"/>
          <w:color w:val="auto"/>
          <w:lang w:val="en-US" w:eastAsia="zh-CN"/>
        </w:rPr>
        <w:t>3.1-8</w:t>
      </w:r>
      <w:r>
        <w:rPr>
          <w:rFonts w:hint="eastAsia"/>
          <w:color w:val="auto"/>
          <w:lang w:eastAsia="zh-CN"/>
        </w:rPr>
        <w:t>，水泥用量见表3.1-</w:t>
      </w:r>
      <w:r>
        <w:rPr>
          <w:rFonts w:hint="eastAsia"/>
          <w:color w:val="auto"/>
          <w:lang w:val="en-US" w:eastAsia="zh-CN"/>
        </w:rPr>
        <w:t>9</w:t>
      </w:r>
      <w:r>
        <w:rPr>
          <w:rFonts w:hint="eastAsia"/>
          <w:color w:val="auto"/>
          <w:lang w:eastAsia="zh-CN"/>
        </w:rPr>
        <w:t>。</w:t>
      </w:r>
    </w:p>
    <w:p>
      <w:pPr>
        <w:pStyle w:val="7"/>
        <w:bidi w:val="0"/>
        <w:rPr>
          <w:rFonts w:hint="eastAsia"/>
          <w:color w:val="auto"/>
          <w:lang w:eastAsia="zh-CN"/>
        </w:rPr>
      </w:pPr>
      <w:r>
        <w:rPr>
          <w:rFonts w:hint="eastAsia"/>
          <w:color w:val="auto"/>
        </w:rPr>
        <w:t>水泥浆配方、试验及性能要求表</w:t>
      </w:r>
      <w:r>
        <w:rPr>
          <w:rFonts w:hint="eastAsia"/>
          <w:color w:val="auto"/>
          <w:lang w:eastAsia="zh-CN"/>
        </w:rPr>
        <w:t>（表层、技术套管）</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7"/>
        <w:gridCol w:w="2770"/>
        <w:gridCol w:w="2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套管程序</w:t>
            </w:r>
          </w:p>
        </w:tc>
        <w:tc>
          <w:tcPr>
            <w:tcW w:w="243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表层套管</w:t>
            </w:r>
          </w:p>
        </w:tc>
        <w:tc>
          <w:tcPr>
            <w:tcW w:w="2438" w:type="dxa"/>
            <w:noWrap w:val="0"/>
            <w:vAlign w:val="center"/>
          </w:tcPr>
          <w:p>
            <w:pPr>
              <w:pStyle w:val="80"/>
              <w:keepNext w:val="0"/>
              <w:keepLines w:val="0"/>
              <w:suppressLineNumbers w:val="0"/>
              <w:spacing w:before="0" w:beforeAutospacing="0" w:after="0" w:afterAutospacing="0"/>
              <w:ind w:left="0" w:right="0" w:firstLine="0" w:firstLineChars="0"/>
              <w:rPr>
                <w:rFonts w:hint="default"/>
                <w:color w:val="auto"/>
              </w:rPr>
            </w:pPr>
            <w:r>
              <w:rPr>
                <w:rFonts w:hint="eastAsia"/>
                <w:color w:val="auto"/>
              </w:rPr>
              <w:t>技术套管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配方</w:t>
            </w:r>
          </w:p>
        </w:tc>
        <w:tc>
          <w:tcPr>
            <w:tcW w:w="243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G级</w:t>
            </w:r>
            <w:r>
              <w:rPr>
                <w:rFonts w:hint="eastAsia"/>
                <w:color w:val="auto"/>
              </w:rPr>
              <w:t>油井</w:t>
            </w:r>
            <w:r>
              <w:rPr>
                <w:rFonts w:hint="default"/>
                <w:color w:val="auto"/>
              </w:rPr>
              <w:t>水泥+3%</w:t>
            </w:r>
            <w:r>
              <w:rPr>
                <w:rFonts w:hint="eastAsia" w:hAnsi="宋体"/>
                <w:color w:val="auto"/>
              </w:rPr>
              <w:t>-</w:t>
            </w:r>
            <w:r>
              <w:rPr>
                <w:rFonts w:hint="default"/>
                <w:color w:val="auto"/>
              </w:rPr>
              <w:t>4%</w:t>
            </w:r>
            <w:r>
              <w:rPr>
                <w:rFonts w:hint="default" w:hAnsi="宋体"/>
                <w:color w:val="auto"/>
              </w:rPr>
              <w:t>早强剂</w:t>
            </w:r>
          </w:p>
        </w:tc>
        <w:tc>
          <w:tcPr>
            <w:tcW w:w="2438" w:type="dxa"/>
            <w:noWrap w:val="0"/>
            <w:vAlign w:val="center"/>
          </w:tcPr>
          <w:p>
            <w:pPr>
              <w:pStyle w:val="80"/>
              <w:keepNext w:val="0"/>
              <w:keepLines w:val="0"/>
              <w:suppressLineNumbers w:val="0"/>
              <w:spacing w:before="0" w:beforeAutospacing="0" w:after="0" w:afterAutospacing="0"/>
              <w:ind w:left="0" w:right="0" w:firstLine="0" w:firstLineChars="0"/>
              <w:rPr>
                <w:rFonts w:hint="default"/>
                <w:color w:val="auto"/>
              </w:rPr>
            </w:pPr>
            <w:r>
              <w:rPr>
                <w:rFonts w:hint="eastAsia"/>
                <w:color w:val="auto"/>
              </w:rPr>
              <w:t>常规体系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实验条件</w:t>
            </w:r>
          </w:p>
        </w:tc>
        <w:tc>
          <w:tcPr>
            <w:tcW w:w="243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API规范</w:t>
            </w:r>
          </w:p>
        </w:tc>
        <w:tc>
          <w:tcPr>
            <w:tcW w:w="2438" w:type="dxa"/>
            <w:noWrap w:val="0"/>
            <w:vAlign w:val="center"/>
          </w:tcPr>
          <w:p>
            <w:pPr>
              <w:pStyle w:val="80"/>
              <w:keepNext w:val="0"/>
              <w:keepLines w:val="0"/>
              <w:suppressLineNumbers w:val="0"/>
              <w:spacing w:before="0" w:beforeAutospacing="0" w:after="0" w:afterAutospacing="0"/>
              <w:ind w:left="0" w:right="0" w:firstLine="0" w:firstLineChars="0"/>
              <w:rPr>
                <w:rFonts w:hint="default"/>
                <w:color w:val="auto"/>
              </w:rPr>
            </w:pPr>
            <w:r>
              <w:rPr>
                <w:rFonts w:hint="eastAsia"/>
                <w:color w:val="auto"/>
              </w:rPr>
              <w:t>API规范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密度，g/cm</w:t>
            </w:r>
            <w:r>
              <w:rPr>
                <w:rFonts w:hint="default"/>
                <w:color w:val="auto"/>
                <w:vertAlign w:val="superscript"/>
              </w:rPr>
              <w:t>3</w:t>
            </w:r>
          </w:p>
        </w:tc>
        <w:tc>
          <w:tcPr>
            <w:tcW w:w="243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1.87-1.90</w:t>
            </w:r>
          </w:p>
        </w:tc>
        <w:tc>
          <w:tcPr>
            <w:tcW w:w="2438" w:type="dxa"/>
            <w:noWrap w:val="0"/>
            <w:vAlign w:val="center"/>
          </w:tcPr>
          <w:p>
            <w:pPr>
              <w:pStyle w:val="80"/>
              <w:keepNext w:val="0"/>
              <w:keepLines w:val="0"/>
              <w:suppressLineNumbers w:val="0"/>
              <w:spacing w:before="0" w:beforeAutospacing="0" w:after="0" w:afterAutospacing="0"/>
              <w:ind w:left="0" w:right="0" w:firstLine="0" w:firstLineChars="0"/>
              <w:rPr>
                <w:rFonts w:hint="default"/>
                <w:color w:val="auto"/>
              </w:rPr>
            </w:pPr>
            <w:r>
              <w:rPr>
                <w:rFonts w:hint="eastAsia"/>
                <w:color w:val="auto"/>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稠化时间</w:t>
            </w:r>
            <w:r>
              <w:rPr>
                <w:rFonts w:hint="eastAsia"/>
                <w:color w:val="auto"/>
              </w:rPr>
              <w:t>，</w:t>
            </w:r>
            <w:r>
              <w:rPr>
                <w:rFonts w:hint="default"/>
                <w:color w:val="auto"/>
              </w:rPr>
              <w:t>min</w:t>
            </w:r>
          </w:p>
        </w:tc>
        <w:tc>
          <w:tcPr>
            <w:tcW w:w="243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施工时间+40</w:t>
            </w:r>
            <w:r>
              <w:rPr>
                <w:rFonts w:hint="eastAsia" w:hAnsi="宋体"/>
                <w:color w:val="auto"/>
              </w:rPr>
              <w:t>-</w:t>
            </w:r>
            <w:r>
              <w:rPr>
                <w:rFonts w:hint="default"/>
                <w:color w:val="auto"/>
              </w:rPr>
              <w:t>60min</w:t>
            </w:r>
          </w:p>
        </w:tc>
        <w:tc>
          <w:tcPr>
            <w:tcW w:w="2438" w:type="dxa"/>
            <w:noWrap w:val="0"/>
            <w:vAlign w:val="center"/>
          </w:tcPr>
          <w:p>
            <w:pPr>
              <w:pStyle w:val="80"/>
              <w:keepNext w:val="0"/>
              <w:keepLines w:val="0"/>
              <w:suppressLineNumbers w:val="0"/>
              <w:spacing w:before="0" w:beforeAutospacing="0" w:after="0" w:afterAutospacing="0"/>
              <w:ind w:left="0" w:right="0" w:firstLine="0" w:firstLineChars="0"/>
              <w:rPr>
                <w:rFonts w:hint="default"/>
                <w:color w:val="auto"/>
              </w:rPr>
            </w:pPr>
            <w:r>
              <w:rPr>
                <w:rFonts w:hint="eastAsia"/>
                <w:color w:val="auto"/>
              </w:rPr>
              <w:t>施工时间+60min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29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抗压强度，MPa/24h</w:t>
            </w:r>
          </w:p>
        </w:tc>
        <w:tc>
          <w:tcPr>
            <w:tcW w:w="2438" w:type="dxa"/>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＞7.0</w:t>
            </w:r>
          </w:p>
        </w:tc>
        <w:tc>
          <w:tcPr>
            <w:tcW w:w="2438" w:type="dxa"/>
            <w:noWrap w:val="0"/>
            <w:vAlign w:val="center"/>
          </w:tcPr>
          <w:p>
            <w:pPr>
              <w:pStyle w:val="80"/>
              <w:keepNext w:val="0"/>
              <w:keepLines w:val="0"/>
              <w:suppressLineNumbers w:val="0"/>
              <w:spacing w:before="0" w:beforeAutospacing="0" w:after="0" w:afterAutospacing="0"/>
              <w:ind w:left="0" w:right="0" w:firstLine="0" w:firstLineChars="0"/>
              <w:rPr>
                <w:rFonts w:hint="default"/>
                <w:color w:val="auto"/>
              </w:rPr>
            </w:pPr>
            <w:r>
              <w:rPr>
                <w:rFonts w:hint="eastAsia"/>
                <w:color w:val="auto"/>
              </w:rPr>
              <w:t>≥28</w:t>
            </w:r>
          </w:p>
        </w:tc>
      </w:tr>
    </w:tbl>
    <w:p>
      <w:pPr>
        <w:pStyle w:val="7"/>
        <w:bidi w:val="0"/>
        <w:rPr>
          <w:color w:val="auto"/>
        </w:rPr>
      </w:pPr>
      <w:r>
        <w:rPr>
          <w:rFonts w:hint="eastAsia"/>
          <w:color w:val="auto"/>
        </w:rPr>
        <w:t>水泥浆配方、试验及性能要求表</w:t>
      </w:r>
      <w:r>
        <w:rPr>
          <w:rFonts w:hint="eastAsia"/>
          <w:color w:val="auto"/>
          <w:lang w:eastAsia="zh-CN"/>
        </w:rPr>
        <w:t>（生产套管）</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6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套管程序</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szCs w:val="21"/>
              </w:rPr>
              <w:t>生产套管（尾管）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szCs w:val="21"/>
              </w:rPr>
              <w:t>配    方</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G级水泥+5%增强材料DRB-1S+8%增韧材料DRE-1S+4%乳胶粉DRT-1S+3%降失水剂DRF-3S+1%分散剂DRS-1S+0.2%稳定剂DRK-3S +1%缓凝剂DRH-1L+2%早强剂DRA-1S+0.5%消泡剂DRX-1L +0.5%抑泡剂DRX-2L+水</w:t>
            </w:r>
          </w:p>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尾管及回接套管配方相同，现场施工时，主要调节缓凝剂加量。</w:t>
            </w:r>
          </w:p>
          <w:p>
            <w:pPr>
              <w:pStyle w:val="80"/>
              <w:keepNext w:val="0"/>
              <w:keepLines w:val="0"/>
              <w:suppressLineNumbers w:val="0"/>
              <w:spacing w:before="0" w:beforeAutospacing="0" w:after="0" w:afterAutospacing="0"/>
              <w:ind w:left="0" w:right="0"/>
              <w:rPr>
                <w:rFonts w:hint="default"/>
                <w:color w:val="auto"/>
                <w:kern w:val="0"/>
                <w:szCs w:val="21"/>
              </w:rPr>
            </w:pPr>
            <w:r>
              <w:rPr>
                <w:rFonts w:hint="default"/>
                <w:color w:val="auto"/>
                <w:szCs w:val="21"/>
              </w:rPr>
              <w:t>隔离液配方：水+3%悬浮剂DRY-S1+3%悬浮剂DRY-S3+40%-50%加重材料DRW-2S+6%冲洗剂DRY-1L+3%缓凝剂DRH-1L+1%抑泡剂DRX-2L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试验条件</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szCs w:val="21"/>
              </w:rPr>
              <w:t>API规范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密度，g/cm</w:t>
            </w:r>
            <w:r>
              <w:rPr>
                <w:rFonts w:hint="default"/>
                <w:color w:val="auto"/>
                <w:vertAlign w:val="superscript"/>
              </w:rPr>
              <w:t>3</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b/>
                <w:color w:val="auto"/>
                <w:szCs w:val="21"/>
              </w:rPr>
            </w:pPr>
            <w:r>
              <w:rPr>
                <w:rFonts w:hint="default"/>
                <w:color w:val="auto"/>
                <w:kern w:val="0"/>
                <w:szCs w:val="21"/>
                <w:lang w:val="zh-CN"/>
              </w:rPr>
              <w:t>1.88-1.91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稠化时间，min</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&gt;施工时间+60min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rPr>
              <w:t>API滤失量，ml</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szCs w:val="21"/>
              </w:rPr>
              <w:t>游离液，%</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沉降稳定性，g/cm</w:t>
            </w:r>
            <w:r>
              <w:rPr>
                <w:rFonts w:hint="default"/>
                <w:color w:val="auto"/>
                <w:szCs w:val="21"/>
                <w:vertAlign w:val="superscript"/>
              </w:rPr>
              <w:t>3</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szCs w:val="21"/>
              </w:rPr>
              <w:t>抗压强度，MPa/ 48 h</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rPr>
            </w:pPr>
            <w:r>
              <w:rPr>
                <w:rFonts w:hint="default"/>
                <w:color w:val="auto"/>
                <w:szCs w:val="21"/>
              </w:rPr>
              <w:t>抗压强度，MPa/ 7 d</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杨氏模量，GPa/ 7 d</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膨胀率，%</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抗拉强度，MPa/ 7 d</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59"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气体渗透率，10</w:t>
            </w:r>
            <w:r>
              <w:rPr>
                <w:rFonts w:hint="default"/>
                <w:color w:val="auto"/>
                <w:szCs w:val="21"/>
                <w:vertAlign w:val="superscript"/>
              </w:rPr>
              <w:t>-3</w:t>
            </w:r>
            <w:r>
              <w:rPr>
                <w:rFonts w:hint="default"/>
                <w:color w:val="auto"/>
                <w:szCs w:val="21"/>
              </w:rPr>
              <w:t>μm</w:t>
            </w:r>
            <w:r>
              <w:rPr>
                <w:rFonts w:hint="default"/>
                <w:color w:val="auto"/>
                <w:szCs w:val="21"/>
                <w:vertAlign w:val="superscript"/>
              </w:rPr>
              <w:t>2</w:t>
            </w:r>
            <w:r>
              <w:rPr>
                <w:rFonts w:hint="default"/>
                <w:color w:val="auto"/>
                <w:szCs w:val="21"/>
              </w:rPr>
              <w:t>/7d</w:t>
            </w:r>
          </w:p>
        </w:tc>
        <w:tc>
          <w:tcPr>
            <w:tcW w:w="6206"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suppressLineNumbers w:val="0"/>
              <w:spacing w:before="0" w:beforeAutospacing="0" w:after="0" w:afterAutospacing="0"/>
              <w:ind w:left="0" w:right="0"/>
              <w:rPr>
                <w:rFonts w:hint="default"/>
                <w:color w:val="auto"/>
                <w:szCs w:val="21"/>
              </w:rPr>
            </w:pPr>
            <w:r>
              <w:rPr>
                <w:rFonts w:hint="default"/>
                <w:color w:val="auto"/>
                <w:szCs w:val="21"/>
              </w:rPr>
              <w:t>≤0.05</w:t>
            </w:r>
          </w:p>
        </w:tc>
      </w:tr>
    </w:tbl>
    <w:p>
      <w:pPr>
        <w:pStyle w:val="7"/>
        <w:bidi w:val="0"/>
        <w:rPr>
          <w:color w:val="auto"/>
        </w:rPr>
      </w:pPr>
      <w:r>
        <w:rPr>
          <w:rFonts w:hint="eastAsia"/>
          <w:color w:val="auto"/>
        </w:rPr>
        <w:t>注采井各层套管水泥用量表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218"/>
        <w:gridCol w:w="1189"/>
        <w:gridCol w:w="1320"/>
        <w:gridCol w:w="2403"/>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38"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套管程序</w:t>
            </w:r>
          </w:p>
        </w:tc>
        <w:tc>
          <w:tcPr>
            <w:tcW w:w="118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钻头尺寸</w:t>
            </w:r>
            <w:r>
              <w:rPr>
                <w:rFonts w:hint="eastAsia"/>
                <w:color w:val="auto"/>
              </w:rPr>
              <w:t>（</w:t>
            </w:r>
            <w:r>
              <w:rPr>
                <w:rFonts w:hint="default"/>
                <w:color w:val="auto"/>
              </w:rPr>
              <w:t>mm</w:t>
            </w:r>
            <w:r>
              <w:rPr>
                <w:rFonts w:hint="eastAsia"/>
                <w:color w:val="auto"/>
              </w:rPr>
              <w:t>）</w:t>
            </w:r>
          </w:p>
        </w:tc>
        <w:tc>
          <w:tcPr>
            <w:tcW w:w="115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套管尺寸</w:t>
            </w:r>
          </w:p>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w:t>
            </w:r>
            <w:r>
              <w:rPr>
                <w:rFonts w:hint="default"/>
                <w:color w:val="auto"/>
              </w:rPr>
              <w:t>mm</w:t>
            </w:r>
            <w:r>
              <w:rPr>
                <w:rFonts w:hint="eastAsia"/>
                <w:color w:val="auto"/>
              </w:rPr>
              <w:t>）</w:t>
            </w:r>
          </w:p>
        </w:tc>
        <w:tc>
          <w:tcPr>
            <w:tcW w:w="1280"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水泥浆返深</w:t>
            </w:r>
            <w:r>
              <w:rPr>
                <w:rFonts w:hint="eastAsia"/>
                <w:color w:val="auto"/>
              </w:rPr>
              <w:t>（</w:t>
            </w:r>
            <w:r>
              <w:rPr>
                <w:rFonts w:hint="default"/>
                <w:color w:val="auto"/>
              </w:rPr>
              <w:t>m</w:t>
            </w:r>
            <w:r>
              <w:rPr>
                <w:rFonts w:hint="eastAsia"/>
                <w:color w:val="auto"/>
              </w:rPr>
              <w:t>）</w:t>
            </w:r>
          </w:p>
        </w:tc>
        <w:tc>
          <w:tcPr>
            <w:tcW w:w="2330"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水泥等级</w:t>
            </w:r>
          </w:p>
        </w:tc>
        <w:tc>
          <w:tcPr>
            <w:tcW w:w="152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干</w:t>
            </w:r>
            <w:r>
              <w:rPr>
                <w:rFonts w:hint="default"/>
                <w:color w:val="auto"/>
              </w:rPr>
              <w:t>水泥量</w:t>
            </w:r>
          </w:p>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w:t>
            </w:r>
            <w:r>
              <w:rPr>
                <w:rFonts w:hint="default"/>
                <w:color w:val="auto"/>
              </w:rPr>
              <w:t>t</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1538"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表层套管</w:t>
            </w:r>
          </w:p>
        </w:tc>
        <w:tc>
          <w:tcPr>
            <w:tcW w:w="118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660.4</w:t>
            </w:r>
          </w:p>
        </w:tc>
        <w:tc>
          <w:tcPr>
            <w:tcW w:w="115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508</w:t>
            </w:r>
          </w:p>
        </w:tc>
        <w:tc>
          <w:tcPr>
            <w:tcW w:w="1280"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地面</w:t>
            </w:r>
          </w:p>
        </w:tc>
        <w:tc>
          <w:tcPr>
            <w:tcW w:w="2330"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G级</w:t>
            </w:r>
          </w:p>
        </w:tc>
        <w:tc>
          <w:tcPr>
            <w:tcW w:w="152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10</w:t>
            </w:r>
            <w:r>
              <w:rPr>
                <w:rFonts w:hint="eastAsia"/>
                <w:color w:val="auto"/>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exact"/>
          <w:jc w:val="center"/>
        </w:trPr>
        <w:tc>
          <w:tcPr>
            <w:tcW w:w="1538"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技术套管</w:t>
            </w:r>
          </w:p>
        </w:tc>
        <w:tc>
          <w:tcPr>
            <w:tcW w:w="1181"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4</w:t>
            </w:r>
            <w:r>
              <w:rPr>
                <w:rFonts w:hint="default"/>
                <w:color w:val="auto"/>
              </w:rPr>
              <w:t>44.5</w:t>
            </w:r>
          </w:p>
        </w:tc>
        <w:tc>
          <w:tcPr>
            <w:tcW w:w="1153"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339.7</w:t>
            </w:r>
          </w:p>
        </w:tc>
        <w:tc>
          <w:tcPr>
            <w:tcW w:w="1280"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地面</w:t>
            </w:r>
          </w:p>
        </w:tc>
        <w:tc>
          <w:tcPr>
            <w:tcW w:w="2330"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default"/>
                <w:color w:val="auto"/>
              </w:rPr>
              <w:t>G</w:t>
            </w:r>
            <w:r>
              <w:rPr>
                <w:rFonts w:hint="eastAsia"/>
                <w:color w:val="auto"/>
              </w:rPr>
              <w:t>级</w:t>
            </w:r>
          </w:p>
        </w:tc>
        <w:tc>
          <w:tcPr>
            <w:tcW w:w="1522"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default"/>
                <w:color w:val="auto"/>
              </w:rPr>
              <w:t>178</w:t>
            </w:r>
            <w:r>
              <w:rPr>
                <w:rFonts w:hint="eastAsia"/>
                <w:color w:val="auto"/>
              </w:rPr>
              <w:t>.</w:t>
            </w:r>
            <w:r>
              <w:rPr>
                <w:rFonts w:hint="default"/>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jc w:val="center"/>
        </w:trPr>
        <w:tc>
          <w:tcPr>
            <w:tcW w:w="1538"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生产</w:t>
            </w:r>
            <w:r>
              <w:rPr>
                <w:rFonts w:hint="default"/>
                <w:color w:val="auto"/>
              </w:rPr>
              <w:t>套管</w:t>
            </w:r>
          </w:p>
        </w:tc>
        <w:tc>
          <w:tcPr>
            <w:tcW w:w="1181"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311.1</w:t>
            </w:r>
          </w:p>
        </w:tc>
        <w:tc>
          <w:tcPr>
            <w:tcW w:w="1153"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244.5</w:t>
            </w:r>
          </w:p>
        </w:tc>
        <w:tc>
          <w:tcPr>
            <w:tcW w:w="1280" w:type="dxa"/>
            <w:vMerge w:val="restart"/>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rPr>
              <w:t>地面</w:t>
            </w:r>
          </w:p>
        </w:tc>
        <w:tc>
          <w:tcPr>
            <w:tcW w:w="2330"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G级（0-1800m）</w:t>
            </w:r>
          </w:p>
        </w:tc>
        <w:tc>
          <w:tcPr>
            <w:tcW w:w="1522" w:type="dxa"/>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eastAsia"/>
                <w:color w:val="auto"/>
              </w:rPr>
              <w:t>119.49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jc w:val="center"/>
        </w:trPr>
        <w:tc>
          <w:tcPr>
            <w:tcW w:w="1538"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1181"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1153"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1280" w:type="dxa"/>
            <w:vMerge w:val="continue"/>
            <w:noWrap w:val="0"/>
            <w:vAlign w:val="center"/>
          </w:tcPr>
          <w:p>
            <w:pPr>
              <w:pStyle w:val="79"/>
              <w:keepNext w:val="0"/>
              <w:keepLines w:val="0"/>
              <w:suppressLineNumbers w:val="0"/>
              <w:bidi w:val="0"/>
              <w:spacing w:before="0" w:beforeAutospacing="0" w:after="0" w:afterAutospacing="0"/>
              <w:ind w:left="0" w:right="0"/>
              <w:jc w:val="center"/>
              <w:rPr>
                <w:rFonts w:hint="default"/>
                <w:color w:val="auto"/>
              </w:rPr>
            </w:pPr>
          </w:p>
        </w:tc>
        <w:tc>
          <w:tcPr>
            <w:tcW w:w="2330"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default"/>
                <w:color w:val="auto"/>
              </w:rPr>
              <w:t>G</w:t>
            </w:r>
            <w:r>
              <w:rPr>
                <w:rFonts w:hint="eastAsia"/>
                <w:color w:val="auto"/>
              </w:rPr>
              <w:t>级（1800-3000m）</w:t>
            </w:r>
          </w:p>
        </w:tc>
        <w:tc>
          <w:tcPr>
            <w:tcW w:w="1522" w:type="dxa"/>
            <w:noWrap w:val="0"/>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79.71</w:t>
            </w:r>
          </w:p>
        </w:tc>
      </w:tr>
    </w:tbl>
    <w:p>
      <w:pPr>
        <w:pStyle w:val="5"/>
        <w:bidi w:val="0"/>
        <w:rPr>
          <w:color w:val="auto"/>
        </w:rPr>
      </w:pPr>
      <w:bookmarkStart w:id="393" w:name="_Toc88146597"/>
      <w:r>
        <w:rPr>
          <w:color w:val="auto"/>
        </w:rPr>
        <w:t>完井</w:t>
      </w:r>
      <w:bookmarkEnd w:id="393"/>
    </w:p>
    <w:p>
      <w:pPr>
        <w:pStyle w:val="83"/>
        <w:bidi w:val="0"/>
        <w:rPr>
          <w:rFonts w:hint="eastAsia"/>
          <w:color w:val="auto"/>
        </w:rPr>
      </w:pPr>
      <w:bookmarkStart w:id="394" w:name="_Toc124652227"/>
      <w:bookmarkStart w:id="395" w:name="_Toc176841513"/>
      <w:bookmarkStart w:id="396" w:name="_Toc176841559"/>
      <w:r>
        <w:rPr>
          <w:rFonts w:hint="eastAsia"/>
          <w:color w:val="auto"/>
        </w:rPr>
        <w:t>钻井结束后利用压井液进行循环替出井内钻井液，并安装井口。井口偏斜度小于0.2°。生产套管接箍上端面离基础以上0.2m~0.3m。施工时，根据套管头型号的具体尺寸来确定技术套管头上端面离基础的距离。套管头上严禁焊接。</w:t>
      </w:r>
    </w:p>
    <w:p>
      <w:pPr>
        <w:pStyle w:val="83"/>
        <w:bidi w:val="0"/>
        <w:rPr>
          <w:color w:val="auto"/>
        </w:rPr>
      </w:pPr>
      <w:r>
        <w:rPr>
          <w:rFonts w:hint="eastAsia"/>
          <w:color w:val="auto"/>
        </w:rPr>
        <w:t>采用筛管完井方式，其优点如下：可以满足升平储气库大吞大吐的开发方式，筛管完井方式产能潜力更高；由于地层不出砂，筛管的完井参数方面可以采用更加激进的割缝或者钻孔方式，最大限度的提高产能开发。因此，火山岩储层井壁稳定，但考虑埋深三千多米和长期大吞大吐掉块的可能性，筛管既可以支撑井壁，又可以释放产能的特性</w:t>
      </w:r>
      <w:r>
        <w:rPr>
          <w:color w:val="auto"/>
        </w:rPr>
        <w:t>。</w:t>
      </w:r>
    </w:p>
    <w:p>
      <w:pPr>
        <w:pStyle w:val="83"/>
        <w:bidi w:val="0"/>
        <w:rPr>
          <w:rFonts w:hint="eastAsia"/>
          <w:color w:val="auto"/>
          <w:lang w:eastAsia="zh-CN"/>
        </w:rPr>
      </w:pPr>
      <w:r>
        <w:rPr>
          <w:rFonts w:hint="eastAsia"/>
          <w:color w:val="auto"/>
        </w:rPr>
        <w:t>将井口水泥房（井口保护罩）安装好，圆井用沙土完全覆盖，保护好井口和采气树，并标示井号。套管头上部安装带闸门的多功能四通，满足后期作业需求；多功能四通顶法兰面高于基础面20cm</w:t>
      </w:r>
      <w:r>
        <w:rPr>
          <w:rFonts w:hint="eastAsia"/>
          <w:color w:val="auto"/>
          <w:lang w:eastAsia="zh-CN"/>
        </w:rPr>
        <w:t>，完井井口装置示意图如下图。</w:t>
      </w:r>
    </w:p>
    <w:p>
      <w:pPr>
        <w:pStyle w:val="83"/>
        <w:bidi w:val="0"/>
        <w:rPr>
          <w:rFonts w:hint="eastAsia"/>
          <w:color w:val="auto"/>
          <w:lang w:eastAsia="zh-CN"/>
        </w:rPr>
      </w:pPr>
      <w:r>
        <w:rPr>
          <w:color w:val="auto"/>
        </w:rPr>
        <w:drawing>
          <wp:anchor distT="0" distB="0" distL="114300" distR="114300" simplePos="0" relativeHeight="251678720" behindDoc="0" locked="0" layoutInCell="1" allowOverlap="1">
            <wp:simplePos x="0" y="0"/>
            <wp:positionH relativeFrom="column">
              <wp:posOffset>358775</wp:posOffset>
            </wp:positionH>
            <wp:positionV relativeFrom="paragraph">
              <wp:posOffset>185420</wp:posOffset>
            </wp:positionV>
            <wp:extent cx="4912360" cy="2846070"/>
            <wp:effectExtent l="0" t="0" r="2540" b="11430"/>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8"/>
                    <a:stretch>
                      <a:fillRect/>
                    </a:stretch>
                  </pic:blipFill>
                  <pic:spPr>
                    <a:xfrm>
                      <a:off x="0" y="0"/>
                      <a:ext cx="4912360" cy="2846070"/>
                    </a:xfrm>
                    <a:prstGeom prst="rect">
                      <a:avLst/>
                    </a:prstGeom>
                    <a:noFill/>
                    <a:ln>
                      <a:noFill/>
                    </a:ln>
                  </pic:spPr>
                </pic:pic>
              </a:graphicData>
            </a:graphic>
          </wp:anchor>
        </w:drawing>
      </w:r>
    </w:p>
    <w:p>
      <w:pPr>
        <w:pStyle w:val="8"/>
        <w:bidi w:val="0"/>
        <w:rPr>
          <w:rFonts w:hint="eastAsia"/>
          <w:color w:val="auto"/>
          <w:lang w:eastAsia="zh-CN"/>
        </w:rPr>
      </w:pPr>
      <w:r>
        <w:rPr>
          <w:rFonts w:hint="eastAsia"/>
          <w:color w:val="auto"/>
          <w:lang w:eastAsia="zh-CN"/>
        </w:rPr>
        <w:t xml:space="preserve"> 完井井口装置示意图</w:t>
      </w:r>
    </w:p>
    <w:bookmarkEnd w:id="394"/>
    <w:bookmarkEnd w:id="395"/>
    <w:bookmarkEnd w:id="396"/>
    <w:p>
      <w:pPr>
        <w:pStyle w:val="4"/>
        <w:bidi w:val="0"/>
        <w:rPr>
          <w:color w:val="auto"/>
        </w:rPr>
      </w:pPr>
      <w:bookmarkStart w:id="397" w:name="_Toc10453"/>
      <w:bookmarkStart w:id="398" w:name="_Toc71033422"/>
      <w:bookmarkStart w:id="399" w:name="_Toc16719"/>
      <w:bookmarkStart w:id="400" w:name="_Toc8116"/>
      <w:bookmarkStart w:id="401" w:name="_Toc88146598"/>
      <w:r>
        <w:rPr>
          <w:color w:val="auto"/>
        </w:rPr>
        <w:t>主要物料消耗</w:t>
      </w:r>
      <w:bookmarkEnd w:id="397"/>
      <w:bookmarkEnd w:id="398"/>
      <w:bookmarkEnd w:id="399"/>
      <w:bookmarkEnd w:id="400"/>
      <w:bookmarkEnd w:id="401"/>
    </w:p>
    <w:p>
      <w:pPr>
        <w:pStyle w:val="33"/>
        <w:bidi w:val="0"/>
        <w:rPr>
          <w:color w:val="auto"/>
        </w:rPr>
      </w:pPr>
      <w:r>
        <w:rPr>
          <w:rFonts w:hint="eastAsia"/>
          <w:color w:val="auto"/>
        </w:rPr>
        <w:t>（1）柴油：本工程钻井使用柴油机为钻机钻进供电，本工程钻井施工每进尺1000m，柴油用量为20t</w:t>
      </w:r>
      <w:r>
        <w:rPr>
          <w:rFonts w:hint="eastAsia"/>
          <w:color w:val="auto"/>
          <w:lang w:eastAsia="zh-CN"/>
        </w:rPr>
        <w:t>，本工程消耗柴油</w:t>
      </w:r>
      <w:r>
        <w:rPr>
          <w:rFonts w:hint="eastAsia"/>
          <w:color w:val="auto"/>
          <w:lang w:val="en-US" w:eastAsia="zh-CN"/>
        </w:rPr>
        <w:t>2000.4 t</w:t>
      </w:r>
      <w:r>
        <w:rPr>
          <w:rFonts w:hint="eastAsia"/>
          <w:color w:val="auto"/>
        </w:rPr>
        <w:t>。</w:t>
      </w:r>
    </w:p>
    <w:p>
      <w:pPr>
        <w:pStyle w:val="33"/>
        <w:bidi w:val="0"/>
        <w:rPr>
          <w:color w:val="auto"/>
        </w:rPr>
      </w:pPr>
      <w:r>
        <w:rPr>
          <w:rFonts w:hint="eastAsia"/>
          <w:color w:val="auto"/>
        </w:rPr>
        <w:t>（2）生产用水：钻井过程需要用清水冲洗钻台、钻具等，平均每钻进</w:t>
      </w:r>
      <w:r>
        <w:rPr>
          <w:color w:val="auto"/>
        </w:rPr>
        <w:t>1000m</w:t>
      </w:r>
      <w:r>
        <w:rPr>
          <w:rFonts w:hint="eastAsia"/>
          <w:color w:val="auto"/>
        </w:rPr>
        <w:t>，生产用水量</w:t>
      </w:r>
      <w:r>
        <w:rPr>
          <w:color w:val="auto"/>
        </w:rPr>
        <w:t>150m</w:t>
      </w:r>
      <w:r>
        <w:rPr>
          <w:color w:val="auto"/>
          <w:vertAlign w:val="superscript"/>
        </w:rPr>
        <w:t>3</w:t>
      </w:r>
      <w:r>
        <w:rPr>
          <w:rFonts w:hint="eastAsia"/>
          <w:color w:val="auto"/>
        </w:rPr>
        <w:t>，本工程钻井完钻井深合计</w:t>
      </w:r>
      <w:r>
        <w:rPr>
          <w:rFonts w:hint="eastAsia"/>
          <w:color w:val="auto"/>
          <w:lang w:val="en-US" w:eastAsia="zh-CN"/>
        </w:rPr>
        <w:t>105020</w:t>
      </w:r>
      <w:r>
        <w:rPr>
          <w:color w:val="auto"/>
        </w:rPr>
        <w:t>m</w:t>
      </w:r>
      <w:r>
        <w:rPr>
          <w:rFonts w:hint="eastAsia"/>
          <w:color w:val="auto"/>
        </w:rPr>
        <w:t>，可计算本工程钻井用水消耗量为</w:t>
      </w:r>
      <w:r>
        <w:rPr>
          <w:rFonts w:hint="eastAsia"/>
          <w:color w:val="auto"/>
          <w:lang w:val="en-US" w:eastAsia="zh-CN"/>
        </w:rPr>
        <w:t>15753</w:t>
      </w:r>
      <w:r>
        <w:rPr>
          <w:color w:val="auto"/>
        </w:rPr>
        <w:t>m</w:t>
      </w:r>
      <w:r>
        <w:rPr>
          <w:color w:val="auto"/>
          <w:vertAlign w:val="superscript"/>
        </w:rPr>
        <w:t>3</w:t>
      </w:r>
      <w:r>
        <w:rPr>
          <w:rFonts w:hint="eastAsia"/>
          <w:color w:val="auto"/>
        </w:rPr>
        <w:t>。</w:t>
      </w:r>
    </w:p>
    <w:p>
      <w:pPr>
        <w:pStyle w:val="33"/>
        <w:bidi w:val="0"/>
        <w:rPr>
          <w:rFonts w:hint="eastAsia"/>
          <w:color w:val="auto"/>
        </w:rPr>
      </w:pPr>
      <w:r>
        <w:rPr>
          <w:rFonts w:hint="eastAsia"/>
          <w:color w:val="auto"/>
        </w:rPr>
        <w:t>（3）生活用水：根据黑龙江省地方标准《用水定额》（</w:t>
      </w:r>
      <w:r>
        <w:rPr>
          <w:color w:val="auto"/>
        </w:rPr>
        <w:t>DB23/T 7</w:t>
      </w:r>
      <w:r>
        <w:rPr>
          <w:rFonts w:hint="eastAsia"/>
          <w:color w:val="auto"/>
        </w:rPr>
        <w:t>2</w:t>
      </w:r>
      <w:r>
        <w:rPr>
          <w:color w:val="auto"/>
        </w:rPr>
        <w:t>7-2021</w:t>
      </w:r>
      <w:r>
        <w:rPr>
          <w:rFonts w:hint="eastAsia"/>
          <w:color w:val="auto"/>
        </w:rPr>
        <w:t>），生活用水量为</w:t>
      </w:r>
      <w:r>
        <w:rPr>
          <w:color w:val="auto"/>
        </w:rPr>
        <w:t>80L/</w:t>
      </w:r>
      <w:r>
        <w:rPr>
          <w:rFonts w:hint="eastAsia"/>
          <w:color w:val="auto"/>
        </w:rPr>
        <w:t>人</w:t>
      </w:r>
      <w:r>
        <w:rPr>
          <w:color w:val="auto"/>
        </w:rPr>
        <w:t>•d</w:t>
      </w:r>
      <w:r>
        <w:rPr>
          <w:rFonts w:hint="eastAsia"/>
          <w:color w:val="auto"/>
        </w:rPr>
        <w:t>。钻井队在井人数为</w:t>
      </w:r>
      <w:r>
        <w:rPr>
          <w:rFonts w:hint="eastAsia"/>
          <w:color w:val="auto"/>
          <w:lang w:val="en-US" w:eastAsia="zh-CN"/>
        </w:rPr>
        <w:t>2</w:t>
      </w:r>
      <w:r>
        <w:rPr>
          <w:color w:val="auto"/>
        </w:rPr>
        <w:t>0</w:t>
      </w:r>
      <w:r>
        <w:rPr>
          <w:rFonts w:hint="eastAsia"/>
          <w:color w:val="auto"/>
        </w:rPr>
        <w:t>人，本工程单井钻井周期</w:t>
      </w:r>
      <w:r>
        <w:rPr>
          <w:rFonts w:hint="eastAsia"/>
          <w:color w:val="auto"/>
          <w:lang w:eastAsia="zh-CN"/>
        </w:rPr>
        <w:t>（含搬家）</w:t>
      </w:r>
      <w:r>
        <w:rPr>
          <w:rFonts w:hint="eastAsia"/>
          <w:color w:val="auto"/>
        </w:rPr>
        <w:t>为</w:t>
      </w:r>
      <w:r>
        <w:rPr>
          <w:rFonts w:hint="eastAsia"/>
          <w:color w:val="auto"/>
          <w:lang w:val="en-US" w:eastAsia="zh-CN"/>
        </w:rPr>
        <w:t>123</w:t>
      </w:r>
      <w:r>
        <w:rPr>
          <w:rFonts w:hint="eastAsia"/>
          <w:color w:val="auto"/>
        </w:rPr>
        <w:t>天</w:t>
      </w:r>
      <w:r>
        <w:rPr>
          <w:rFonts w:hint="eastAsia"/>
          <w:color w:val="auto"/>
          <w:lang w:eastAsia="zh-CN"/>
        </w:rPr>
        <w:t>（钻进为</w:t>
      </w:r>
      <w:r>
        <w:rPr>
          <w:rFonts w:hint="eastAsia"/>
          <w:color w:val="auto"/>
          <w:lang w:val="en-US" w:eastAsia="zh-CN"/>
        </w:rPr>
        <w:t>117天</w:t>
      </w:r>
      <w:r>
        <w:rPr>
          <w:rFonts w:hint="eastAsia"/>
          <w:color w:val="auto"/>
          <w:lang w:eastAsia="zh-CN"/>
        </w:rPr>
        <w:t>）</w:t>
      </w:r>
      <w:r>
        <w:rPr>
          <w:rFonts w:hint="eastAsia"/>
          <w:color w:val="auto"/>
        </w:rPr>
        <w:t>，经计算生活用水消耗量合计为</w:t>
      </w:r>
      <w:r>
        <w:rPr>
          <w:rFonts w:hint="eastAsia"/>
          <w:color w:val="auto"/>
          <w:lang w:val="en-US" w:eastAsia="zh-CN"/>
        </w:rPr>
        <w:t>5904</w:t>
      </w:r>
      <w:r>
        <w:rPr>
          <w:color w:val="auto"/>
        </w:rPr>
        <w:t>m</w:t>
      </w:r>
      <w:r>
        <w:rPr>
          <w:color w:val="auto"/>
          <w:vertAlign w:val="superscript"/>
        </w:rPr>
        <w:t>3</w:t>
      </w:r>
      <w:r>
        <w:rPr>
          <w:rFonts w:hint="eastAsia"/>
          <w:color w:val="auto"/>
        </w:rPr>
        <w:t>。</w:t>
      </w:r>
    </w:p>
    <w:p>
      <w:pPr>
        <w:pStyle w:val="33"/>
        <w:bidi w:val="0"/>
        <w:rPr>
          <w:color w:val="auto"/>
        </w:rPr>
      </w:pPr>
      <w:r>
        <w:rPr>
          <w:rFonts w:hint="eastAsia"/>
          <w:color w:val="auto"/>
        </w:rPr>
        <w:t>（4）钻井液：根据本项目钻井工程设计中钻井液用量设计，</w:t>
      </w:r>
      <w:r>
        <w:rPr>
          <w:rFonts w:hint="eastAsia"/>
          <w:color w:val="auto"/>
          <w:lang w:val="en-US" w:eastAsia="zh-CN"/>
        </w:rPr>
        <w:t>30</w:t>
      </w:r>
      <w:r>
        <w:rPr>
          <w:rFonts w:hint="eastAsia"/>
          <w:color w:val="auto"/>
        </w:rPr>
        <w:t>口井共计使用</w:t>
      </w:r>
      <w:r>
        <w:rPr>
          <w:rFonts w:hint="eastAsia"/>
          <w:color w:val="auto"/>
          <w:lang w:val="en-US" w:eastAsia="zh-CN"/>
        </w:rPr>
        <w:t>水基</w:t>
      </w:r>
      <w:r>
        <w:rPr>
          <w:rFonts w:hint="eastAsia"/>
          <w:color w:val="auto"/>
        </w:rPr>
        <w:t>钻井液</w:t>
      </w:r>
      <w:r>
        <w:rPr>
          <w:rFonts w:hint="eastAsia"/>
          <w:color w:val="auto"/>
          <w:lang w:val="en-US" w:eastAsia="zh-CN"/>
        </w:rPr>
        <w:t>24960</w:t>
      </w:r>
      <w:r>
        <w:rPr>
          <w:color w:val="auto"/>
        </w:rPr>
        <w:t xml:space="preserve"> m</w:t>
      </w:r>
      <w:r>
        <w:rPr>
          <w:color w:val="auto"/>
          <w:vertAlign w:val="superscript"/>
        </w:rPr>
        <w:t>3</w:t>
      </w:r>
      <w:r>
        <w:rPr>
          <w:rFonts w:hint="eastAsia"/>
          <w:color w:val="auto"/>
          <w:vertAlign w:val="baseline"/>
          <w:lang w:eastAsia="zh-CN"/>
        </w:rPr>
        <w:t>，</w:t>
      </w:r>
      <w:r>
        <w:rPr>
          <w:rFonts w:hint="eastAsia"/>
          <w:color w:val="auto"/>
          <w:vertAlign w:val="baseline"/>
          <w:lang w:val="en-US" w:eastAsia="zh-CN"/>
        </w:rPr>
        <w:t>油基钻井液25860</w:t>
      </w:r>
      <w:r>
        <w:rPr>
          <w:color w:val="auto"/>
        </w:rPr>
        <w:t>m</w:t>
      </w:r>
      <w:r>
        <w:rPr>
          <w:color w:val="auto"/>
          <w:vertAlign w:val="superscript"/>
        </w:rPr>
        <w:t>3</w:t>
      </w:r>
      <w:r>
        <w:rPr>
          <w:rFonts w:hint="eastAsia"/>
          <w:color w:val="auto"/>
        </w:rPr>
        <w:t>。</w:t>
      </w:r>
    </w:p>
    <w:p>
      <w:pPr>
        <w:pStyle w:val="33"/>
        <w:bidi w:val="0"/>
        <w:rPr>
          <w:color w:val="auto"/>
        </w:rPr>
      </w:pPr>
      <w:r>
        <w:rPr>
          <w:rFonts w:hint="eastAsia"/>
          <w:color w:val="auto"/>
        </w:rPr>
        <w:t>（</w:t>
      </w:r>
      <w:r>
        <w:rPr>
          <w:rFonts w:hint="eastAsia"/>
          <w:color w:val="auto"/>
          <w:lang w:val="en-US" w:eastAsia="zh-CN"/>
        </w:rPr>
        <w:t>5</w:t>
      </w:r>
      <w:r>
        <w:rPr>
          <w:rFonts w:hint="eastAsia"/>
          <w:color w:val="auto"/>
        </w:rPr>
        <w:t>）水泥：根据钻井工程设计中固井水泥用量设计，本工程</w:t>
      </w:r>
      <w:r>
        <w:rPr>
          <w:rFonts w:hint="eastAsia"/>
          <w:color w:val="auto"/>
          <w:lang w:eastAsia="zh-CN"/>
        </w:rPr>
        <w:t>表层套管、技术套管和生产套管</w:t>
      </w:r>
      <w:r>
        <w:rPr>
          <w:rFonts w:hint="eastAsia"/>
          <w:color w:val="auto"/>
        </w:rPr>
        <w:t>水泥用量为</w:t>
      </w:r>
      <w:r>
        <w:rPr>
          <w:rFonts w:hint="eastAsia"/>
          <w:color w:val="auto"/>
          <w:lang w:val="en-US" w:eastAsia="zh-CN"/>
        </w:rPr>
        <w:t>79.71</w:t>
      </w:r>
      <w:r>
        <w:rPr>
          <w:color w:val="auto"/>
        </w:rPr>
        <w:t>~</w:t>
      </w:r>
      <w:r>
        <w:rPr>
          <w:rFonts w:hint="eastAsia"/>
          <w:color w:val="auto"/>
          <w:lang w:val="en-US" w:eastAsia="zh-CN"/>
        </w:rPr>
        <w:t>178.01</w:t>
      </w:r>
      <w:r>
        <w:rPr>
          <w:color w:val="auto"/>
        </w:rPr>
        <w:t>t</w:t>
      </w:r>
      <w:r>
        <w:rPr>
          <w:rFonts w:hint="eastAsia"/>
          <w:color w:val="auto"/>
        </w:rPr>
        <w:t>，本工程固井水泥用量总计为</w:t>
      </w:r>
      <w:r>
        <w:rPr>
          <w:rFonts w:hint="eastAsia"/>
          <w:color w:val="auto"/>
          <w:lang w:val="en-US" w:eastAsia="zh-CN"/>
        </w:rPr>
        <w:t xml:space="preserve">478.1 </w:t>
      </w:r>
      <w:r>
        <w:rPr>
          <w:color w:val="auto"/>
        </w:rPr>
        <w:t>t</w:t>
      </w:r>
      <w:r>
        <w:rPr>
          <w:rFonts w:hint="eastAsia"/>
          <w:color w:val="auto"/>
        </w:rPr>
        <w:t>。</w:t>
      </w:r>
    </w:p>
    <w:p>
      <w:pPr>
        <w:pStyle w:val="33"/>
        <w:bidi w:val="0"/>
        <w:rPr>
          <w:rFonts w:hint="eastAsia"/>
          <w:color w:val="auto"/>
        </w:rPr>
      </w:pPr>
      <w:r>
        <w:rPr>
          <w:rFonts w:hint="eastAsia"/>
          <w:color w:val="auto"/>
        </w:rPr>
        <w:t>（</w:t>
      </w:r>
      <w:r>
        <w:rPr>
          <w:rFonts w:hint="eastAsia"/>
          <w:color w:val="auto"/>
          <w:lang w:val="en-US" w:eastAsia="zh-CN"/>
        </w:rPr>
        <w:t>6</w:t>
      </w:r>
      <w:r>
        <w:rPr>
          <w:rFonts w:hint="eastAsia"/>
          <w:color w:val="auto"/>
        </w:rPr>
        <w:t>）防渗布：为防止在钻井过程中钻井泥浆、柴油、钻井废水等污染地面从而造成对土壤、地下水的影响，需要在柴油罐区、</w:t>
      </w:r>
      <w:r>
        <w:rPr>
          <w:rFonts w:hint="eastAsia"/>
          <w:color w:val="auto"/>
          <w:lang w:eastAsia="zh-CN"/>
        </w:rPr>
        <w:t>钢</w:t>
      </w:r>
      <w:r>
        <w:rPr>
          <w:rFonts w:hint="eastAsia"/>
          <w:color w:val="auto"/>
        </w:rPr>
        <w:t>制泥浆槽、泥浆循环罐区、</w:t>
      </w:r>
      <w:r>
        <w:rPr>
          <w:rFonts w:hint="eastAsia"/>
          <w:color w:val="auto"/>
          <w:lang w:eastAsia="zh-CN"/>
        </w:rPr>
        <w:t>储液罐区、</w:t>
      </w:r>
      <w:r>
        <w:rPr>
          <w:rFonts w:hint="eastAsia"/>
          <w:color w:val="auto"/>
        </w:rPr>
        <w:t>防渗生活污水池、材料房等处铺设防渗布，类比油田现有施工经验，防渗布平均单井用量</w:t>
      </w:r>
      <w:r>
        <w:rPr>
          <w:color w:val="auto"/>
        </w:rPr>
        <w:t>0.0255t</w:t>
      </w:r>
      <w:r>
        <w:rPr>
          <w:rFonts w:hint="eastAsia"/>
          <w:color w:val="auto"/>
        </w:rPr>
        <w:t>，本项目共计需要防渗布</w:t>
      </w:r>
      <w:r>
        <w:rPr>
          <w:rFonts w:hint="eastAsia"/>
          <w:color w:val="auto"/>
          <w:lang w:val="en-US" w:eastAsia="zh-CN"/>
        </w:rPr>
        <w:t>0.765</w:t>
      </w:r>
      <w:r>
        <w:rPr>
          <w:color w:val="auto"/>
        </w:rPr>
        <w:t>t</w:t>
      </w:r>
      <w:r>
        <w:rPr>
          <w:rFonts w:hint="eastAsia"/>
          <w:color w:val="auto"/>
        </w:rPr>
        <w:t>。</w:t>
      </w:r>
    </w:p>
    <w:p>
      <w:pPr>
        <w:pStyle w:val="7"/>
        <w:bidi w:val="0"/>
        <w:rPr>
          <w:color w:val="auto"/>
        </w:rPr>
      </w:pPr>
      <w:r>
        <w:rPr>
          <w:color w:val="auto"/>
        </w:rPr>
        <w:t>本工程主要物料消耗</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765"/>
        <w:gridCol w:w="2520"/>
        <w:gridCol w:w="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序号</w:t>
            </w:r>
          </w:p>
        </w:tc>
        <w:tc>
          <w:tcPr>
            <w:tcW w:w="175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物料名称</w:t>
            </w:r>
          </w:p>
        </w:tc>
        <w:tc>
          <w:tcPr>
            <w:tcW w:w="2505" w:type="dxa"/>
            <w:tcBorders>
              <w:top w:val="single" w:color="auto" w:sz="4" w:space="0"/>
              <w:left w:val="nil"/>
              <w:bottom w:val="single" w:color="auto" w:sz="4" w:space="0"/>
              <w:right w:val="single" w:color="auto" w:sz="4" w:space="0"/>
            </w:tcBorders>
            <w:noWrap w:val="0"/>
            <w:vAlign w:val="center"/>
          </w:tcPr>
          <w:p>
            <w:pPr>
              <w:pStyle w:val="43"/>
              <w:keepNext w:val="0"/>
              <w:keepLines w:val="0"/>
              <w:suppressLineNumbers w:val="0"/>
              <w:spacing w:before="0" w:beforeAutospacing="0" w:after="0" w:afterAutospacing="0" w:line="240" w:lineRule="exact"/>
              <w:ind w:right="0" w:firstLine="945" w:firstLineChars="450"/>
              <w:jc w:val="both"/>
              <w:rPr>
                <w:rFonts w:hint="default"/>
                <w:color w:val="auto"/>
                <w:sz w:val="21"/>
                <w:szCs w:val="21"/>
              </w:rPr>
            </w:pPr>
            <w:r>
              <w:rPr>
                <w:rFonts w:hint="default" w:hAnsi="宋体"/>
                <w:color w:val="auto"/>
                <w:sz w:val="21"/>
                <w:szCs w:val="21"/>
              </w:rPr>
              <w:t>用量</w:t>
            </w:r>
          </w:p>
        </w:tc>
        <w:tc>
          <w:tcPr>
            <w:tcW w:w="4010" w:type="dxa"/>
            <w:tcBorders>
              <w:top w:val="single" w:color="auto" w:sz="4" w:space="0"/>
              <w:left w:val="nil"/>
              <w:bottom w:val="single" w:color="auto" w:sz="4" w:space="0"/>
              <w:right w:val="single" w:color="auto" w:sz="4" w:space="0"/>
            </w:tcBorders>
            <w:noWrap w:val="0"/>
            <w:vAlign w:val="center"/>
          </w:tcPr>
          <w:p>
            <w:pPr>
              <w:pStyle w:val="43"/>
              <w:keepNext w:val="0"/>
              <w:keepLines w:val="0"/>
              <w:suppressLineNumbers w:val="0"/>
              <w:spacing w:before="0" w:beforeAutospacing="0" w:after="0" w:afterAutospacing="0" w:line="240" w:lineRule="exact"/>
              <w:ind w:right="0"/>
              <w:rPr>
                <w:rFonts w:hint="default"/>
                <w:color w:val="auto"/>
                <w:sz w:val="21"/>
                <w:szCs w:val="21"/>
              </w:rPr>
            </w:pPr>
            <w:r>
              <w:rPr>
                <w:rFonts w:hint="default" w:hAnsi="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w:t>
            </w:r>
          </w:p>
        </w:tc>
        <w:tc>
          <w:tcPr>
            <w:tcW w:w="175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钻井液</w:t>
            </w:r>
          </w:p>
        </w:tc>
        <w:tc>
          <w:tcPr>
            <w:tcW w:w="250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 xml:space="preserve">24960 </w:t>
            </w:r>
            <w:r>
              <w:rPr>
                <w:rFonts w:hint="default"/>
                <w:color w:val="auto"/>
                <w:szCs w:val="21"/>
              </w:rPr>
              <w:t>m</w:t>
            </w:r>
            <w:r>
              <w:rPr>
                <w:rFonts w:hint="default"/>
                <w:color w:val="auto"/>
                <w:szCs w:val="21"/>
                <w:vertAlign w:val="superscript"/>
              </w:rPr>
              <w:t>3</w:t>
            </w:r>
          </w:p>
        </w:tc>
        <w:tc>
          <w:tcPr>
            <w:tcW w:w="4010" w:type="dxa"/>
            <w:vMerge w:val="restart"/>
            <w:tcBorders>
              <w:top w:val="nil"/>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依据钻井工程设计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2</w:t>
            </w:r>
          </w:p>
        </w:tc>
        <w:tc>
          <w:tcPr>
            <w:tcW w:w="175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水泥</w:t>
            </w:r>
          </w:p>
        </w:tc>
        <w:tc>
          <w:tcPr>
            <w:tcW w:w="250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 xml:space="preserve">478.11 </w:t>
            </w:r>
            <w:r>
              <w:rPr>
                <w:rFonts w:hint="default"/>
                <w:color w:val="auto"/>
                <w:szCs w:val="21"/>
              </w:rPr>
              <w:t>t</w:t>
            </w:r>
          </w:p>
        </w:tc>
        <w:tc>
          <w:tcPr>
            <w:tcW w:w="4010" w:type="dxa"/>
            <w:vMerge w:val="continue"/>
            <w:tcBorders>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eastAsia" w:eastAsia="宋体"/>
                <w:color w:val="auto"/>
                <w:kern w:val="0"/>
                <w:szCs w:val="21"/>
                <w:lang w:eastAsia="zh-CN"/>
              </w:rPr>
            </w:pPr>
            <w:r>
              <w:rPr>
                <w:rFonts w:hint="eastAsia"/>
                <w:color w:val="auto"/>
                <w:kern w:val="0"/>
                <w:szCs w:val="21"/>
                <w:lang w:val="en-US" w:eastAsia="zh-CN"/>
              </w:rPr>
              <w:t>3</w:t>
            </w:r>
          </w:p>
        </w:tc>
        <w:tc>
          <w:tcPr>
            <w:tcW w:w="175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柴油</w:t>
            </w:r>
          </w:p>
        </w:tc>
        <w:tc>
          <w:tcPr>
            <w:tcW w:w="2505" w:type="dxa"/>
            <w:tcBorders>
              <w:top w:val="single" w:color="auto" w:sz="4" w:space="0"/>
              <w:left w:val="nil"/>
              <w:bottom w:val="single" w:color="auto" w:sz="4" w:space="0"/>
              <w:right w:val="single" w:color="auto" w:sz="4" w:space="0"/>
            </w:tcBorders>
            <w:noWrap w:val="0"/>
            <w:vAlign w:val="center"/>
          </w:tcPr>
          <w:p>
            <w:pPr>
              <w:pStyle w:val="84"/>
              <w:keepNext w:val="0"/>
              <w:keepLines w:val="0"/>
              <w:suppressLineNumbers w:val="0"/>
              <w:snapToGrid w:val="0"/>
              <w:spacing w:before="0" w:beforeAutospacing="0" w:after="0" w:afterAutospacing="0" w:line="240" w:lineRule="exact"/>
              <w:ind w:left="0" w:right="0" w:firstLine="0" w:firstLineChars="0"/>
              <w:jc w:val="center"/>
              <w:rPr>
                <w:rFonts w:hint="default"/>
                <w:color w:val="auto"/>
                <w:sz w:val="21"/>
                <w:szCs w:val="21"/>
              </w:rPr>
            </w:pPr>
            <w:r>
              <w:rPr>
                <w:rFonts w:hint="eastAsia"/>
                <w:color w:val="auto"/>
                <w:sz w:val="21"/>
                <w:szCs w:val="21"/>
                <w:lang w:eastAsia="zh-CN"/>
              </w:rPr>
              <w:t>20</w:t>
            </w:r>
            <w:r>
              <w:rPr>
                <w:rFonts w:hint="eastAsia"/>
                <w:color w:val="auto"/>
                <w:sz w:val="21"/>
                <w:szCs w:val="21"/>
                <w:lang w:val="en-US" w:eastAsia="zh-CN"/>
              </w:rPr>
              <w:t>00</w:t>
            </w:r>
            <w:r>
              <w:rPr>
                <w:rFonts w:hint="eastAsia"/>
                <w:color w:val="auto"/>
                <w:sz w:val="21"/>
                <w:szCs w:val="21"/>
                <w:lang w:eastAsia="zh-CN"/>
              </w:rPr>
              <w:t>.4</w:t>
            </w:r>
            <w:r>
              <w:rPr>
                <w:rFonts w:hint="eastAsia"/>
                <w:color w:val="auto"/>
                <w:sz w:val="21"/>
                <w:szCs w:val="21"/>
                <w:lang w:val="en-US" w:eastAsia="zh-CN"/>
              </w:rPr>
              <w:t xml:space="preserve"> </w:t>
            </w:r>
            <w:r>
              <w:rPr>
                <w:rFonts w:hint="default"/>
                <w:color w:val="auto"/>
                <w:sz w:val="21"/>
                <w:szCs w:val="21"/>
              </w:rPr>
              <w:t>t</w:t>
            </w:r>
          </w:p>
        </w:tc>
        <w:tc>
          <w:tcPr>
            <w:tcW w:w="4010" w:type="dxa"/>
            <w:tcBorders>
              <w:top w:val="nil"/>
              <w:left w:val="nil"/>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color w:val="auto"/>
                <w:kern w:val="0"/>
                <w:szCs w:val="21"/>
              </w:rPr>
            </w:pPr>
            <w:r>
              <w:rPr>
                <w:rFonts w:hint="default" w:hAnsi="宋体"/>
                <w:color w:val="auto"/>
                <w:szCs w:val="21"/>
              </w:rPr>
              <w:t>依据大庆油田多年统计数据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eastAsia" w:eastAsia="宋体"/>
                <w:color w:val="auto"/>
                <w:kern w:val="0"/>
                <w:szCs w:val="21"/>
                <w:lang w:eastAsia="zh-CN"/>
              </w:rPr>
            </w:pPr>
            <w:r>
              <w:rPr>
                <w:rFonts w:hint="eastAsia"/>
                <w:color w:val="auto"/>
                <w:kern w:val="0"/>
                <w:szCs w:val="21"/>
                <w:lang w:val="en-US" w:eastAsia="zh-CN"/>
              </w:rPr>
              <w:t>4</w:t>
            </w:r>
          </w:p>
        </w:tc>
        <w:tc>
          <w:tcPr>
            <w:tcW w:w="175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kern w:val="0"/>
                <w:szCs w:val="21"/>
              </w:rPr>
              <w:t>生产用水</w:t>
            </w:r>
          </w:p>
        </w:tc>
        <w:tc>
          <w:tcPr>
            <w:tcW w:w="250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 xml:space="preserve">15753 </w:t>
            </w:r>
            <w:r>
              <w:rPr>
                <w:rFonts w:hint="default"/>
                <w:color w:val="auto"/>
                <w:szCs w:val="21"/>
              </w:rPr>
              <w:t>m</w:t>
            </w:r>
            <w:r>
              <w:rPr>
                <w:rFonts w:hint="default"/>
                <w:color w:val="auto"/>
                <w:szCs w:val="21"/>
                <w:vertAlign w:val="superscript"/>
              </w:rPr>
              <w:t>3</w:t>
            </w:r>
          </w:p>
        </w:tc>
        <w:tc>
          <w:tcPr>
            <w:tcW w:w="4010" w:type="dxa"/>
            <w:tcBorders>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Arial"/>
                <w:color w:val="auto"/>
                <w:kern w:val="0"/>
                <w:sz w:val="21"/>
                <w:szCs w:val="21"/>
                <w:lang w:val="en-US" w:eastAsia="zh-CN" w:bidi="ar-SA"/>
              </w:rPr>
            </w:pPr>
            <w:r>
              <w:rPr>
                <w:rFonts w:hint="default" w:hAnsi="宋体"/>
                <w:color w:val="auto"/>
                <w:szCs w:val="21"/>
              </w:rPr>
              <w:t>依据大庆油田多年统计数据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eastAsia" w:eastAsia="宋体"/>
                <w:color w:val="auto"/>
                <w:kern w:val="0"/>
                <w:szCs w:val="21"/>
                <w:lang w:eastAsia="zh-CN"/>
              </w:rPr>
            </w:pPr>
            <w:r>
              <w:rPr>
                <w:rFonts w:hint="eastAsia"/>
                <w:color w:val="auto"/>
                <w:kern w:val="0"/>
                <w:szCs w:val="21"/>
                <w:lang w:val="en-US" w:eastAsia="zh-CN"/>
              </w:rPr>
              <w:t>5</w:t>
            </w:r>
          </w:p>
        </w:tc>
        <w:tc>
          <w:tcPr>
            <w:tcW w:w="175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Cs w:val="21"/>
              </w:rPr>
            </w:pPr>
            <w:r>
              <w:rPr>
                <w:rFonts w:hint="default" w:hAnsi="宋体"/>
                <w:color w:val="auto"/>
                <w:szCs w:val="21"/>
              </w:rPr>
              <w:t>生活用水</w:t>
            </w:r>
          </w:p>
        </w:tc>
        <w:tc>
          <w:tcPr>
            <w:tcW w:w="250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 xml:space="preserve">4723.2 </w:t>
            </w:r>
            <w:r>
              <w:rPr>
                <w:rFonts w:hint="default"/>
                <w:color w:val="auto"/>
                <w:szCs w:val="21"/>
              </w:rPr>
              <w:t>m</w:t>
            </w:r>
            <w:r>
              <w:rPr>
                <w:rFonts w:hint="default"/>
                <w:color w:val="auto"/>
                <w:szCs w:val="21"/>
                <w:vertAlign w:val="superscript"/>
              </w:rPr>
              <w:t>3</w:t>
            </w:r>
          </w:p>
        </w:tc>
        <w:tc>
          <w:tcPr>
            <w:tcW w:w="4010" w:type="dxa"/>
            <w:tcBorders>
              <w:top w:val="single" w:color="auto" w:sz="4" w:space="0"/>
              <w:left w:val="nil"/>
              <w:bottom w:val="single" w:color="auto" w:sz="4" w:space="0"/>
              <w:right w:val="single" w:color="auto" w:sz="4" w:space="0"/>
            </w:tcBorders>
            <w:noWrap w:val="0"/>
            <w:vAlign w:val="center"/>
          </w:tcPr>
          <w:p>
            <w:pPr>
              <w:pStyle w:val="84"/>
              <w:keepNext w:val="0"/>
              <w:keepLines w:val="0"/>
              <w:suppressLineNumbers w:val="0"/>
              <w:snapToGrid w:val="0"/>
              <w:spacing w:before="0" w:beforeAutospacing="0" w:after="0" w:afterAutospacing="0" w:line="240" w:lineRule="exact"/>
              <w:ind w:left="0" w:right="0" w:firstLine="0" w:firstLineChars="0"/>
              <w:jc w:val="center"/>
              <w:rPr>
                <w:rFonts w:hint="default"/>
                <w:color w:val="auto"/>
                <w:sz w:val="21"/>
                <w:szCs w:val="21"/>
              </w:rPr>
            </w:pPr>
            <w:r>
              <w:rPr>
                <w:rFonts w:hint="default" w:hAnsi="宋体"/>
                <w:color w:val="auto"/>
                <w:sz w:val="21"/>
                <w:szCs w:val="21"/>
              </w:rPr>
              <w:t>依据《用水定额》（</w:t>
            </w:r>
            <w:r>
              <w:rPr>
                <w:rFonts w:hint="default"/>
                <w:color w:val="auto"/>
                <w:sz w:val="21"/>
                <w:szCs w:val="21"/>
              </w:rPr>
              <w:t>DB23/T 727-2021</w:t>
            </w:r>
            <w:r>
              <w:rPr>
                <w:rFonts w:hint="default" w:hAnsi="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eastAsia" w:eastAsia="宋体"/>
                <w:color w:val="auto"/>
                <w:kern w:val="0"/>
                <w:szCs w:val="21"/>
                <w:lang w:val="en-US" w:eastAsia="zh-CN"/>
              </w:rPr>
            </w:pPr>
            <w:r>
              <w:rPr>
                <w:rFonts w:hint="eastAsia"/>
                <w:color w:val="auto"/>
                <w:kern w:val="0"/>
                <w:szCs w:val="21"/>
                <w:lang w:val="en-US" w:eastAsia="zh-CN"/>
              </w:rPr>
              <w:t>6</w:t>
            </w:r>
          </w:p>
        </w:tc>
        <w:tc>
          <w:tcPr>
            <w:tcW w:w="175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eastAsia" w:hAnsi="宋体" w:eastAsia="宋体"/>
                <w:color w:val="auto"/>
                <w:szCs w:val="21"/>
                <w:lang w:eastAsia="zh-CN"/>
              </w:rPr>
            </w:pPr>
            <w:r>
              <w:rPr>
                <w:rFonts w:hint="eastAsia" w:hAnsi="宋体"/>
                <w:color w:val="auto"/>
                <w:szCs w:val="21"/>
                <w:lang w:eastAsia="zh-CN"/>
              </w:rPr>
              <w:t>防渗布</w:t>
            </w:r>
          </w:p>
        </w:tc>
        <w:tc>
          <w:tcPr>
            <w:tcW w:w="2505"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0.765 t</w:t>
            </w:r>
          </w:p>
        </w:tc>
        <w:tc>
          <w:tcPr>
            <w:tcW w:w="4010" w:type="dxa"/>
            <w:tcBorders>
              <w:top w:val="single" w:color="auto" w:sz="4" w:space="0"/>
              <w:left w:val="nil"/>
              <w:bottom w:val="single" w:color="auto" w:sz="4" w:space="0"/>
              <w:right w:val="single" w:color="auto" w:sz="4" w:space="0"/>
            </w:tcBorders>
            <w:noWrap w:val="0"/>
            <w:vAlign w:val="center"/>
          </w:tcPr>
          <w:p>
            <w:pPr>
              <w:pStyle w:val="84"/>
              <w:keepNext w:val="0"/>
              <w:keepLines w:val="0"/>
              <w:suppressLineNumbers w:val="0"/>
              <w:snapToGrid w:val="0"/>
              <w:spacing w:before="0" w:beforeAutospacing="0" w:after="0" w:afterAutospacing="0" w:line="240" w:lineRule="exact"/>
              <w:ind w:left="0" w:right="0" w:firstLine="0" w:firstLineChars="0"/>
              <w:jc w:val="center"/>
              <w:rPr>
                <w:rFonts w:hint="default" w:hAnsi="宋体"/>
                <w:color w:val="auto"/>
                <w:sz w:val="21"/>
                <w:szCs w:val="21"/>
              </w:rPr>
            </w:pPr>
            <w:r>
              <w:rPr>
                <w:rFonts w:hint="eastAsia" w:hAnsi="宋体"/>
                <w:color w:val="auto"/>
                <w:sz w:val="21"/>
                <w:szCs w:val="21"/>
              </w:rPr>
              <w:t>依据大庆油田多年统计数据</w:t>
            </w:r>
          </w:p>
        </w:tc>
      </w:tr>
    </w:tbl>
    <w:p>
      <w:pPr>
        <w:pStyle w:val="4"/>
        <w:snapToGrid w:val="0"/>
        <w:spacing w:before="159" w:beforeLines="50" w:after="159" w:afterLines="50" w:line="600" w:lineRule="exact"/>
        <w:rPr>
          <w:rFonts w:ascii="Times New Roman" w:hAnsi="Times New Roman" w:eastAsia="宋体"/>
          <w:b w:val="0"/>
          <w:snapToGrid w:val="0"/>
          <w:color w:val="auto"/>
          <w:kern w:val="0"/>
          <w:sz w:val="30"/>
          <w:szCs w:val="30"/>
        </w:rPr>
      </w:pPr>
      <w:bookmarkStart w:id="402" w:name="_Toc200"/>
      <w:bookmarkStart w:id="403" w:name="_Toc88146599"/>
      <w:bookmarkStart w:id="404" w:name="_Toc21602"/>
      <w:bookmarkStart w:id="405" w:name="_Toc4098"/>
      <w:bookmarkStart w:id="406" w:name="_Toc71033423"/>
      <w:r>
        <w:rPr>
          <w:rFonts w:ascii="Times New Roman" w:hAnsi="Times New Roman" w:eastAsia="宋体"/>
          <w:b w:val="0"/>
          <w:snapToGrid w:val="0"/>
          <w:color w:val="auto"/>
          <w:kern w:val="0"/>
          <w:sz w:val="30"/>
          <w:szCs w:val="30"/>
        </w:rPr>
        <w:t>场地布置及土地利用</w:t>
      </w:r>
      <w:bookmarkEnd w:id="402"/>
      <w:bookmarkEnd w:id="403"/>
      <w:bookmarkEnd w:id="404"/>
      <w:bookmarkEnd w:id="405"/>
      <w:bookmarkEnd w:id="406"/>
    </w:p>
    <w:p>
      <w:pPr>
        <w:pStyle w:val="5"/>
        <w:spacing w:before="159" w:beforeLines="50" w:after="159" w:afterLines="50" w:line="460" w:lineRule="exact"/>
        <w:rPr>
          <w:b w:val="0"/>
          <w:snapToGrid w:val="0"/>
          <w:color w:val="auto"/>
          <w:kern w:val="0"/>
          <w:sz w:val="28"/>
          <w:szCs w:val="28"/>
        </w:rPr>
      </w:pPr>
      <w:bookmarkStart w:id="407" w:name="_Toc88146600"/>
      <w:r>
        <w:rPr>
          <w:b w:val="0"/>
          <w:snapToGrid w:val="0"/>
          <w:color w:val="auto"/>
          <w:kern w:val="0"/>
          <w:sz w:val="28"/>
          <w:szCs w:val="28"/>
        </w:rPr>
        <w:t>场地布置</w:t>
      </w:r>
      <w:bookmarkEnd w:id="407"/>
    </w:p>
    <w:p>
      <w:pPr>
        <w:pStyle w:val="33"/>
        <w:bidi w:val="0"/>
        <w:rPr>
          <w:color w:val="auto"/>
        </w:rPr>
      </w:pPr>
      <w:r>
        <w:rPr>
          <w:color w:val="auto"/>
        </w:rPr>
        <w:t>本工程共新钻井</w:t>
      </w:r>
      <w:r>
        <w:rPr>
          <w:rFonts w:hint="eastAsia"/>
          <w:color w:val="auto"/>
          <w:lang w:val="en-US" w:eastAsia="zh-CN"/>
        </w:rPr>
        <w:t>30</w:t>
      </w:r>
      <w:r>
        <w:rPr>
          <w:color w:val="auto"/>
        </w:rPr>
        <w:t>口</w:t>
      </w:r>
      <w:r>
        <w:rPr>
          <w:rFonts w:hint="eastAsia"/>
          <w:color w:val="auto"/>
        </w:rPr>
        <w:t>，</w:t>
      </w:r>
      <w:r>
        <w:rPr>
          <w:color w:val="auto"/>
        </w:rPr>
        <w:t>井场布设采用生产区与生活区分开布设的原则，同时生产区与生活区设必要的安全与卫生防护距离。钻井井场平面布置见图3.</w:t>
      </w:r>
      <w:r>
        <w:rPr>
          <w:rFonts w:hint="eastAsia"/>
          <w:color w:val="auto"/>
          <w:lang w:val="en-US" w:eastAsia="zh-CN"/>
        </w:rPr>
        <w:t>3</w:t>
      </w:r>
      <w:r>
        <w:rPr>
          <w:color w:val="auto"/>
        </w:rPr>
        <w:t>-</w:t>
      </w:r>
      <w:r>
        <w:rPr>
          <w:rFonts w:hint="eastAsia"/>
          <w:color w:val="auto"/>
        </w:rPr>
        <w:t>1</w:t>
      </w:r>
      <w:r>
        <w:rPr>
          <w:color w:val="auto"/>
        </w:rPr>
        <w:t>。</w:t>
      </w:r>
    </w:p>
    <w:p>
      <w:pPr>
        <w:pStyle w:val="5"/>
        <w:spacing w:before="159" w:beforeLines="50" w:after="159" w:afterLines="50" w:line="460" w:lineRule="exact"/>
        <w:rPr>
          <w:b w:val="0"/>
          <w:snapToGrid w:val="0"/>
          <w:color w:val="auto"/>
          <w:kern w:val="0"/>
          <w:sz w:val="28"/>
          <w:szCs w:val="28"/>
        </w:rPr>
      </w:pPr>
      <w:bookmarkStart w:id="408" w:name="_Toc88146601"/>
      <w:r>
        <w:rPr>
          <w:b w:val="0"/>
          <w:snapToGrid w:val="0"/>
          <w:color w:val="auto"/>
          <w:kern w:val="0"/>
          <w:sz w:val="28"/>
          <w:szCs w:val="28"/>
        </w:rPr>
        <w:t>工程占地</w:t>
      </w:r>
      <w:bookmarkEnd w:id="408"/>
    </w:p>
    <w:p>
      <w:pPr>
        <w:pStyle w:val="33"/>
        <w:bidi w:val="0"/>
        <w:rPr>
          <w:color w:val="auto"/>
        </w:rPr>
      </w:pPr>
      <w:r>
        <w:rPr>
          <w:color w:val="auto"/>
        </w:rPr>
        <w:t>（1）工程占地情况</w:t>
      </w:r>
    </w:p>
    <w:p>
      <w:pPr>
        <w:pStyle w:val="33"/>
        <w:bidi w:val="0"/>
        <w:rPr>
          <w:rFonts w:hint="eastAsia"/>
          <w:color w:val="auto"/>
        </w:rPr>
      </w:pPr>
      <w:r>
        <w:rPr>
          <w:color w:val="auto"/>
        </w:rPr>
        <w:t>本工程占地主要为在钻井期间施工营地、材料堆场、钻井设备、柴油发电机组发生的临时占地，完井后形成永久井场发生的永久占地</w:t>
      </w:r>
      <w:r>
        <w:rPr>
          <w:rFonts w:hint="eastAsia"/>
          <w:color w:val="auto"/>
          <w:lang w:eastAsia="zh-CN"/>
        </w:rPr>
        <w:t>。</w:t>
      </w:r>
      <w:r>
        <w:rPr>
          <w:rFonts w:hint="eastAsia"/>
          <w:color w:val="auto"/>
          <w:sz w:val="28"/>
          <w:szCs w:val="28"/>
        </w:rPr>
        <w:t>依据</w:t>
      </w:r>
      <w:r>
        <w:rPr>
          <w:color w:val="auto"/>
          <w:sz w:val="28"/>
          <w:szCs w:val="28"/>
        </w:rPr>
        <w:t>《石油天然气工程项目用地控制指标》（国土资规[2016]14号）</w:t>
      </w:r>
      <w:r>
        <w:rPr>
          <w:rFonts w:hint="eastAsia"/>
          <w:color w:val="auto"/>
          <w:sz w:val="28"/>
          <w:szCs w:val="28"/>
          <w:lang w:eastAsia="zh-CN"/>
        </w:rPr>
        <w:t>以及</w:t>
      </w:r>
      <w:r>
        <w:rPr>
          <w:rFonts w:hAnsi="宋体"/>
          <w:color w:val="auto"/>
          <w:szCs w:val="21"/>
        </w:rPr>
        <w:t>钻井工程设计</w:t>
      </w:r>
      <w:r>
        <w:rPr>
          <w:color w:val="auto"/>
          <w:sz w:val="28"/>
          <w:szCs w:val="28"/>
        </w:rPr>
        <w:t>，井场永久占地时面积为</w:t>
      </w:r>
      <w:r>
        <w:rPr>
          <w:rFonts w:hint="eastAsia"/>
          <w:color w:val="auto"/>
          <w:sz w:val="28"/>
          <w:szCs w:val="28"/>
        </w:rPr>
        <w:t>1</w:t>
      </w:r>
      <w:r>
        <w:rPr>
          <w:rFonts w:hint="eastAsia"/>
          <w:color w:val="auto"/>
          <w:sz w:val="28"/>
          <w:szCs w:val="28"/>
          <w:lang w:val="en-US" w:eastAsia="zh-CN"/>
        </w:rPr>
        <w:t>2</w:t>
      </w:r>
      <w:r>
        <w:rPr>
          <w:color w:val="auto"/>
          <w:sz w:val="28"/>
          <w:szCs w:val="28"/>
        </w:rPr>
        <w:t>00m</w:t>
      </w:r>
      <w:r>
        <w:rPr>
          <w:color w:val="auto"/>
          <w:sz w:val="28"/>
          <w:szCs w:val="28"/>
          <w:vertAlign w:val="superscript"/>
        </w:rPr>
        <w:t>2</w:t>
      </w:r>
      <w:r>
        <w:rPr>
          <w:rFonts w:hint="eastAsia"/>
          <w:color w:val="auto"/>
          <w:sz w:val="28"/>
          <w:szCs w:val="28"/>
          <w:lang w:eastAsia="zh-CN"/>
        </w:rPr>
        <w:t>。</w:t>
      </w:r>
      <w:r>
        <w:rPr>
          <w:color w:val="auto"/>
        </w:rPr>
        <w:t>本项目共钻井</w:t>
      </w:r>
      <w:r>
        <w:rPr>
          <w:rFonts w:hint="eastAsia"/>
          <w:color w:val="auto"/>
          <w:lang w:val="en-US" w:eastAsia="zh-CN"/>
        </w:rPr>
        <w:t>30</w:t>
      </w:r>
      <w:r>
        <w:rPr>
          <w:color w:val="auto"/>
        </w:rPr>
        <w:t>口，</w:t>
      </w:r>
      <w:r>
        <w:rPr>
          <w:rFonts w:hint="eastAsia"/>
          <w:color w:val="auto"/>
        </w:rPr>
        <w:t>包括临时占地和永外占地，1座</w:t>
      </w:r>
      <w:r>
        <w:rPr>
          <w:color w:val="auto"/>
        </w:rPr>
        <w:t>单井</w:t>
      </w:r>
      <w:r>
        <w:rPr>
          <w:rFonts w:hint="eastAsia"/>
          <w:color w:val="auto"/>
        </w:rPr>
        <w:t>井场</w:t>
      </w:r>
      <w:r>
        <w:rPr>
          <w:color w:val="auto"/>
        </w:rPr>
        <w:t>永久占地</w:t>
      </w:r>
      <w:r>
        <w:rPr>
          <w:rFonts w:hint="eastAsia"/>
          <w:color w:val="auto"/>
        </w:rPr>
        <w:t>为1200</w:t>
      </w:r>
      <w:r>
        <w:rPr>
          <w:color w:val="auto"/>
        </w:rPr>
        <w:t>m</w:t>
      </w:r>
      <w:r>
        <w:rPr>
          <w:color w:val="auto"/>
          <w:vertAlign w:val="superscript"/>
        </w:rPr>
        <w:t>2</w:t>
      </w:r>
      <w:r>
        <w:rPr>
          <w:rFonts w:hint="eastAsia"/>
          <w:color w:val="auto"/>
        </w:rPr>
        <w:t>，</w:t>
      </w:r>
      <w:r>
        <w:rPr>
          <w:rFonts w:hint="eastAsia"/>
          <w:color w:val="auto"/>
          <w:lang w:eastAsia="zh-CN"/>
        </w:rPr>
        <w:t>平台井每增减一口井增加永久占地面积为</w:t>
      </w:r>
      <w:r>
        <w:rPr>
          <w:rFonts w:hint="eastAsia"/>
          <w:color w:val="auto"/>
          <w:lang w:val="en-US" w:eastAsia="zh-CN"/>
        </w:rPr>
        <w:t>200m</w:t>
      </w:r>
      <w:r>
        <w:rPr>
          <w:rFonts w:hint="eastAsia"/>
          <w:color w:val="auto"/>
          <w:vertAlign w:val="superscript"/>
          <w:lang w:val="en-US" w:eastAsia="zh-CN"/>
        </w:rPr>
        <w:t>2</w:t>
      </w:r>
      <w:r>
        <w:rPr>
          <w:rFonts w:hint="eastAsia"/>
          <w:color w:val="auto"/>
          <w:lang w:val="en-US" w:eastAsia="zh-CN"/>
        </w:rPr>
        <w:t>，</w:t>
      </w:r>
      <w:r>
        <w:rPr>
          <w:rFonts w:hint="eastAsia"/>
          <w:color w:val="auto"/>
        </w:rPr>
        <w:t>其余为临时占地</w:t>
      </w:r>
      <w:r>
        <w:rPr>
          <w:color w:val="auto"/>
        </w:rPr>
        <w:t>。本工程占地约</w:t>
      </w:r>
      <w:r>
        <w:rPr>
          <w:rFonts w:hint="eastAsia"/>
          <w:color w:val="auto"/>
          <w:lang w:val="en-US" w:eastAsia="zh-CN"/>
        </w:rPr>
        <w:t>13.44</w:t>
      </w:r>
      <w:r>
        <w:rPr>
          <w:color w:val="auto"/>
        </w:rPr>
        <w:t>hm</w:t>
      </w:r>
      <w:r>
        <w:rPr>
          <w:color w:val="auto"/>
          <w:vertAlign w:val="superscript"/>
        </w:rPr>
        <w:t>2</w:t>
      </w:r>
      <w:r>
        <w:rPr>
          <w:color w:val="auto"/>
        </w:rPr>
        <w:t>，其中永久占地</w:t>
      </w:r>
      <w:r>
        <w:rPr>
          <w:rFonts w:hint="eastAsia"/>
          <w:color w:val="auto"/>
          <w:lang w:val="en-US" w:eastAsia="zh-CN"/>
        </w:rPr>
        <w:t>1.6</w:t>
      </w:r>
      <w:r>
        <w:rPr>
          <w:color w:val="auto"/>
        </w:rPr>
        <w:t>hm</w:t>
      </w:r>
      <w:r>
        <w:rPr>
          <w:color w:val="auto"/>
          <w:vertAlign w:val="superscript"/>
        </w:rPr>
        <w:t>2</w:t>
      </w:r>
      <w:r>
        <w:rPr>
          <w:color w:val="auto"/>
        </w:rPr>
        <w:t>，临时占地</w:t>
      </w:r>
      <w:r>
        <w:rPr>
          <w:rFonts w:hint="eastAsia"/>
          <w:color w:val="auto"/>
          <w:lang w:val="en-US" w:eastAsia="zh-CN"/>
        </w:rPr>
        <w:t>11.84</w:t>
      </w:r>
      <w:r>
        <w:rPr>
          <w:color w:val="auto"/>
        </w:rPr>
        <w:t>hm</w:t>
      </w:r>
      <w:r>
        <w:rPr>
          <w:color w:val="auto"/>
          <w:vertAlign w:val="superscript"/>
        </w:rPr>
        <w:t>2</w:t>
      </w:r>
      <w:r>
        <w:rPr>
          <w:color w:val="auto"/>
        </w:rPr>
        <w:t>，</w:t>
      </w:r>
      <w:r>
        <w:rPr>
          <w:rFonts w:hint="eastAsia"/>
          <w:color w:val="auto"/>
        </w:rPr>
        <w:t>占地类型为耕地（基本农田）</w:t>
      </w:r>
      <w:r>
        <w:rPr>
          <w:rFonts w:hint="eastAsia"/>
          <w:color w:val="auto"/>
          <w:lang w:eastAsia="zh-CN"/>
        </w:rPr>
        <w:t>和</w:t>
      </w:r>
      <w:r>
        <w:rPr>
          <w:rFonts w:hint="eastAsia"/>
          <w:color w:val="auto"/>
        </w:rPr>
        <w:t>草地（</w:t>
      </w:r>
      <w:r>
        <w:rPr>
          <w:rFonts w:hint="eastAsia"/>
          <w:color w:val="auto"/>
          <w:lang w:eastAsia="zh-CN"/>
        </w:rPr>
        <w:t>一般草地</w:t>
      </w:r>
      <w:r>
        <w:rPr>
          <w:rFonts w:hint="eastAsia"/>
          <w:color w:val="auto"/>
        </w:rPr>
        <w:t>）</w:t>
      </w:r>
      <w:r>
        <w:rPr>
          <w:color w:val="auto"/>
        </w:rPr>
        <w:t>。具体用地情况见表3.</w:t>
      </w:r>
      <w:r>
        <w:rPr>
          <w:rFonts w:hint="eastAsia"/>
          <w:color w:val="auto"/>
          <w:lang w:val="en-US" w:eastAsia="zh-CN"/>
        </w:rPr>
        <w:t>3</w:t>
      </w:r>
      <w:r>
        <w:rPr>
          <w:color w:val="auto"/>
        </w:rPr>
        <w:t>-1。</w:t>
      </w:r>
    </w:p>
    <w:p>
      <w:pPr>
        <w:pStyle w:val="7"/>
        <w:bidi w:val="0"/>
        <w:rPr>
          <w:color w:val="auto"/>
        </w:rPr>
      </w:pPr>
      <w:r>
        <w:rPr>
          <w:color w:val="auto"/>
        </w:rPr>
        <w:t>工程占地情况一览</w:t>
      </w:r>
      <w:r>
        <w:rPr>
          <w:rFonts w:hint="eastAsia"/>
          <w:color w:val="auto"/>
        </w:rPr>
        <w:t>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83"/>
        <w:gridCol w:w="1166"/>
        <w:gridCol w:w="1791"/>
        <w:gridCol w:w="1714"/>
        <w:gridCol w:w="184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29" w:type="pct"/>
            <w:vMerge w:val="restar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序号</w:t>
            </w:r>
          </w:p>
        </w:tc>
        <w:tc>
          <w:tcPr>
            <w:tcW w:w="639" w:type="pct"/>
            <w:vMerge w:val="restar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建设项目</w:t>
            </w:r>
          </w:p>
        </w:tc>
        <w:tc>
          <w:tcPr>
            <w:tcW w:w="1920" w:type="pct"/>
            <w:gridSpan w:val="2"/>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永久占地（hm</w:t>
            </w:r>
            <w:r>
              <w:rPr>
                <w:rFonts w:hint="default" w:eastAsia="宋体"/>
                <w:color w:val="auto"/>
                <w:vertAlign w:val="superscript"/>
              </w:rPr>
              <w:t>2</w:t>
            </w:r>
            <w:r>
              <w:rPr>
                <w:rFonts w:hint="default" w:eastAsia="宋体"/>
                <w:color w:val="auto"/>
              </w:rPr>
              <w:t>）</w:t>
            </w:r>
          </w:p>
        </w:tc>
        <w:tc>
          <w:tcPr>
            <w:tcW w:w="2010" w:type="pct"/>
            <w:gridSpan w:val="2"/>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临时占地（hm</w:t>
            </w:r>
            <w:r>
              <w:rPr>
                <w:rFonts w:hint="default" w:eastAsia="宋体"/>
                <w:color w:val="auto"/>
                <w:vertAlign w:val="superscript"/>
              </w:rPr>
              <w:t>2</w:t>
            </w:r>
            <w:r>
              <w:rPr>
                <w:rFonts w:hint="default" w:eastAsia="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29" w:type="pct"/>
            <w:vMerge w:val="continue"/>
            <w:vAlign w:val="center"/>
          </w:tcPr>
          <w:p>
            <w:pPr>
              <w:keepNext w:val="0"/>
              <w:keepLines w:val="0"/>
              <w:suppressLineNumbers w:val="0"/>
              <w:spacing w:before="0" w:beforeAutospacing="0" w:after="0" w:afterAutospacing="0"/>
              <w:ind w:left="0" w:right="0"/>
              <w:jc w:val="center"/>
              <w:rPr>
                <w:rFonts w:hint="default" w:eastAsia="宋体"/>
                <w:color w:val="auto"/>
              </w:rPr>
            </w:pPr>
          </w:p>
        </w:tc>
        <w:tc>
          <w:tcPr>
            <w:tcW w:w="639" w:type="pct"/>
            <w:vMerge w:val="continue"/>
            <w:vAlign w:val="center"/>
          </w:tcPr>
          <w:p>
            <w:pPr>
              <w:keepNext w:val="0"/>
              <w:keepLines w:val="0"/>
              <w:suppressLineNumbers w:val="0"/>
              <w:spacing w:before="0" w:beforeAutospacing="0" w:after="0" w:afterAutospacing="0"/>
              <w:ind w:left="0" w:right="0"/>
              <w:jc w:val="center"/>
              <w:rPr>
                <w:rFonts w:hint="default" w:eastAsia="宋体"/>
                <w:color w:val="auto"/>
              </w:rPr>
            </w:pPr>
          </w:p>
        </w:tc>
        <w:tc>
          <w:tcPr>
            <w:tcW w:w="981" w:type="pc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eastAsia"/>
                <w:color w:val="auto"/>
                <w:lang w:eastAsia="zh-CN"/>
              </w:rPr>
              <w:t>一般草地</w:t>
            </w:r>
          </w:p>
        </w:tc>
        <w:tc>
          <w:tcPr>
            <w:tcW w:w="938" w:type="pct"/>
            <w:vAlign w:val="center"/>
          </w:tcPr>
          <w:p>
            <w:pPr>
              <w:keepNext w:val="0"/>
              <w:keepLines w:val="0"/>
              <w:suppressLineNumbers w:val="0"/>
              <w:spacing w:before="0" w:beforeAutospacing="0" w:after="0" w:afterAutospacing="0"/>
              <w:ind w:left="0" w:right="0"/>
              <w:jc w:val="center"/>
              <w:rPr>
                <w:rFonts w:hint="eastAsia" w:eastAsia="宋体"/>
                <w:color w:val="auto"/>
              </w:rPr>
            </w:pPr>
            <w:r>
              <w:rPr>
                <w:rFonts w:hint="eastAsia" w:eastAsia="宋体"/>
                <w:color w:val="auto"/>
              </w:rPr>
              <w:t>基本农田</w:t>
            </w:r>
          </w:p>
        </w:tc>
        <w:tc>
          <w:tcPr>
            <w:tcW w:w="1013" w:type="pct"/>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一般草地</w:t>
            </w:r>
          </w:p>
        </w:tc>
        <w:tc>
          <w:tcPr>
            <w:tcW w:w="997" w:type="pct"/>
            <w:vAlign w:val="center"/>
          </w:tcPr>
          <w:p>
            <w:pPr>
              <w:keepNext w:val="0"/>
              <w:keepLines w:val="0"/>
              <w:suppressLineNumbers w:val="0"/>
              <w:spacing w:before="0" w:beforeAutospacing="0" w:after="0" w:afterAutospacing="0"/>
              <w:ind w:left="0" w:right="0"/>
              <w:jc w:val="center"/>
              <w:rPr>
                <w:rFonts w:hint="default"/>
                <w:color w:val="auto"/>
              </w:rPr>
            </w:pPr>
            <w:r>
              <w:rPr>
                <w:rFonts w:hint="eastAsia" w:eastAsia="宋体"/>
                <w:color w:val="auto"/>
              </w:rPr>
              <w:t>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29" w:type="pc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1</w:t>
            </w:r>
          </w:p>
        </w:tc>
        <w:tc>
          <w:tcPr>
            <w:tcW w:w="639" w:type="pc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eastAsia"/>
                <w:color w:val="auto"/>
                <w:lang w:eastAsia="zh-CN"/>
              </w:rPr>
              <w:t>注采</w:t>
            </w:r>
            <w:r>
              <w:rPr>
                <w:rFonts w:hint="default" w:eastAsia="宋体"/>
                <w:color w:val="auto"/>
              </w:rPr>
              <w:t>井场</w:t>
            </w:r>
          </w:p>
        </w:tc>
        <w:tc>
          <w:tcPr>
            <w:tcW w:w="981" w:type="pct"/>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w:t>
            </w:r>
          </w:p>
        </w:tc>
        <w:tc>
          <w:tcPr>
            <w:tcW w:w="938" w:type="pct"/>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1.6</w:t>
            </w:r>
          </w:p>
        </w:tc>
        <w:tc>
          <w:tcPr>
            <w:tcW w:w="1013" w:type="pct"/>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0.845</w:t>
            </w:r>
          </w:p>
        </w:tc>
        <w:tc>
          <w:tcPr>
            <w:tcW w:w="997" w:type="pct"/>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29" w:type="pc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eastAsia" w:eastAsia="宋体"/>
                <w:color w:val="auto"/>
              </w:rPr>
              <w:t>3</w:t>
            </w:r>
          </w:p>
        </w:tc>
        <w:tc>
          <w:tcPr>
            <w:tcW w:w="639" w:type="pc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合计</w:t>
            </w:r>
          </w:p>
        </w:tc>
        <w:tc>
          <w:tcPr>
            <w:tcW w:w="1920" w:type="pct"/>
            <w:gridSpan w:val="2"/>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1.6</w:t>
            </w:r>
          </w:p>
        </w:tc>
        <w:tc>
          <w:tcPr>
            <w:tcW w:w="2010" w:type="pct"/>
            <w:gridSpan w:val="2"/>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429" w:type="pc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eastAsia" w:eastAsia="宋体"/>
                <w:color w:val="auto"/>
              </w:rPr>
              <w:t>4</w:t>
            </w:r>
          </w:p>
        </w:tc>
        <w:tc>
          <w:tcPr>
            <w:tcW w:w="639" w:type="pct"/>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总计</w:t>
            </w:r>
          </w:p>
        </w:tc>
        <w:tc>
          <w:tcPr>
            <w:tcW w:w="3930" w:type="pct"/>
            <w:gridSpan w:val="4"/>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13.44</w:t>
            </w:r>
          </w:p>
        </w:tc>
      </w:tr>
    </w:tbl>
    <w:p>
      <w:pPr>
        <w:pStyle w:val="33"/>
        <w:bidi w:val="0"/>
        <w:rPr>
          <w:color w:val="auto"/>
        </w:rPr>
      </w:pPr>
      <w:r>
        <w:rPr>
          <w:color w:val="auto"/>
        </w:rPr>
        <w:t>（2）</w:t>
      </w:r>
      <w:r>
        <w:rPr>
          <w:rFonts w:hint="eastAsia"/>
          <w:color w:val="auto"/>
        </w:rPr>
        <w:t>土石方平衡</w:t>
      </w:r>
    </w:p>
    <w:p>
      <w:pPr>
        <w:pStyle w:val="33"/>
        <w:bidi w:val="0"/>
        <w:rPr>
          <w:color w:val="auto"/>
        </w:rPr>
      </w:pPr>
      <w:r>
        <w:rPr>
          <w:rFonts w:hint="eastAsia"/>
          <w:color w:val="auto"/>
        </w:rPr>
        <w:t>本工程涉及土方工程主要包括井场垫土、放喷池、生活污水池、旱厕和截水沟挖方施工，挖方施工应分层开挖，分层堆放，待本工程施工结束后分层回填，开挖土方均原地回填，其余垫土不足的部分由建设单位外购至有正规手续的土场，履行相关手续。工程具体土方平衡见表3.</w:t>
      </w:r>
      <w:r>
        <w:rPr>
          <w:rFonts w:hint="eastAsia"/>
          <w:color w:val="auto"/>
          <w:lang w:val="en-US" w:eastAsia="zh-CN"/>
        </w:rPr>
        <w:t>3</w:t>
      </w:r>
      <w:r>
        <w:rPr>
          <w:rFonts w:hint="eastAsia"/>
          <w:color w:val="auto"/>
        </w:rPr>
        <w:t>-</w:t>
      </w:r>
      <w:r>
        <w:rPr>
          <w:rFonts w:hint="eastAsia"/>
          <w:color w:val="auto"/>
          <w:lang w:val="en-US" w:eastAsia="zh-CN"/>
        </w:rPr>
        <w:t>2</w:t>
      </w:r>
      <w:r>
        <w:rPr>
          <w:rFonts w:hint="eastAsia"/>
          <w:color w:val="auto"/>
        </w:rPr>
        <w:t>。</w:t>
      </w:r>
      <w:r>
        <w:rPr>
          <w:color w:val="auto"/>
        </w:rPr>
        <w:t>钻井岩屑采用不落地方式进行处理，因此不产生弃土量。</w:t>
      </w:r>
    </w:p>
    <w:p>
      <w:pPr>
        <w:pStyle w:val="7"/>
        <w:bidi w:val="0"/>
        <w:rPr>
          <w:color w:val="auto"/>
        </w:rPr>
      </w:pPr>
      <w:r>
        <w:rPr>
          <w:color w:val="auto"/>
        </w:rPr>
        <w:t>土石方平衡表</w:t>
      </w:r>
      <w:r>
        <w:rPr>
          <w:rFonts w:hint="eastAsia"/>
          <w:color w:val="auto"/>
        </w:rPr>
        <w:t xml:space="preserve">       </w:t>
      </w:r>
      <w:r>
        <w:rPr>
          <w:color w:val="auto"/>
        </w:rPr>
        <w:t>单位：m3</w:t>
      </w:r>
    </w:p>
    <w:tbl>
      <w:tblPr>
        <w:tblStyle w:val="34"/>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643"/>
        <w:gridCol w:w="851"/>
        <w:gridCol w:w="850"/>
        <w:gridCol w:w="757"/>
        <w:gridCol w:w="914"/>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tblHeader/>
          <w:jc w:val="center"/>
        </w:trPr>
        <w:tc>
          <w:tcPr>
            <w:tcW w:w="733"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序号</w:t>
            </w:r>
          </w:p>
        </w:tc>
        <w:tc>
          <w:tcPr>
            <w:tcW w:w="1643"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类别</w:t>
            </w:r>
          </w:p>
        </w:tc>
        <w:tc>
          <w:tcPr>
            <w:tcW w:w="851"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rPr>
            </w:pPr>
            <w:r>
              <w:rPr>
                <w:rFonts w:hint="default" w:hAnsi="宋体"/>
                <w:color w:val="auto"/>
                <w:kern w:val="0"/>
                <w:szCs w:val="21"/>
              </w:rPr>
              <w:t>挖方量</w:t>
            </w:r>
          </w:p>
        </w:tc>
        <w:tc>
          <w:tcPr>
            <w:tcW w:w="850"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rPr>
            </w:pPr>
            <w:r>
              <w:rPr>
                <w:rFonts w:hint="default" w:hAnsi="宋体"/>
                <w:color w:val="auto"/>
                <w:kern w:val="0"/>
                <w:szCs w:val="21"/>
              </w:rPr>
              <w:t>外购土方量</w:t>
            </w:r>
          </w:p>
        </w:tc>
        <w:tc>
          <w:tcPr>
            <w:tcW w:w="757" w:type="dxa"/>
            <w:vAlign w:val="center"/>
          </w:tcPr>
          <w:p>
            <w:pPr>
              <w:keepNext w:val="0"/>
              <w:keepLines w:val="0"/>
              <w:suppressLineNumbers w:val="0"/>
              <w:spacing w:before="0" w:beforeAutospacing="0" w:after="0" w:afterAutospacing="0" w:line="240" w:lineRule="exact"/>
              <w:ind w:left="0" w:right="0"/>
              <w:jc w:val="center"/>
              <w:rPr>
                <w:rFonts w:hint="eastAsia" w:eastAsia="宋体"/>
                <w:color w:val="auto"/>
              </w:rPr>
            </w:pPr>
            <w:r>
              <w:rPr>
                <w:rFonts w:hint="default" w:hAnsi="宋体"/>
                <w:color w:val="auto"/>
                <w:kern w:val="0"/>
                <w:szCs w:val="21"/>
              </w:rPr>
              <w:t>填方量</w:t>
            </w:r>
          </w:p>
        </w:tc>
        <w:tc>
          <w:tcPr>
            <w:tcW w:w="914"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rPr>
            </w:pPr>
            <w:r>
              <w:rPr>
                <w:rFonts w:hint="default" w:hAnsi="宋体"/>
                <w:color w:val="auto"/>
                <w:kern w:val="0"/>
                <w:szCs w:val="21"/>
              </w:rPr>
              <w:t>弃方量</w:t>
            </w:r>
          </w:p>
        </w:tc>
        <w:tc>
          <w:tcPr>
            <w:tcW w:w="3539"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33"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1</w:t>
            </w:r>
          </w:p>
        </w:tc>
        <w:tc>
          <w:tcPr>
            <w:tcW w:w="1643"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rPr>
            </w:pPr>
            <w:r>
              <w:rPr>
                <w:rFonts w:hint="eastAsia" w:hAnsi="宋体"/>
                <w:color w:val="auto"/>
                <w:szCs w:val="21"/>
              </w:rPr>
              <w:t>放喷池、</w:t>
            </w:r>
            <w:r>
              <w:rPr>
                <w:rFonts w:hint="default" w:hAnsi="宋体"/>
                <w:color w:val="auto"/>
                <w:szCs w:val="21"/>
              </w:rPr>
              <w:t>生活污水池、旱厕</w:t>
            </w:r>
          </w:p>
        </w:tc>
        <w:tc>
          <w:tcPr>
            <w:tcW w:w="851"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lang w:val="en-US" w:eastAsia="zh-CN"/>
              </w:rPr>
            </w:pPr>
            <w:r>
              <w:rPr>
                <w:rFonts w:hint="eastAsia"/>
                <w:color w:val="auto"/>
                <w:szCs w:val="21"/>
                <w:lang w:val="en-US" w:eastAsia="zh-CN"/>
              </w:rPr>
              <w:t>10800</w:t>
            </w:r>
          </w:p>
        </w:tc>
        <w:tc>
          <w:tcPr>
            <w:tcW w:w="850" w:type="dxa"/>
            <w:vAlign w:val="center"/>
          </w:tcPr>
          <w:p>
            <w:pPr>
              <w:keepNext w:val="0"/>
              <w:keepLines w:val="0"/>
              <w:suppressLineNumbers w:val="0"/>
              <w:snapToGrid w:val="0"/>
              <w:spacing w:before="0" w:beforeAutospacing="0" w:after="0" w:afterAutospacing="0" w:line="240" w:lineRule="exact"/>
              <w:ind w:left="0" w:right="0"/>
              <w:jc w:val="center"/>
              <w:rPr>
                <w:rFonts w:hint="default" w:eastAsia="宋体"/>
                <w:color w:val="auto"/>
              </w:rPr>
            </w:pPr>
          </w:p>
        </w:tc>
        <w:tc>
          <w:tcPr>
            <w:tcW w:w="757" w:type="dxa"/>
            <w:vAlign w:val="center"/>
          </w:tcPr>
          <w:p>
            <w:pPr>
              <w:keepNext w:val="0"/>
              <w:keepLines w:val="0"/>
              <w:suppressLineNumbers w:val="0"/>
              <w:snapToGrid w:val="0"/>
              <w:spacing w:before="0" w:beforeAutospacing="0" w:after="0" w:afterAutospacing="0" w:line="240" w:lineRule="exact"/>
              <w:ind w:left="0" w:right="0"/>
              <w:jc w:val="center"/>
              <w:rPr>
                <w:rFonts w:hint="default" w:eastAsia="等线"/>
                <w:color w:val="auto"/>
                <w:lang w:val="en-US" w:eastAsia="zh-CN"/>
              </w:rPr>
            </w:pPr>
            <w:r>
              <w:rPr>
                <w:rFonts w:hint="eastAsia" w:eastAsia="等线"/>
                <w:snapToGrid w:val="0"/>
                <w:color w:val="auto"/>
                <w:kern w:val="0"/>
                <w:szCs w:val="21"/>
                <w:lang w:val="en-US" w:eastAsia="zh-CN"/>
              </w:rPr>
              <w:t>10800</w:t>
            </w:r>
          </w:p>
        </w:tc>
        <w:tc>
          <w:tcPr>
            <w:tcW w:w="914"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rPr>
            </w:pPr>
            <w:r>
              <w:rPr>
                <w:rFonts w:hint="default"/>
                <w:color w:val="auto"/>
                <w:kern w:val="0"/>
                <w:szCs w:val="21"/>
              </w:rPr>
              <w:t>0</w:t>
            </w:r>
          </w:p>
        </w:tc>
        <w:tc>
          <w:tcPr>
            <w:tcW w:w="3539"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挖方原土原地回填，挖填平衡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33"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2</w:t>
            </w:r>
          </w:p>
        </w:tc>
        <w:tc>
          <w:tcPr>
            <w:tcW w:w="1643"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rPr>
            </w:pPr>
            <w:r>
              <w:rPr>
                <w:rFonts w:hint="eastAsia" w:hAnsi="宋体"/>
                <w:color w:val="auto"/>
                <w:szCs w:val="21"/>
              </w:rPr>
              <w:t>截水沟</w:t>
            </w:r>
          </w:p>
        </w:tc>
        <w:tc>
          <w:tcPr>
            <w:tcW w:w="851"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lang w:val="en-US" w:eastAsia="zh-CN"/>
              </w:rPr>
            </w:pPr>
            <w:r>
              <w:rPr>
                <w:rFonts w:hint="eastAsia"/>
                <w:color w:val="auto"/>
                <w:szCs w:val="21"/>
                <w:lang w:val="en-US" w:eastAsia="zh-CN"/>
              </w:rPr>
              <w:t>1305</w:t>
            </w:r>
          </w:p>
        </w:tc>
        <w:tc>
          <w:tcPr>
            <w:tcW w:w="850" w:type="dxa"/>
            <w:vAlign w:val="center"/>
          </w:tcPr>
          <w:p>
            <w:pPr>
              <w:keepNext w:val="0"/>
              <w:keepLines w:val="0"/>
              <w:suppressLineNumbers w:val="0"/>
              <w:snapToGrid w:val="0"/>
              <w:spacing w:before="0" w:beforeAutospacing="0" w:after="0" w:afterAutospacing="0" w:line="240" w:lineRule="exact"/>
              <w:ind w:left="0" w:right="0"/>
              <w:jc w:val="center"/>
              <w:rPr>
                <w:rFonts w:hint="default" w:eastAsia="宋体"/>
                <w:color w:val="auto"/>
              </w:rPr>
            </w:pPr>
          </w:p>
        </w:tc>
        <w:tc>
          <w:tcPr>
            <w:tcW w:w="757" w:type="dxa"/>
            <w:vAlign w:val="center"/>
          </w:tcPr>
          <w:p>
            <w:pPr>
              <w:keepNext w:val="0"/>
              <w:keepLines w:val="0"/>
              <w:suppressLineNumbers w:val="0"/>
              <w:snapToGrid w:val="0"/>
              <w:spacing w:before="0" w:beforeAutospacing="0" w:after="0" w:afterAutospacing="0" w:line="240" w:lineRule="exact"/>
              <w:ind w:left="0" w:right="0"/>
              <w:jc w:val="center"/>
              <w:rPr>
                <w:rFonts w:hint="default" w:eastAsia="等线"/>
                <w:color w:val="auto"/>
                <w:lang w:val="en-US" w:eastAsia="zh-CN"/>
              </w:rPr>
            </w:pPr>
            <w:r>
              <w:rPr>
                <w:rFonts w:hint="eastAsia" w:eastAsia="等线"/>
                <w:snapToGrid w:val="0"/>
                <w:color w:val="auto"/>
                <w:kern w:val="0"/>
                <w:szCs w:val="21"/>
                <w:lang w:val="en-US" w:eastAsia="zh-CN"/>
              </w:rPr>
              <w:t>1305</w:t>
            </w:r>
          </w:p>
        </w:tc>
        <w:tc>
          <w:tcPr>
            <w:tcW w:w="914" w:type="dxa"/>
            <w:vAlign w:val="center"/>
          </w:tcPr>
          <w:p>
            <w:pPr>
              <w:keepNext w:val="0"/>
              <w:keepLines w:val="0"/>
              <w:suppressLineNumbers w:val="0"/>
              <w:spacing w:before="0" w:beforeAutospacing="0" w:after="0" w:afterAutospacing="0" w:line="240" w:lineRule="exact"/>
              <w:ind w:left="0" w:right="0"/>
              <w:jc w:val="center"/>
              <w:rPr>
                <w:rFonts w:hint="default" w:eastAsia="宋体"/>
                <w:color w:val="auto"/>
              </w:rPr>
            </w:pPr>
          </w:p>
        </w:tc>
        <w:tc>
          <w:tcPr>
            <w:tcW w:w="3539" w:type="dxa"/>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挖方原土原地回填，挖填平衡</w:t>
            </w:r>
          </w:p>
        </w:tc>
      </w:tr>
    </w:tbl>
    <w:p>
      <w:pPr>
        <w:pStyle w:val="5"/>
        <w:spacing w:before="159" w:beforeLines="50" w:after="159" w:afterLines="50" w:line="460" w:lineRule="exact"/>
        <w:rPr>
          <w:b w:val="0"/>
          <w:snapToGrid w:val="0"/>
          <w:color w:val="auto"/>
          <w:kern w:val="0"/>
          <w:sz w:val="28"/>
          <w:szCs w:val="28"/>
        </w:rPr>
      </w:pPr>
      <w:bookmarkStart w:id="409" w:name="_Toc88146602"/>
      <w:r>
        <w:rPr>
          <w:b w:val="0"/>
          <w:snapToGrid w:val="0"/>
          <w:color w:val="auto"/>
          <w:kern w:val="0"/>
          <w:sz w:val="28"/>
          <w:szCs w:val="28"/>
        </w:rPr>
        <w:t>施工进度</w:t>
      </w:r>
      <w:bookmarkEnd w:id="409"/>
    </w:p>
    <w:p>
      <w:pPr>
        <w:pStyle w:val="83"/>
        <w:bidi w:val="0"/>
        <w:rPr>
          <w:color w:val="auto"/>
        </w:rPr>
      </w:pPr>
      <w:r>
        <w:rPr>
          <w:rFonts w:hint="eastAsia"/>
          <w:color w:val="auto"/>
        </w:rPr>
        <w:t>本工程计划2022年</w:t>
      </w:r>
      <w:r>
        <w:rPr>
          <w:rFonts w:hint="eastAsia"/>
          <w:color w:val="auto"/>
          <w:lang w:eastAsia="zh-CN"/>
        </w:rPr>
        <w:t>末</w:t>
      </w:r>
      <w:r>
        <w:rPr>
          <w:rFonts w:hint="eastAsia"/>
          <w:color w:val="auto"/>
        </w:rPr>
        <w:t>开工建设，预计施工时间为2022年1</w:t>
      </w:r>
      <w:r>
        <w:rPr>
          <w:rFonts w:hint="eastAsia"/>
          <w:color w:val="auto"/>
          <w:lang w:val="en-US" w:eastAsia="zh-CN"/>
        </w:rPr>
        <w:t>1</w:t>
      </w:r>
      <w:r>
        <w:rPr>
          <w:rFonts w:hint="eastAsia"/>
          <w:color w:val="auto"/>
        </w:rPr>
        <w:t>月-202</w:t>
      </w:r>
      <w:r>
        <w:rPr>
          <w:rFonts w:hint="eastAsia"/>
          <w:color w:val="auto"/>
          <w:lang w:val="en-US" w:eastAsia="zh-CN"/>
        </w:rPr>
        <w:t>3</w:t>
      </w:r>
      <w:r>
        <w:rPr>
          <w:rFonts w:hint="eastAsia"/>
          <w:color w:val="auto"/>
        </w:rPr>
        <w:t>年</w:t>
      </w:r>
      <w:r>
        <w:rPr>
          <w:rFonts w:hint="eastAsia"/>
          <w:color w:val="auto"/>
          <w:lang w:val="en-US" w:eastAsia="zh-CN"/>
        </w:rPr>
        <w:t>8</w:t>
      </w:r>
      <w:r>
        <w:rPr>
          <w:rFonts w:hint="eastAsia"/>
          <w:color w:val="auto"/>
        </w:rPr>
        <w:t>月</w:t>
      </w:r>
      <w:r>
        <w:rPr>
          <w:color w:val="auto"/>
        </w:rPr>
        <w:t>。</w:t>
      </w:r>
    </w:p>
    <w:p>
      <w:pPr>
        <w:pStyle w:val="7"/>
        <w:bidi w:val="0"/>
        <w:rPr>
          <w:rFonts w:hint="eastAsia"/>
          <w:color w:val="auto"/>
        </w:rPr>
      </w:pPr>
      <w:r>
        <w:rPr>
          <w:color w:val="auto"/>
        </w:rPr>
        <w:t xml:space="preserve"> </w:t>
      </w:r>
      <w:r>
        <w:rPr>
          <w:rFonts w:hint="eastAsia"/>
          <w:color w:val="auto"/>
        </w:rPr>
        <w:t>注采水平井单井周期预测表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4"/>
        <w:gridCol w:w="1509"/>
        <w:gridCol w:w="4491"/>
        <w:gridCol w:w="1259"/>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64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序号</w:t>
            </w:r>
          </w:p>
        </w:tc>
        <w:tc>
          <w:tcPr>
            <w:tcW w:w="1278"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开钻次序</w:t>
            </w:r>
          </w:p>
        </w:tc>
        <w:tc>
          <w:tcPr>
            <w:tcW w:w="3803"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作 业 项 目</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计划天数</w:t>
            </w:r>
          </w:p>
          <w:p>
            <w:pPr>
              <w:pStyle w:val="80"/>
              <w:keepNext w:val="0"/>
              <w:keepLines w:val="0"/>
              <w:suppressLineNumbers w:val="0"/>
              <w:spacing w:before="0" w:beforeAutospacing="0" w:after="0" w:afterAutospacing="0"/>
              <w:ind w:left="0" w:right="0"/>
              <w:rPr>
                <w:rFonts w:hint="default"/>
                <w:color w:val="auto"/>
              </w:rPr>
            </w:pPr>
            <w:r>
              <w:rPr>
                <w:rFonts w:hint="default"/>
                <w:color w:val="auto"/>
              </w:rPr>
              <w:t>(d)</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累计天数</w:t>
            </w:r>
          </w:p>
          <w:p>
            <w:pPr>
              <w:pStyle w:val="80"/>
              <w:keepNext w:val="0"/>
              <w:keepLines w:val="0"/>
              <w:suppressLineNumbers w:val="0"/>
              <w:spacing w:before="0" w:beforeAutospacing="0" w:after="0" w:afterAutospacing="0"/>
              <w:ind w:left="0" w:right="0"/>
              <w:rPr>
                <w:rFonts w:hint="default"/>
                <w:color w:val="auto"/>
              </w:rPr>
            </w:pPr>
            <w:r>
              <w:rPr>
                <w:rFonts w:hint="default"/>
                <w:color w:val="auto"/>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64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w:t>
            </w:r>
          </w:p>
        </w:tc>
        <w:tc>
          <w:tcPr>
            <w:tcW w:w="1278"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搬安</w:t>
            </w:r>
          </w:p>
        </w:tc>
        <w:tc>
          <w:tcPr>
            <w:tcW w:w="3803"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搬家、安装</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15</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647" w:type="dxa"/>
            <w:vMerge w:val="restart"/>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2</w:t>
            </w:r>
          </w:p>
        </w:tc>
        <w:tc>
          <w:tcPr>
            <w:tcW w:w="1278" w:type="dxa"/>
            <w:vMerge w:val="restart"/>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一开</w:t>
            </w:r>
          </w:p>
        </w:tc>
        <w:tc>
          <w:tcPr>
            <w:tcW w:w="3803"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一开钻进</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jc w:val="center"/>
        </w:trPr>
        <w:tc>
          <w:tcPr>
            <w:tcW w:w="647" w:type="dxa"/>
            <w:vMerge w:val="continue"/>
            <w:noWrap w:val="0"/>
            <w:vAlign w:val="center"/>
          </w:tcPr>
          <w:p>
            <w:pPr>
              <w:pStyle w:val="80"/>
              <w:keepNext w:val="0"/>
              <w:keepLines w:val="0"/>
              <w:suppressLineNumbers w:val="0"/>
              <w:spacing w:before="0" w:beforeAutospacing="0" w:after="0" w:afterAutospacing="0"/>
              <w:ind w:left="0" w:right="0"/>
              <w:rPr>
                <w:rFonts w:hint="default"/>
                <w:color w:val="auto"/>
              </w:rPr>
            </w:pPr>
          </w:p>
        </w:tc>
        <w:tc>
          <w:tcPr>
            <w:tcW w:w="1278" w:type="dxa"/>
            <w:vMerge w:val="continue"/>
            <w:noWrap w:val="0"/>
            <w:vAlign w:val="center"/>
          </w:tcPr>
          <w:p>
            <w:pPr>
              <w:pStyle w:val="80"/>
              <w:keepNext w:val="0"/>
              <w:keepLines w:val="0"/>
              <w:suppressLineNumbers w:val="0"/>
              <w:spacing w:before="0" w:beforeAutospacing="0" w:after="0" w:afterAutospacing="0"/>
              <w:ind w:left="0" w:right="0"/>
              <w:rPr>
                <w:rFonts w:hint="default"/>
                <w:color w:val="auto"/>
              </w:rPr>
            </w:pPr>
          </w:p>
        </w:tc>
        <w:tc>
          <w:tcPr>
            <w:tcW w:w="3803" w:type="dxa"/>
            <w:noWrap w:val="0"/>
            <w:tcMar>
              <w:top w:w="15" w:type="dxa"/>
              <w:left w:w="106" w:type="dxa"/>
              <w:bottom w:w="0" w:type="dxa"/>
              <w:right w:w="106" w:type="dxa"/>
            </w:tcMar>
            <w:vAlign w:val="center"/>
          </w:tcPr>
          <w:p>
            <w:pPr>
              <w:pStyle w:val="29"/>
              <w:keepNext w:val="0"/>
              <w:keepLines w:val="0"/>
              <w:suppressLineNumbers w:val="0"/>
              <w:spacing w:before="0" w:beforeAutospacing="0" w:after="0" w:afterAutospacing="0" w:line="300" w:lineRule="exact"/>
              <w:ind w:left="0" w:right="0" w:firstLine="360"/>
              <w:jc w:val="center"/>
              <w:rPr>
                <w:rFonts w:hint="default" w:ascii="Times New Roman" w:hAnsi="Times New Roman"/>
                <w:color w:val="auto"/>
                <w:kern w:val="2"/>
                <w:sz w:val="18"/>
                <w:szCs w:val="20"/>
              </w:rPr>
            </w:pPr>
            <w:r>
              <w:rPr>
                <w:rFonts w:hint="eastAsia" w:ascii="Times New Roman" w:hAnsi="Times New Roman"/>
                <w:color w:val="auto"/>
                <w:kern w:val="2"/>
                <w:sz w:val="18"/>
                <w:szCs w:val="20"/>
              </w:rPr>
              <w:t>下套管、固井、候凝、</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装防喷器、试压、验收等</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5</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647" w:type="dxa"/>
            <w:vMerge w:val="restart"/>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3</w:t>
            </w:r>
          </w:p>
        </w:tc>
        <w:tc>
          <w:tcPr>
            <w:tcW w:w="1278" w:type="dxa"/>
            <w:vMerge w:val="restart"/>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二开</w:t>
            </w:r>
          </w:p>
        </w:tc>
        <w:tc>
          <w:tcPr>
            <w:tcW w:w="3803"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钻进</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15</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3</w:t>
            </w:r>
            <w:r>
              <w:rPr>
                <w:rFonts w:hint="default"/>
                <w:color w:val="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647" w:type="dxa"/>
            <w:vMerge w:val="continue"/>
            <w:noWrap w:val="0"/>
            <w:vAlign w:val="center"/>
          </w:tcPr>
          <w:p>
            <w:pPr>
              <w:pStyle w:val="80"/>
              <w:keepNext w:val="0"/>
              <w:keepLines w:val="0"/>
              <w:suppressLineNumbers w:val="0"/>
              <w:spacing w:before="0" w:beforeAutospacing="0" w:after="0" w:afterAutospacing="0"/>
              <w:ind w:left="0" w:right="0"/>
              <w:rPr>
                <w:rFonts w:hint="default"/>
                <w:color w:val="auto"/>
              </w:rPr>
            </w:pPr>
          </w:p>
        </w:tc>
        <w:tc>
          <w:tcPr>
            <w:tcW w:w="1278" w:type="dxa"/>
            <w:vMerge w:val="continue"/>
            <w:noWrap w:val="0"/>
            <w:vAlign w:val="center"/>
          </w:tcPr>
          <w:p>
            <w:pPr>
              <w:pStyle w:val="80"/>
              <w:keepNext w:val="0"/>
              <w:keepLines w:val="0"/>
              <w:suppressLineNumbers w:val="0"/>
              <w:spacing w:before="0" w:beforeAutospacing="0" w:after="0" w:afterAutospacing="0"/>
              <w:ind w:left="0" w:right="0"/>
              <w:rPr>
                <w:rFonts w:hint="default"/>
                <w:color w:val="auto"/>
              </w:rPr>
            </w:pPr>
          </w:p>
        </w:tc>
        <w:tc>
          <w:tcPr>
            <w:tcW w:w="3803" w:type="dxa"/>
            <w:noWrap w:val="0"/>
            <w:tcMar>
              <w:top w:w="15" w:type="dxa"/>
              <w:left w:w="106" w:type="dxa"/>
              <w:bottom w:w="0" w:type="dxa"/>
              <w:right w:w="106" w:type="dxa"/>
            </w:tcMar>
            <w:vAlign w:val="center"/>
          </w:tcPr>
          <w:p>
            <w:pPr>
              <w:pStyle w:val="29"/>
              <w:keepNext w:val="0"/>
              <w:keepLines w:val="0"/>
              <w:suppressLineNumbers w:val="0"/>
              <w:spacing w:before="0" w:beforeAutospacing="0" w:after="0" w:afterAutospacing="0" w:line="300" w:lineRule="exact"/>
              <w:ind w:left="0" w:right="0" w:firstLine="360"/>
              <w:jc w:val="center"/>
              <w:rPr>
                <w:rFonts w:hint="default" w:ascii="Times New Roman" w:hAnsi="Times New Roman"/>
                <w:color w:val="auto"/>
                <w:kern w:val="2"/>
                <w:sz w:val="18"/>
                <w:szCs w:val="20"/>
              </w:rPr>
            </w:pPr>
            <w:r>
              <w:rPr>
                <w:rFonts w:hint="eastAsia" w:ascii="Times New Roman" w:hAnsi="Times New Roman"/>
                <w:color w:val="auto"/>
                <w:kern w:val="2"/>
                <w:sz w:val="18"/>
                <w:szCs w:val="20"/>
              </w:rPr>
              <w:t>测井、下套管、固井、</w:t>
            </w:r>
          </w:p>
          <w:p>
            <w:pPr>
              <w:pStyle w:val="80"/>
              <w:keepNext w:val="0"/>
              <w:keepLines w:val="0"/>
              <w:suppressLineNumbers w:val="0"/>
              <w:spacing w:before="0" w:beforeAutospacing="0" w:after="0" w:afterAutospacing="0"/>
              <w:ind w:left="0" w:right="0"/>
              <w:rPr>
                <w:rFonts w:hint="default"/>
                <w:color w:val="auto"/>
              </w:rPr>
            </w:pPr>
            <w:r>
              <w:rPr>
                <w:rFonts w:hint="eastAsia"/>
                <w:color w:val="auto"/>
              </w:rPr>
              <w:t>候凝、装防喷器、试压等</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9</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4</w:t>
            </w:r>
            <w:r>
              <w:rPr>
                <w:rFonts w:hint="default"/>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647" w:type="dxa"/>
            <w:vMerge w:val="restart"/>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eastAsia"/>
                <w:color w:val="auto"/>
              </w:rPr>
            </w:pPr>
            <w:r>
              <w:rPr>
                <w:rFonts w:hint="eastAsia"/>
                <w:color w:val="auto"/>
              </w:rPr>
              <w:t>4</w:t>
            </w:r>
          </w:p>
        </w:tc>
        <w:tc>
          <w:tcPr>
            <w:tcW w:w="1278" w:type="dxa"/>
            <w:vMerge w:val="restart"/>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三开</w:t>
            </w:r>
          </w:p>
        </w:tc>
        <w:tc>
          <w:tcPr>
            <w:tcW w:w="3803"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钻进</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27</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7</w:t>
            </w:r>
            <w:r>
              <w:rPr>
                <w:rFonts w:hint="default"/>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 w:hRule="atLeast"/>
          <w:jc w:val="center"/>
        </w:trPr>
        <w:tc>
          <w:tcPr>
            <w:tcW w:w="647" w:type="dxa"/>
            <w:vMerge w:val="continue"/>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p>
        </w:tc>
        <w:tc>
          <w:tcPr>
            <w:tcW w:w="1278" w:type="dxa"/>
            <w:vMerge w:val="continue"/>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p>
        </w:tc>
        <w:tc>
          <w:tcPr>
            <w:tcW w:w="3803"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测井、下套管、气密封检测、承压试验、固井、候凝、测三样等</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13</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8</w:t>
            </w:r>
            <w:r>
              <w:rPr>
                <w:rFonts w:hint="default"/>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7" w:type="dxa"/>
            <w:vMerge w:val="restart"/>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eastAsia"/>
                <w:color w:val="auto"/>
              </w:rPr>
            </w:pPr>
            <w:r>
              <w:rPr>
                <w:rFonts w:hint="eastAsia"/>
                <w:color w:val="auto"/>
              </w:rPr>
              <w:t>5</w:t>
            </w:r>
          </w:p>
        </w:tc>
        <w:tc>
          <w:tcPr>
            <w:tcW w:w="1278" w:type="dxa"/>
            <w:vMerge w:val="restart"/>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四开</w:t>
            </w:r>
          </w:p>
        </w:tc>
        <w:tc>
          <w:tcPr>
            <w:tcW w:w="3803"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水平段钻进</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25</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w:t>
            </w:r>
            <w:r>
              <w:rPr>
                <w:rFonts w:hint="default"/>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647" w:type="dxa"/>
            <w:vMerge w:val="continue"/>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p>
        </w:tc>
        <w:tc>
          <w:tcPr>
            <w:tcW w:w="1278" w:type="dxa"/>
            <w:vMerge w:val="continue"/>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p>
        </w:tc>
        <w:tc>
          <w:tcPr>
            <w:tcW w:w="3803"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测井、下筛管等</w:t>
            </w:r>
          </w:p>
        </w:tc>
        <w:tc>
          <w:tcPr>
            <w:tcW w:w="1066"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7</w:t>
            </w:r>
          </w:p>
        </w:tc>
        <w:tc>
          <w:tcPr>
            <w:tcW w:w="1067" w:type="dxa"/>
            <w:noWrap w:val="0"/>
            <w:tcMar>
              <w:top w:w="15" w:type="dxa"/>
              <w:left w:w="106" w:type="dxa"/>
              <w:bottom w:w="0" w:type="dxa"/>
              <w:right w:w="106" w:type="dxa"/>
            </w:tcMar>
            <w:vAlign w:val="center"/>
          </w:tcPr>
          <w:p>
            <w:pPr>
              <w:pStyle w:val="80"/>
              <w:keepNext w:val="0"/>
              <w:keepLines w:val="0"/>
              <w:suppressLineNumbers w:val="0"/>
              <w:spacing w:before="0" w:beforeAutospacing="0" w:after="0" w:afterAutospacing="0"/>
              <w:ind w:left="0" w:right="0"/>
              <w:rPr>
                <w:rFonts w:hint="default"/>
                <w:color w:val="auto"/>
              </w:rPr>
            </w:pPr>
            <w:r>
              <w:rPr>
                <w:rFonts w:hint="eastAsia"/>
                <w:color w:val="auto"/>
              </w:rPr>
              <w:t>11</w:t>
            </w:r>
            <w:r>
              <w:rPr>
                <w:rFonts w:hint="default"/>
                <w:color w:val="auto"/>
              </w:rPr>
              <w:t>7</w:t>
            </w:r>
          </w:p>
        </w:tc>
      </w:tr>
    </w:tbl>
    <w:p>
      <w:pPr>
        <w:pStyle w:val="4"/>
        <w:spacing w:before="156" w:after="156"/>
        <w:rPr>
          <w:color w:val="auto"/>
        </w:rPr>
      </w:pPr>
      <w:bookmarkStart w:id="410" w:name="_Toc49174401"/>
      <w:bookmarkStart w:id="411" w:name="_Toc49174811"/>
      <w:bookmarkStart w:id="412" w:name="_Toc49174611"/>
      <w:bookmarkStart w:id="413" w:name="_Toc17813"/>
      <w:bookmarkStart w:id="414" w:name="_Toc49174986"/>
      <w:bookmarkStart w:id="415" w:name="_Toc49174720"/>
      <w:r>
        <w:rPr>
          <w:color w:val="auto"/>
        </w:rPr>
        <w:t>依托工程</w:t>
      </w:r>
      <w:r>
        <w:rPr>
          <w:rFonts w:hint="eastAsia"/>
          <w:color w:val="auto"/>
        </w:rPr>
        <w:t>可行性</w:t>
      </w:r>
      <w:r>
        <w:rPr>
          <w:color w:val="auto"/>
        </w:rPr>
        <w:t>分析</w:t>
      </w:r>
      <w:bookmarkEnd w:id="410"/>
      <w:bookmarkEnd w:id="411"/>
      <w:bookmarkEnd w:id="412"/>
      <w:bookmarkEnd w:id="413"/>
      <w:bookmarkEnd w:id="414"/>
      <w:bookmarkEnd w:id="415"/>
    </w:p>
    <w:p>
      <w:pPr>
        <w:pStyle w:val="33"/>
        <w:rPr>
          <w:color w:val="auto"/>
        </w:rPr>
      </w:pPr>
      <w:r>
        <w:rPr>
          <w:color w:val="auto"/>
        </w:rPr>
        <w:t>本项目依托场站主要为</w:t>
      </w:r>
      <w:r>
        <w:rPr>
          <w:rFonts w:hint="eastAsia"/>
          <w:color w:val="auto"/>
        </w:rPr>
        <w:t>大庆市采油八厂废弃钻井液集中处理站</w:t>
      </w:r>
      <w:r>
        <w:rPr>
          <w:rFonts w:hint="eastAsia"/>
          <w:color w:val="auto"/>
          <w:lang w:eastAsia="zh-CN"/>
        </w:rPr>
        <w:t>和</w:t>
      </w:r>
      <w:r>
        <w:rPr>
          <w:rFonts w:hint="eastAsia"/>
          <w:color w:val="auto"/>
        </w:rPr>
        <w:t>大庆市岗源环保科技有限责任公司工业废弃物处置中心</w:t>
      </w:r>
      <w:r>
        <w:rPr>
          <w:color w:val="auto"/>
        </w:rPr>
        <w:t>。</w:t>
      </w:r>
    </w:p>
    <w:p>
      <w:pPr>
        <w:pStyle w:val="5"/>
        <w:spacing w:before="156" w:after="156"/>
        <w:rPr>
          <w:color w:val="auto"/>
        </w:rPr>
      </w:pPr>
      <w:r>
        <w:rPr>
          <w:rFonts w:hint="eastAsia"/>
          <w:color w:val="auto"/>
        </w:rPr>
        <w:t>依托能力</w:t>
      </w:r>
      <w:r>
        <w:rPr>
          <w:color w:val="auto"/>
        </w:rPr>
        <w:t>核实</w:t>
      </w:r>
    </w:p>
    <w:p>
      <w:pPr>
        <w:pStyle w:val="6"/>
        <w:spacing w:before="156" w:after="156"/>
        <w:rPr>
          <w:color w:val="auto"/>
        </w:rPr>
      </w:pPr>
      <w:r>
        <w:rPr>
          <w:rFonts w:hint="eastAsia"/>
          <w:color w:val="auto"/>
        </w:rPr>
        <w:t>大庆市采油八厂废弃钻井液集中处理站</w:t>
      </w:r>
    </w:p>
    <w:p>
      <w:pPr>
        <w:pStyle w:val="2"/>
        <w:rPr>
          <w:rFonts w:hint="default"/>
          <w:color w:val="auto"/>
          <w:lang w:val="en-US" w:eastAsia="zh-CN"/>
        </w:rPr>
      </w:pPr>
      <w:r>
        <w:rPr>
          <w:rFonts w:hint="eastAsia" w:hAnsi="宋体"/>
          <w:color w:val="auto"/>
          <w:sz w:val="28"/>
          <w:szCs w:val="28"/>
          <w:lang w:eastAsia="zh-CN"/>
        </w:rPr>
        <w:t>项目产生的废弃水基泥浆依托大庆市采油八厂废弃钻井液集中处理站，该站位于大庆市位于大庆市大同区祝三乡大庆油田第八采油厂第一矿区东侧1公里处，设计处理</w:t>
      </w:r>
      <w:r>
        <w:rPr>
          <w:rFonts w:hint="default" w:hAnsi="宋体"/>
          <w:color w:val="auto"/>
          <w:sz w:val="28"/>
          <w:szCs w:val="28"/>
          <w:lang w:eastAsia="zh-CN"/>
        </w:rPr>
        <w:t>能力为45万</w:t>
      </w:r>
      <w:r>
        <w:rPr>
          <w:rFonts w:hint="eastAsia" w:hAnsi="宋体"/>
          <w:color w:val="auto"/>
          <w:sz w:val="28"/>
          <w:szCs w:val="28"/>
          <w:lang w:val="en-US" w:eastAsia="zh-CN"/>
        </w:rPr>
        <w:t>m</w:t>
      </w:r>
      <w:r>
        <w:rPr>
          <w:rFonts w:hint="eastAsia" w:hAnsi="宋体"/>
          <w:color w:val="auto"/>
          <w:sz w:val="28"/>
          <w:szCs w:val="28"/>
          <w:vertAlign w:val="superscript"/>
          <w:lang w:val="en-US" w:eastAsia="zh-CN"/>
        </w:rPr>
        <w:t>2</w:t>
      </w:r>
      <w:r>
        <w:rPr>
          <w:rFonts w:hint="eastAsia" w:hAnsi="宋体"/>
          <w:color w:val="auto"/>
          <w:sz w:val="28"/>
          <w:szCs w:val="28"/>
          <w:lang w:val="en-US" w:eastAsia="zh-CN"/>
        </w:rPr>
        <w:t>/</w:t>
      </w:r>
      <w:r>
        <w:rPr>
          <w:rFonts w:hint="default" w:hAnsi="宋体"/>
          <w:color w:val="auto"/>
          <w:sz w:val="28"/>
          <w:szCs w:val="28"/>
          <w:lang w:eastAsia="zh-CN"/>
        </w:rPr>
        <w:t>a（其中，废弃水基泥浆30万</w:t>
      </w:r>
      <w:r>
        <w:rPr>
          <w:rFonts w:hint="eastAsia" w:hAnsi="宋体"/>
          <w:color w:val="auto"/>
          <w:sz w:val="28"/>
          <w:szCs w:val="28"/>
          <w:lang w:val="en-US" w:eastAsia="zh-CN"/>
        </w:rPr>
        <w:t>m</w:t>
      </w:r>
      <w:r>
        <w:rPr>
          <w:rFonts w:hint="eastAsia" w:hAnsi="宋体"/>
          <w:color w:val="auto"/>
          <w:sz w:val="28"/>
          <w:szCs w:val="28"/>
          <w:vertAlign w:val="superscript"/>
          <w:lang w:val="en-US" w:eastAsia="zh-CN"/>
        </w:rPr>
        <w:t>2</w:t>
      </w:r>
      <w:r>
        <w:rPr>
          <w:rFonts w:hint="default" w:hAnsi="宋体"/>
          <w:color w:val="auto"/>
          <w:sz w:val="28"/>
          <w:szCs w:val="28"/>
          <w:lang w:eastAsia="zh-CN"/>
        </w:rPr>
        <w:t>／a，盐水泥浆15万</w:t>
      </w:r>
      <w:r>
        <w:rPr>
          <w:rFonts w:hint="eastAsia" w:hAnsi="宋体"/>
          <w:color w:val="auto"/>
          <w:sz w:val="28"/>
          <w:szCs w:val="28"/>
          <w:lang w:val="en-US" w:eastAsia="zh-CN"/>
        </w:rPr>
        <w:t>m</w:t>
      </w:r>
      <w:r>
        <w:rPr>
          <w:rFonts w:hint="eastAsia" w:hAnsi="宋体"/>
          <w:color w:val="auto"/>
          <w:sz w:val="28"/>
          <w:szCs w:val="28"/>
          <w:vertAlign w:val="superscript"/>
          <w:lang w:val="en-US" w:eastAsia="zh-CN"/>
        </w:rPr>
        <w:t>2</w:t>
      </w:r>
      <w:r>
        <w:rPr>
          <w:rFonts w:hint="eastAsia" w:hAnsi="宋体"/>
          <w:color w:val="auto"/>
          <w:sz w:val="28"/>
          <w:szCs w:val="28"/>
          <w:lang w:val="en-US" w:eastAsia="zh-CN"/>
        </w:rPr>
        <w:t>/</w:t>
      </w:r>
      <w:r>
        <w:rPr>
          <w:rFonts w:hint="default" w:hAnsi="宋体"/>
          <w:color w:val="auto"/>
          <w:sz w:val="28"/>
          <w:szCs w:val="28"/>
          <w:lang w:eastAsia="zh-CN"/>
        </w:rPr>
        <w:t>a。</w:t>
      </w:r>
      <w:r>
        <w:rPr>
          <w:rFonts w:hint="eastAsia" w:hAnsi="宋体"/>
          <w:color w:val="auto"/>
          <w:sz w:val="28"/>
          <w:szCs w:val="28"/>
          <w:lang w:eastAsia="zh-CN"/>
        </w:rPr>
        <w:t>主要设备包括：一座3000</w:t>
      </w:r>
      <w:r>
        <w:rPr>
          <w:rFonts w:hint="eastAsia" w:hAnsi="宋体"/>
          <w:color w:val="auto"/>
          <w:sz w:val="28"/>
          <w:szCs w:val="28"/>
          <w:lang w:val="en-US" w:eastAsia="zh-CN"/>
        </w:rPr>
        <w:t>m</w:t>
      </w:r>
      <w:r>
        <w:rPr>
          <w:rFonts w:hint="eastAsia" w:hAnsi="宋体"/>
          <w:color w:val="auto"/>
          <w:sz w:val="28"/>
          <w:szCs w:val="28"/>
          <w:vertAlign w:val="superscript"/>
          <w:lang w:val="en-US" w:eastAsia="zh-CN"/>
        </w:rPr>
        <w:t>2</w:t>
      </w:r>
      <w:r>
        <w:rPr>
          <w:rFonts w:hint="eastAsia" w:hAnsi="宋体"/>
          <w:color w:val="auto"/>
          <w:sz w:val="28"/>
          <w:szCs w:val="28"/>
          <w:lang w:eastAsia="zh-CN"/>
        </w:rPr>
        <w:t>水基泥浆缓存池，一座1500</w:t>
      </w:r>
      <w:r>
        <w:rPr>
          <w:rFonts w:hint="eastAsia" w:hAnsi="宋体"/>
          <w:color w:val="auto"/>
          <w:sz w:val="28"/>
          <w:szCs w:val="28"/>
          <w:lang w:val="en-US" w:eastAsia="zh-CN"/>
        </w:rPr>
        <w:t>m</w:t>
      </w:r>
      <w:r>
        <w:rPr>
          <w:rFonts w:hint="eastAsia" w:hAnsi="宋体"/>
          <w:color w:val="auto"/>
          <w:sz w:val="28"/>
          <w:szCs w:val="28"/>
          <w:vertAlign w:val="superscript"/>
          <w:lang w:val="en-US" w:eastAsia="zh-CN"/>
        </w:rPr>
        <w:t>2</w:t>
      </w:r>
      <w:r>
        <w:rPr>
          <w:rFonts w:hint="eastAsia" w:hAnsi="宋体"/>
          <w:color w:val="auto"/>
          <w:sz w:val="28"/>
          <w:szCs w:val="28"/>
          <w:lang w:eastAsia="zh-CN"/>
        </w:rPr>
        <w:t>盐水泥浆缓存池，一座500</w:t>
      </w:r>
      <w:r>
        <w:rPr>
          <w:rFonts w:hint="eastAsia" w:hAnsi="宋体"/>
          <w:color w:val="auto"/>
          <w:sz w:val="28"/>
          <w:szCs w:val="28"/>
          <w:lang w:val="en-US" w:eastAsia="zh-CN"/>
        </w:rPr>
        <w:t>m</w:t>
      </w:r>
      <w:r>
        <w:rPr>
          <w:rFonts w:hint="eastAsia" w:hAnsi="宋体"/>
          <w:color w:val="auto"/>
          <w:sz w:val="28"/>
          <w:szCs w:val="28"/>
          <w:vertAlign w:val="superscript"/>
          <w:lang w:val="en-US" w:eastAsia="zh-CN"/>
        </w:rPr>
        <w:t>2</w:t>
      </w:r>
      <w:r>
        <w:rPr>
          <w:rFonts w:hint="eastAsia" w:hAnsi="宋体"/>
          <w:color w:val="auto"/>
          <w:sz w:val="28"/>
          <w:szCs w:val="28"/>
          <w:lang w:eastAsia="zh-CN"/>
        </w:rPr>
        <w:t>回用重浆池，一座400m</w:t>
      </w:r>
      <w:r>
        <w:rPr>
          <w:rFonts w:hint="eastAsia" w:hAnsi="宋体"/>
          <w:color w:val="auto"/>
          <w:sz w:val="28"/>
          <w:szCs w:val="28"/>
          <w:vertAlign w:val="superscript"/>
          <w:lang w:eastAsia="zh-CN"/>
        </w:rPr>
        <w:t>3</w:t>
      </w:r>
      <w:r>
        <w:rPr>
          <w:rFonts w:hint="eastAsia" w:hAnsi="宋体"/>
          <w:color w:val="auto"/>
          <w:sz w:val="28"/>
          <w:szCs w:val="28"/>
          <w:lang w:eastAsia="zh-CN"/>
        </w:rPr>
        <w:t>滤液水缓存池，一座67</w:t>
      </w:r>
      <w:r>
        <w:rPr>
          <w:rFonts w:hint="eastAsia" w:hAnsi="宋体"/>
          <w:color w:val="auto"/>
          <w:sz w:val="28"/>
          <w:szCs w:val="28"/>
          <w:lang w:val="en-US" w:eastAsia="zh-CN"/>
        </w:rPr>
        <w:t>m</w:t>
      </w:r>
      <w:r>
        <w:rPr>
          <w:rFonts w:hint="eastAsia" w:hAnsi="宋体"/>
          <w:color w:val="auto"/>
          <w:sz w:val="28"/>
          <w:szCs w:val="28"/>
          <w:vertAlign w:val="superscript"/>
          <w:lang w:val="en-US" w:eastAsia="zh-CN"/>
        </w:rPr>
        <w:t>2</w:t>
      </w:r>
      <w:r>
        <w:rPr>
          <w:rFonts w:hint="eastAsia" w:hAnsi="宋体"/>
          <w:color w:val="auto"/>
          <w:sz w:val="28"/>
          <w:szCs w:val="28"/>
          <w:lang w:eastAsia="zh-CN"/>
        </w:rPr>
        <w:t>清水池以及泥饼存放区，面积为12000</w:t>
      </w:r>
      <w:r>
        <w:rPr>
          <w:rFonts w:hint="eastAsia" w:hAnsi="宋体"/>
          <w:color w:val="auto"/>
          <w:sz w:val="28"/>
          <w:szCs w:val="28"/>
          <w:lang w:val="en-US" w:eastAsia="zh-CN"/>
        </w:rPr>
        <w:t>m</w:t>
      </w:r>
      <w:r>
        <w:rPr>
          <w:rFonts w:hint="eastAsia" w:hAnsi="宋体"/>
          <w:color w:val="auto"/>
          <w:sz w:val="28"/>
          <w:szCs w:val="28"/>
          <w:vertAlign w:val="superscript"/>
          <w:lang w:val="en-US" w:eastAsia="zh-CN"/>
        </w:rPr>
        <w:t>2</w:t>
      </w:r>
      <w:r>
        <w:rPr>
          <w:rFonts w:hint="eastAsia" w:hAnsi="宋体"/>
          <w:color w:val="auto"/>
          <w:sz w:val="28"/>
          <w:szCs w:val="28"/>
          <w:lang w:eastAsia="zh-CN"/>
        </w:rPr>
        <w:t>。泥饼油田综合利用垫井场或铺路。该站于20</w:t>
      </w:r>
      <w:r>
        <w:rPr>
          <w:rFonts w:hint="eastAsia" w:hAnsi="宋体"/>
          <w:color w:val="auto"/>
          <w:sz w:val="28"/>
          <w:szCs w:val="28"/>
          <w:lang w:val="en-US" w:eastAsia="zh-CN"/>
        </w:rPr>
        <w:t>21</w:t>
      </w:r>
      <w:r>
        <w:rPr>
          <w:rFonts w:hint="eastAsia" w:hAnsi="宋体"/>
          <w:color w:val="auto"/>
          <w:sz w:val="28"/>
          <w:szCs w:val="28"/>
          <w:lang w:eastAsia="zh-CN"/>
        </w:rPr>
        <w:t>年在《黑龙江省大庆市采油八厂废弃钻井液集中处理站</w:t>
      </w:r>
      <w:r>
        <w:rPr>
          <w:rFonts w:hint="eastAsia" w:hAnsi="宋体"/>
          <w:color w:val="auto"/>
          <w:sz w:val="28"/>
          <w:szCs w:val="28"/>
        </w:rPr>
        <w:t>》</w:t>
      </w:r>
      <w:r>
        <w:rPr>
          <w:rFonts w:hint="eastAsia" w:hAnsi="宋体"/>
          <w:color w:val="auto"/>
          <w:sz w:val="28"/>
          <w:szCs w:val="28"/>
          <w:lang w:eastAsia="zh-CN"/>
        </w:rPr>
        <w:t>项目中</w:t>
      </w:r>
      <w:r>
        <w:rPr>
          <w:rFonts w:hint="eastAsia" w:hAnsi="宋体"/>
          <w:color w:val="auto"/>
          <w:sz w:val="28"/>
          <w:szCs w:val="28"/>
        </w:rPr>
        <w:t>进行了环境影响评价工作，并取得了环评批复，文号为</w:t>
      </w:r>
      <w:r>
        <w:rPr>
          <w:rFonts w:hint="eastAsia" w:hAnsi="宋体"/>
          <w:color w:val="auto"/>
          <w:sz w:val="28"/>
          <w:szCs w:val="28"/>
          <w:lang w:eastAsia="zh-CN"/>
        </w:rPr>
        <w:t>同环建</w:t>
      </w:r>
      <w:r>
        <w:rPr>
          <w:rFonts w:hint="eastAsia" w:hAnsi="宋体"/>
          <w:color w:val="auto"/>
          <w:sz w:val="28"/>
          <w:szCs w:val="28"/>
        </w:rPr>
        <w:t>审</w:t>
      </w:r>
      <w:r>
        <w:rPr>
          <w:rFonts w:hAnsi="宋体"/>
          <w:color w:val="auto"/>
          <w:sz w:val="28"/>
          <w:szCs w:val="28"/>
        </w:rPr>
        <w:t>[20</w:t>
      </w:r>
      <w:r>
        <w:rPr>
          <w:rFonts w:hint="eastAsia" w:hAnsi="宋体"/>
          <w:color w:val="auto"/>
          <w:sz w:val="28"/>
          <w:szCs w:val="28"/>
          <w:lang w:val="en-US" w:eastAsia="zh-CN"/>
        </w:rPr>
        <w:t>21</w:t>
      </w:r>
      <w:r>
        <w:rPr>
          <w:rFonts w:hAnsi="宋体"/>
          <w:color w:val="auto"/>
          <w:sz w:val="28"/>
          <w:szCs w:val="28"/>
        </w:rPr>
        <w:t>]6</w:t>
      </w:r>
      <w:r>
        <w:rPr>
          <w:rFonts w:hint="eastAsia" w:hAnsi="宋体"/>
          <w:color w:val="auto"/>
          <w:sz w:val="28"/>
          <w:szCs w:val="28"/>
        </w:rPr>
        <w:t>号，目前正在组织竣工环境保护验收工作</w:t>
      </w:r>
      <w:r>
        <w:rPr>
          <w:rFonts w:hint="eastAsia" w:hAnsi="宋体"/>
          <w:color w:val="auto"/>
          <w:sz w:val="28"/>
          <w:szCs w:val="28"/>
          <w:lang w:eastAsia="zh-CN"/>
        </w:rPr>
        <w:t>，预计</w:t>
      </w:r>
      <w:r>
        <w:rPr>
          <w:rFonts w:hint="eastAsia" w:hAnsi="宋体"/>
          <w:color w:val="auto"/>
          <w:sz w:val="28"/>
          <w:szCs w:val="28"/>
          <w:lang w:val="en-US" w:eastAsia="zh-CN"/>
        </w:rPr>
        <w:t>2022年完成自主验收</w:t>
      </w:r>
      <w:r>
        <w:rPr>
          <w:rFonts w:hint="eastAsia" w:hAnsi="宋体"/>
          <w:color w:val="auto"/>
          <w:sz w:val="28"/>
          <w:szCs w:val="28"/>
        </w:rPr>
        <w:t>。本工程共产生废弃</w:t>
      </w:r>
      <w:r>
        <w:rPr>
          <w:rFonts w:hint="eastAsia" w:hAnsi="宋体"/>
          <w:color w:val="auto"/>
          <w:sz w:val="28"/>
          <w:szCs w:val="28"/>
          <w:lang w:val="en-US" w:eastAsia="zh-CN"/>
        </w:rPr>
        <w:t>水</w:t>
      </w:r>
      <w:r>
        <w:rPr>
          <w:rFonts w:hint="eastAsia" w:hAnsi="宋体"/>
          <w:color w:val="auto"/>
          <w:sz w:val="28"/>
          <w:szCs w:val="28"/>
        </w:rPr>
        <w:t xml:space="preserve">基泥浆总量为 </w:t>
      </w:r>
      <w:r>
        <w:rPr>
          <w:rFonts w:hint="eastAsia" w:hAnsi="宋体"/>
          <w:color w:val="auto"/>
          <w:sz w:val="28"/>
          <w:szCs w:val="28"/>
          <w:lang w:val="en-US" w:eastAsia="zh-CN"/>
        </w:rPr>
        <w:t>24960</w:t>
      </w:r>
      <w:r>
        <w:rPr>
          <w:rFonts w:hint="eastAsia" w:hAnsi="宋体"/>
          <w:color w:val="auto"/>
          <w:sz w:val="28"/>
          <w:szCs w:val="28"/>
        </w:rPr>
        <w:t>m</w:t>
      </w:r>
      <w:r>
        <w:rPr>
          <w:rFonts w:hint="eastAsia" w:hAnsi="宋体"/>
          <w:color w:val="auto"/>
          <w:sz w:val="28"/>
          <w:szCs w:val="28"/>
          <w:vertAlign w:val="superscript"/>
        </w:rPr>
        <w:t>3</w:t>
      </w:r>
      <w:r>
        <w:rPr>
          <w:rFonts w:hint="eastAsia" w:hAnsi="宋体"/>
          <w:color w:val="auto"/>
          <w:sz w:val="28"/>
          <w:szCs w:val="28"/>
        </w:rPr>
        <w:t xml:space="preserve">，目前大庆市采油八厂废弃钻井液集中处理站剩余处理量为 </w:t>
      </w:r>
      <w:r>
        <w:rPr>
          <w:rFonts w:hint="eastAsia" w:hAnsi="宋体"/>
          <w:color w:val="auto"/>
          <w:sz w:val="28"/>
          <w:szCs w:val="28"/>
          <w:lang w:val="en-US" w:eastAsia="zh-CN"/>
        </w:rPr>
        <w:t>30</w:t>
      </w:r>
      <w:r>
        <w:rPr>
          <w:rFonts w:hint="eastAsia" w:hAnsi="宋体"/>
          <w:color w:val="auto"/>
          <w:sz w:val="28"/>
          <w:szCs w:val="28"/>
        </w:rPr>
        <w:t>×10</w:t>
      </w:r>
      <w:r>
        <w:rPr>
          <w:rFonts w:hint="eastAsia" w:hAnsi="宋体"/>
          <w:color w:val="auto"/>
          <w:sz w:val="28"/>
          <w:szCs w:val="28"/>
          <w:vertAlign w:val="superscript"/>
        </w:rPr>
        <w:t>4</w:t>
      </w:r>
      <w:r>
        <w:rPr>
          <w:rFonts w:hint="eastAsia" w:hAnsi="宋体"/>
          <w:color w:val="auto"/>
          <w:sz w:val="28"/>
          <w:szCs w:val="28"/>
        </w:rPr>
        <w:t xml:space="preserve"> m</w:t>
      </w:r>
      <w:r>
        <w:rPr>
          <w:rFonts w:hint="eastAsia" w:hAnsi="宋体"/>
          <w:color w:val="auto"/>
          <w:sz w:val="28"/>
          <w:szCs w:val="28"/>
          <w:vertAlign w:val="superscript"/>
        </w:rPr>
        <w:t>3</w:t>
      </w:r>
      <w:r>
        <w:rPr>
          <w:rFonts w:hint="eastAsia" w:hAnsi="宋体"/>
          <w:color w:val="auto"/>
          <w:sz w:val="28"/>
          <w:szCs w:val="28"/>
        </w:rPr>
        <w:t>/a，能满足本工程及处理需要。</w:t>
      </w:r>
    </w:p>
    <w:p>
      <w:pPr>
        <w:pStyle w:val="33"/>
        <w:rPr>
          <w:rFonts w:hint="eastAsia" w:hAnsi="宋体"/>
          <w:color w:val="auto"/>
          <w:sz w:val="28"/>
          <w:szCs w:val="28"/>
          <w:lang w:eastAsia="zh-CN"/>
        </w:rPr>
      </w:pPr>
      <w:r>
        <w:rPr>
          <w:rFonts w:hint="eastAsia" w:hAnsi="宋体"/>
          <w:color w:val="auto"/>
          <w:sz w:val="28"/>
          <w:szCs w:val="28"/>
        </w:rPr>
        <w:t>废弃泥浆无害化处理中心处理工艺流程图</w:t>
      </w:r>
      <w:r>
        <w:rPr>
          <w:rFonts w:hint="eastAsia" w:hAnsi="宋体"/>
          <w:color w:val="auto"/>
          <w:sz w:val="28"/>
          <w:szCs w:val="28"/>
          <w:lang w:eastAsia="zh-CN"/>
        </w:rPr>
        <w:t>如下图。</w:t>
      </w:r>
    </w:p>
    <w:p>
      <w:pPr>
        <w:spacing w:line="480" w:lineRule="exact"/>
        <w:ind w:firstLine="560"/>
        <w:jc w:val="left"/>
        <w:rPr>
          <w:rFonts w:hint="eastAsia" w:hAnsi="宋体"/>
          <w:color w:val="auto"/>
          <w:sz w:val="28"/>
          <w:szCs w:val="28"/>
        </w:rPr>
      </w:pPr>
    </w:p>
    <w:p>
      <w:pPr>
        <w:spacing w:line="480" w:lineRule="exact"/>
        <w:ind w:firstLine="560"/>
        <w:jc w:val="left"/>
        <w:rPr>
          <w:rFonts w:hint="eastAsia" w:hAnsi="宋体"/>
          <w:color w:val="auto"/>
          <w:sz w:val="28"/>
          <w:szCs w:val="28"/>
        </w:rPr>
      </w:pPr>
    </w:p>
    <w:p>
      <w:pPr>
        <w:spacing w:line="480" w:lineRule="exact"/>
        <w:ind w:firstLine="560"/>
        <w:jc w:val="left"/>
        <w:rPr>
          <w:rFonts w:hint="eastAsia" w:hAnsi="宋体"/>
          <w:color w:val="auto"/>
          <w:sz w:val="28"/>
          <w:szCs w:val="28"/>
        </w:rPr>
      </w:pPr>
    </w:p>
    <w:p>
      <w:pPr>
        <w:spacing w:line="480" w:lineRule="exact"/>
        <w:ind w:firstLine="560"/>
        <w:jc w:val="left"/>
        <w:rPr>
          <w:rFonts w:hint="eastAsia" w:hAnsi="宋体"/>
          <w:color w:val="auto"/>
          <w:sz w:val="28"/>
          <w:szCs w:val="28"/>
        </w:rPr>
      </w:pPr>
    </w:p>
    <w:p>
      <w:pPr>
        <w:spacing w:line="480" w:lineRule="exact"/>
        <w:ind w:firstLine="560"/>
        <w:jc w:val="left"/>
        <w:rPr>
          <w:rFonts w:hint="eastAsia" w:hAnsi="宋体"/>
          <w:color w:val="auto"/>
          <w:sz w:val="28"/>
          <w:szCs w:val="28"/>
        </w:rPr>
      </w:pPr>
    </w:p>
    <w:p>
      <w:pPr>
        <w:pStyle w:val="41"/>
        <w:rPr>
          <w:rFonts w:hint="eastAsia" w:hAnsi="宋体"/>
          <w:color w:val="auto"/>
          <w:sz w:val="28"/>
          <w:szCs w:val="28"/>
        </w:rPr>
      </w:pPr>
      <w:r>
        <w:rPr>
          <w:color w:val="auto"/>
        </w:rPr>
        <w:drawing>
          <wp:anchor distT="0" distB="0" distL="114300" distR="114300" simplePos="0" relativeHeight="251669504" behindDoc="0" locked="0" layoutInCell="1" allowOverlap="1">
            <wp:simplePos x="0" y="0"/>
            <wp:positionH relativeFrom="column">
              <wp:posOffset>377825</wp:posOffset>
            </wp:positionH>
            <wp:positionV relativeFrom="paragraph">
              <wp:posOffset>145415</wp:posOffset>
            </wp:positionV>
            <wp:extent cx="4523740" cy="5281930"/>
            <wp:effectExtent l="0" t="0" r="10160" b="13970"/>
            <wp:wrapNone/>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19" r:link="rId20"/>
                    <a:stretch>
                      <a:fillRect/>
                    </a:stretch>
                  </pic:blipFill>
                  <pic:spPr>
                    <a:xfrm>
                      <a:off x="0" y="0"/>
                      <a:ext cx="4523740" cy="5281930"/>
                    </a:xfrm>
                    <a:prstGeom prst="rect">
                      <a:avLst/>
                    </a:prstGeom>
                    <a:noFill/>
                    <a:ln>
                      <a:noFill/>
                    </a:ln>
                  </pic:spPr>
                </pic:pic>
              </a:graphicData>
            </a:graphic>
          </wp:anchor>
        </w:drawing>
      </w:r>
    </w:p>
    <w:p>
      <w:pPr>
        <w:rPr>
          <w:rFonts w:hint="eastAsia" w:hAnsi="宋体"/>
          <w:color w:val="auto"/>
          <w:sz w:val="28"/>
          <w:szCs w:val="28"/>
        </w:rPr>
      </w:pPr>
    </w:p>
    <w:p>
      <w:pPr>
        <w:pStyle w:val="41"/>
        <w:rPr>
          <w:rFonts w:hint="eastAsia" w:hAnsi="宋体"/>
          <w:color w:val="auto"/>
          <w:sz w:val="28"/>
          <w:szCs w:val="28"/>
        </w:rPr>
      </w:pPr>
    </w:p>
    <w:p>
      <w:pPr>
        <w:rPr>
          <w:rFonts w:hint="eastAsia" w:hAnsi="宋体"/>
          <w:color w:val="auto"/>
          <w:sz w:val="28"/>
          <w:szCs w:val="28"/>
        </w:rPr>
      </w:pPr>
    </w:p>
    <w:p>
      <w:pPr>
        <w:pStyle w:val="41"/>
        <w:rPr>
          <w:rFonts w:hint="eastAsia" w:hAnsi="宋体"/>
          <w:color w:val="auto"/>
          <w:sz w:val="28"/>
          <w:szCs w:val="28"/>
        </w:rPr>
      </w:pPr>
    </w:p>
    <w:p>
      <w:pPr>
        <w:rPr>
          <w:rFonts w:hint="eastAsia" w:hAnsi="宋体"/>
          <w:color w:val="auto"/>
          <w:sz w:val="28"/>
          <w:szCs w:val="28"/>
        </w:rPr>
      </w:pPr>
    </w:p>
    <w:p>
      <w:pPr>
        <w:pStyle w:val="41"/>
        <w:rPr>
          <w:rFonts w:hint="eastAsia" w:hAnsi="宋体"/>
          <w:color w:val="auto"/>
          <w:sz w:val="28"/>
          <w:szCs w:val="28"/>
        </w:rPr>
      </w:pPr>
    </w:p>
    <w:p>
      <w:pPr>
        <w:rPr>
          <w:rFonts w:hint="eastAsia" w:hAnsi="宋体"/>
          <w:color w:val="auto"/>
          <w:sz w:val="28"/>
          <w:szCs w:val="28"/>
        </w:rPr>
      </w:pPr>
    </w:p>
    <w:p>
      <w:pPr>
        <w:pStyle w:val="41"/>
        <w:rPr>
          <w:rFonts w:hint="eastAsia" w:hAnsi="宋体"/>
          <w:color w:val="auto"/>
          <w:sz w:val="28"/>
          <w:szCs w:val="28"/>
        </w:rPr>
      </w:pPr>
    </w:p>
    <w:p>
      <w:pPr>
        <w:rPr>
          <w:rFonts w:hint="eastAsia" w:hAnsi="宋体"/>
          <w:color w:val="auto"/>
          <w:sz w:val="28"/>
          <w:szCs w:val="28"/>
        </w:rPr>
      </w:pPr>
    </w:p>
    <w:p>
      <w:pPr>
        <w:pStyle w:val="41"/>
        <w:rPr>
          <w:rFonts w:hint="eastAsia" w:hAnsi="宋体"/>
          <w:color w:val="auto"/>
          <w:sz w:val="28"/>
          <w:szCs w:val="28"/>
        </w:rPr>
      </w:pPr>
    </w:p>
    <w:p>
      <w:pPr>
        <w:rPr>
          <w:rFonts w:hint="eastAsia" w:hAnsi="宋体"/>
          <w:color w:val="auto"/>
          <w:sz w:val="28"/>
          <w:szCs w:val="28"/>
        </w:rPr>
      </w:pPr>
    </w:p>
    <w:p>
      <w:pPr>
        <w:pStyle w:val="41"/>
        <w:rPr>
          <w:rFonts w:hint="eastAsia"/>
          <w:color w:val="auto"/>
        </w:rPr>
      </w:pPr>
    </w:p>
    <w:p>
      <w:pPr>
        <w:spacing w:line="480" w:lineRule="exact"/>
        <w:ind w:firstLine="560"/>
        <w:jc w:val="left"/>
        <w:rPr>
          <w:rFonts w:hint="eastAsia" w:hAnsi="宋体"/>
          <w:color w:val="auto"/>
          <w:sz w:val="28"/>
          <w:szCs w:val="28"/>
        </w:rPr>
      </w:pPr>
    </w:p>
    <w:p>
      <w:pPr>
        <w:pStyle w:val="8"/>
        <w:bidi w:val="0"/>
        <w:rPr>
          <w:rFonts w:hint="eastAsia"/>
          <w:color w:val="auto"/>
        </w:rPr>
      </w:pPr>
      <w:r>
        <w:rPr>
          <w:rFonts w:hint="eastAsia"/>
          <w:color w:val="auto"/>
        </w:rPr>
        <w:t>大庆市采油八厂废弃钻井液集中处理站工艺流程图</w:t>
      </w:r>
    </w:p>
    <w:p>
      <w:pPr>
        <w:pStyle w:val="6"/>
        <w:bidi w:val="0"/>
        <w:rPr>
          <w:color w:val="auto"/>
        </w:rPr>
      </w:pPr>
      <w:r>
        <w:rPr>
          <w:rFonts w:hint="eastAsia"/>
          <w:color w:val="auto"/>
        </w:rPr>
        <w:t>大庆市岗源环保科技有限责任公司</w:t>
      </w:r>
      <w:r>
        <w:rPr>
          <w:color w:val="auto"/>
        </w:rPr>
        <w:t>工业</w:t>
      </w:r>
      <w:r>
        <w:rPr>
          <w:rFonts w:hint="eastAsia"/>
          <w:color w:val="auto"/>
        </w:rPr>
        <w:t>废弃物处置中心</w:t>
      </w:r>
    </w:p>
    <w:p>
      <w:pPr>
        <w:spacing w:line="480" w:lineRule="exact"/>
        <w:ind w:firstLine="560"/>
        <w:jc w:val="left"/>
        <w:rPr>
          <w:rFonts w:hint="eastAsia" w:hAnsi="宋体"/>
          <w:color w:val="auto"/>
          <w:sz w:val="28"/>
          <w:szCs w:val="28"/>
        </w:rPr>
      </w:pPr>
      <w:r>
        <w:rPr>
          <w:rFonts w:hint="eastAsia" w:hAnsi="宋体"/>
          <w:color w:val="auto"/>
          <w:sz w:val="28"/>
          <w:szCs w:val="28"/>
        </w:rPr>
        <w:t>该</w:t>
      </w:r>
      <w:r>
        <w:rPr>
          <w:rFonts w:hAnsi="宋体"/>
          <w:color w:val="auto"/>
          <w:sz w:val="28"/>
          <w:szCs w:val="28"/>
        </w:rPr>
        <w:t>工业</w:t>
      </w:r>
      <w:r>
        <w:rPr>
          <w:rFonts w:hint="eastAsia" w:hAnsi="宋体"/>
          <w:color w:val="auto"/>
          <w:sz w:val="28"/>
          <w:szCs w:val="28"/>
        </w:rPr>
        <w:t>废弃物处置中心处理能力为14000t/a，本工程产生的</w:t>
      </w:r>
      <w:r>
        <w:rPr>
          <w:rFonts w:hAnsi="宋体"/>
          <w:color w:val="auto"/>
          <w:sz w:val="28"/>
          <w:szCs w:val="28"/>
        </w:rPr>
        <w:t>一般固废包装袋</w:t>
      </w:r>
      <w:r>
        <w:rPr>
          <w:rFonts w:hint="eastAsia" w:hAnsi="宋体"/>
          <w:color w:val="auto"/>
          <w:sz w:val="28"/>
          <w:szCs w:val="28"/>
        </w:rPr>
        <w:t>量约为</w:t>
      </w:r>
      <w:r>
        <w:rPr>
          <w:rFonts w:hAnsi="宋体"/>
          <w:color w:val="auto"/>
          <w:sz w:val="28"/>
          <w:szCs w:val="28"/>
        </w:rPr>
        <w:t>0.</w:t>
      </w:r>
      <w:r>
        <w:rPr>
          <w:rFonts w:hint="eastAsia" w:hAnsi="宋体"/>
          <w:color w:val="auto"/>
          <w:sz w:val="28"/>
          <w:szCs w:val="28"/>
          <w:lang w:val="en-US" w:eastAsia="zh-CN"/>
        </w:rPr>
        <w:t>045</w:t>
      </w:r>
      <w:r>
        <w:rPr>
          <w:rFonts w:hAnsi="宋体"/>
          <w:color w:val="auto"/>
          <w:sz w:val="28"/>
          <w:szCs w:val="28"/>
        </w:rPr>
        <w:t>t</w:t>
      </w:r>
      <w:r>
        <w:rPr>
          <w:rFonts w:hint="eastAsia" w:hAnsi="宋体"/>
          <w:color w:val="auto"/>
          <w:sz w:val="28"/>
          <w:szCs w:val="28"/>
        </w:rPr>
        <w:t>，处理能力满足本工程新增固废处理要求。大庆市岗源环保科技有限责任公司</w:t>
      </w:r>
      <w:r>
        <w:rPr>
          <w:rFonts w:hAnsi="宋体"/>
          <w:color w:val="auto"/>
          <w:sz w:val="28"/>
          <w:szCs w:val="28"/>
        </w:rPr>
        <w:t>工业</w:t>
      </w:r>
      <w:r>
        <w:rPr>
          <w:rFonts w:hint="eastAsia" w:hAnsi="宋体"/>
          <w:color w:val="auto"/>
          <w:sz w:val="28"/>
          <w:szCs w:val="28"/>
        </w:rPr>
        <w:t>废弃物处置中心于</w:t>
      </w:r>
      <w:r>
        <w:rPr>
          <w:rFonts w:hAnsi="宋体"/>
          <w:color w:val="auto"/>
          <w:sz w:val="28"/>
          <w:szCs w:val="28"/>
        </w:rPr>
        <w:t>201</w:t>
      </w:r>
      <w:r>
        <w:rPr>
          <w:rFonts w:hint="eastAsia" w:hAnsi="宋体"/>
          <w:color w:val="auto"/>
          <w:sz w:val="28"/>
          <w:szCs w:val="28"/>
        </w:rPr>
        <w:t>6年取得环评批复，批复文号为庆环审</w:t>
      </w:r>
      <w:r>
        <w:rPr>
          <w:rFonts w:hAnsi="宋体"/>
          <w:color w:val="auto"/>
          <w:sz w:val="28"/>
          <w:szCs w:val="28"/>
        </w:rPr>
        <w:t>[20</w:t>
      </w:r>
      <w:r>
        <w:rPr>
          <w:rFonts w:hint="eastAsia" w:hAnsi="宋体"/>
          <w:color w:val="auto"/>
          <w:sz w:val="28"/>
          <w:szCs w:val="28"/>
        </w:rPr>
        <w:t>16</w:t>
      </w:r>
      <w:r>
        <w:rPr>
          <w:rFonts w:hAnsi="宋体"/>
          <w:color w:val="auto"/>
          <w:sz w:val="28"/>
          <w:szCs w:val="28"/>
        </w:rPr>
        <w:t>]</w:t>
      </w:r>
      <w:r>
        <w:rPr>
          <w:rFonts w:hint="eastAsia" w:hAnsi="宋体"/>
          <w:color w:val="auto"/>
          <w:sz w:val="28"/>
          <w:szCs w:val="28"/>
        </w:rPr>
        <w:t>280号，目前</w:t>
      </w:r>
      <w:r>
        <w:rPr>
          <w:rFonts w:hAnsi="宋体"/>
          <w:color w:val="auto"/>
          <w:sz w:val="28"/>
          <w:szCs w:val="28"/>
        </w:rPr>
        <w:t>正在组织竣工环境保护验收</w:t>
      </w:r>
      <w:r>
        <w:rPr>
          <w:rFonts w:hint="eastAsia" w:hAnsi="宋体"/>
          <w:color w:val="auto"/>
          <w:sz w:val="28"/>
          <w:szCs w:val="28"/>
          <w:lang w:eastAsia="zh-CN"/>
        </w:rPr>
        <w:t>，预计</w:t>
      </w:r>
      <w:r>
        <w:rPr>
          <w:rFonts w:hint="eastAsia" w:hAnsi="宋体"/>
          <w:color w:val="auto"/>
          <w:sz w:val="28"/>
          <w:szCs w:val="28"/>
          <w:lang w:val="en-US" w:eastAsia="zh-CN"/>
        </w:rPr>
        <w:t>2022年完成自助验收</w:t>
      </w:r>
      <w:r>
        <w:rPr>
          <w:rFonts w:hint="eastAsia" w:hAnsi="宋体"/>
          <w:color w:val="auto"/>
          <w:sz w:val="28"/>
          <w:szCs w:val="28"/>
        </w:rPr>
        <w:t>。</w:t>
      </w:r>
    </w:p>
    <w:p>
      <w:pPr>
        <w:pStyle w:val="6"/>
        <w:spacing w:before="156" w:after="156"/>
        <w:rPr>
          <w:color w:val="auto"/>
        </w:rPr>
      </w:pPr>
      <w:r>
        <w:rPr>
          <w:rFonts w:hint="eastAsia"/>
          <w:color w:val="auto"/>
        </w:rPr>
        <w:t>大庆</w:t>
      </w:r>
      <w:r>
        <w:rPr>
          <w:rFonts w:hint="eastAsia"/>
          <w:color w:val="auto"/>
          <w:lang w:val="en-US" w:eastAsia="zh-CN"/>
        </w:rPr>
        <w:t>中林绿源生物环保有限公司</w:t>
      </w:r>
    </w:p>
    <w:p>
      <w:pPr>
        <w:pStyle w:val="2"/>
        <w:rPr>
          <w:rFonts w:hint="default"/>
          <w:color w:val="auto"/>
          <w:lang w:val="en-US" w:eastAsia="zh-CN"/>
        </w:rPr>
      </w:pPr>
      <w:r>
        <w:rPr>
          <w:rFonts w:hint="eastAsia" w:ascii="Times New Roman" w:hAnsi="宋体" w:eastAsia="宋体" w:cs="Arial"/>
          <w:color w:val="auto"/>
          <w:sz w:val="28"/>
          <w:szCs w:val="28"/>
          <w:lang w:val="en-US" w:eastAsia="zh-CN" w:bidi="ar-SA"/>
        </w:rPr>
        <w:t>本处理站位于大庆市龙凤区龙凤镇刘高手村，处理能力为5万吨/年含油污泥处理装置，采用热相分离技术</w:t>
      </w:r>
      <w:r>
        <w:rPr>
          <w:rFonts w:hint="eastAsia" w:hAnsi="宋体" w:cs="Arial"/>
          <w:color w:val="auto"/>
          <w:sz w:val="28"/>
          <w:szCs w:val="28"/>
          <w:lang w:val="en-US" w:eastAsia="zh-CN" w:bidi="ar-SA"/>
        </w:rPr>
        <w:t>，热相分离单元产生的渣土，用于铺设井场、通井路修路等用途。</w:t>
      </w:r>
      <w:r>
        <w:rPr>
          <w:rFonts w:hint="eastAsia" w:hAnsi="宋体"/>
          <w:color w:val="auto"/>
          <w:sz w:val="28"/>
          <w:szCs w:val="28"/>
        </w:rPr>
        <w:t>大庆中林绿源生物环保有限公司于</w:t>
      </w:r>
      <w:r>
        <w:rPr>
          <w:rFonts w:hAnsi="宋体"/>
          <w:color w:val="auto"/>
          <w:sz w:val="28"/>
          <w:szCs w:val="28"/>
        </w:rPr>
        <w:t>20</w:t>
      </w:r>
      <w:r>
        <w:rPr>
          <w:rFonts w:hint="eastAsia" w:hAnsi="宋体"/>
          <w:color w:val="auto"/>
          <w:sz w:val="28"/>
          <w:szCs w:val="28"/>
          <w:lang w:val="en-US" w:eastAsia="zh-CN"/>
        </w:rPr>
        <w:t>20</w:t>
      </w:r>
      <w:r>
        <w:rPr>
          <w:rFonts w:hint="eastAsia" w:hAnsi="宋体"/>
          <w:color w:val="auto"/>
          <w:sz w:val="28"/>
          <w:szCs w:val="28"/>
        </w:rPr>
        <w:t>年取得环评批复，批复文号为庆环审</w:t>
      </w:r>
      <w:r>
        <w:rPr>
          <w:rFonts w:hAnsi="宋体"/>
          <w:color w:val="auto"/>
          <w:sz w:val="28"/>
          <w:szCs w:val="28"/>
        </w:rPr>
        <w:t>[20</w:t>
      </w:r>
      <w:r>
        <w:rPr>
          <w:rFonts w:hint="eastAsia" w:hAnsi="宋体"/>
          <w:color w:val="auto"/>
          <w:sz w:val="28"/>
          <w:szCs w:val="28"/>
          <w:lang w:val="en-US" w:eastAsia="zh-CN"/>
        </w:rPr>
        <w:t>20</w:t>
      </w:r>
      <w:r>
        <w:rPr>
          <w:rFonts w:hAnsi="宋体"/>
          <w:color w:val="auto"/>
          <w:sz w:val="28"/>
          <w:szCs w:val="28"/>
        </w:rPr>
        <w:t>]</w:t>
      </w:r>
      <w:r>
        <w:rPr>
          <w:rFonts w:hint="eastAsia" w:hAnsi="宋体"/>
          <w:color w:val="auto"/>
          <w:sz w:val="28"/>
          <w:szCs w:val="28"/>
          <w:lang w:val="en-US" w:eastAsia="zh-CN"/>
        </w:rPr>
        <w:t>125</w:t>
      </w:r>
      <w:r>
        <w:rPr>
          <w:rFonts w:hint="eastAsia" w:hAnsi="宋体"/>
          <w:color w:val="auto"/>
          <w:sz w:val="28"/>
          <w:szCs w:val="28"/>
        </w:rPr>
        <w:t>号，目前</w:t>
      </w:r>
      <w:r>
        <w:rPr>
          <w:rFonts w:hAnsi="宋体"/>
          <w:color w:val="auto"/>
          <w:sz w:val="28"/>
          <w:szCs w:val="28"/>
        </w:rPr>
        <w:t>正在组织竣工环境保护验收</w:t>
      </w:r>
      <w:r>
        <w:rPr>
          <w:rFonts w:hint="eastAsia" w:hAnsi="宋体"/>
          <w:color w:val="auto"/>
          <w:sz w:val="28"/>
          <w:szCs w:val="28"/>
          <w:lang w:eastAsia="zh-CN"/>
        </w:rPr>
        <w:t>，预计</w:t>
      </w:r>
      <w:r>
        <w:rPr>
          <w:rFonts w:hint="eastAsia" w:hAnsi="宋体"/>
          <w:color w:val="auto"/>
          <w:sz w:val="28"/>
          <w:szCs w:val="28"/>
          <w:lang w:val="en-US" w:eastAsia="zh-CN"/>
        </w:rPr>
        <w:t>2022年完成自助验收</w:t>
      </w:r>
      <w:r>
        <w:rPr>
          <w:rFonts w:hint="eastAsia" w:hAnsi="宋体"/>
          <w:color w:val="auto"/>
          <w:sz w:val="28"/>
          <w:szCs w:val="28"/>
        </w:rPr>
        <w:t>。本工程共产生废弃</w:t>
      </w:r>
      <w:r>
        <w:rPr>
          <w:rFonts w:hint="eastAsia" w:hAnsi="宋体"/>
          <w:color w:val="auto"/>
          <w:sz w:val="28"/>
          <w:szCs w:val="28"/>
          <w:lang w:val="en-US" w:eastAsia="zh-CN"/>
        </w:rPr>
        <w:t>油</w:t>
      </w:r>
      <w:r>
        <w:rPr>
          <w:rFonts w:hint="eastAsia" w:hAnsi="宋体"/>
          <w:color w:val="auto"/>
          <w:sz w:val="28"/>
          <w:szCs w:val="28"/>
        </w:rPr>
        <w:t xml:space="preserve">基泥浆总量为 </w:t>
      </w:r>
      <w:r>
        <w:rPr>
          <w:rFonts w:hint="eastAsia" w:hAnsi="宋体"/>
          <w:color w:val="auto"/>
          <w:sz w:val="28"/>
          <w:szCs w:val="28"/>
          <w:lang w:val="en-US" w:eastAsia="zh-CN"/>
        </w:rPr>
        <w:t>25860</w:t>
      </w:r>
      <w:r>
        <w:rPr>
          <w:rFonts w:hint="eastAsia" w:hAnsi="宋体"/>
          <w:color w:val="auto"/>
          <w:sz w:val="28"/>
          <w:szCs w:val="28"/>
        </w:rPr>
        <w:t>m</w:t>
      </w:r>
      <w:r>
        <w:rPr>
          <w:rFonts w:hint="eastAsia" w:hAnsi="宋体"/>
          <w:color w:val="auto"/>
          <w:sz w:val="28"/>
          <w:szCs w:val="28"/>
          <w:vertAlign w:val="superscript"/>
        </w:rPr>
        <w:t>3</w:t>
      </w:r>
      <w:r>
        <w:rPr>
          <w:rFonts w:hint="eastAsia" w:hAnsi="宋体"/>
          <w:color w:val="auto"/>
          <w:sz w:val="28"/>
          <w:szCs w:val="28"/>
        </w:rPr>
        <w:t xml:space="preserve">，目前大庆中林绿源生物环保有限公司剩余处理量为 </w:t>
      </w:r>
      <w:r>
        <w:rPr>
          <w:rFonts w:hint="eastAsia" w:hAnsi="宋体"/>
          <w:color w:val="auto"/>
          <w:sz w:val="28"/>
          <w:szCs w:val="28"/>
          <w:lang w:val="en-US" w:eastAsia="zh-CN"/>
        </w:rPr>
        <w:t>4</w:t>
      </w:r>
      <w:r>
        <w:rPr>
          <w:rFonts w:hint="eastAsia" w:hAnsi="宋体"/>
          <w:color w:val="auto"/>
          <w:sz w:val="28"/>
          <w:szCs w:val="28"/>
        </w:rPr>
        <w:t>×10</w:t>
      </w:r>
      <w:r>
        <w:rPr>
          <w:rFonts w:hint="eastAsia" w:hAnsi="宋体"/>
          <w:color w:val="auto"/>
          <w:sz w:val="28"/>
          <w:szCs w:val="28"/>
          <w:vertAlign w:val="superscript"/>
        </w:rPr>
        <w:t>4</w:t>
      </w:r>
      <w:r>
        <w:rPr>
          <w:rFonts w:hint="eastAsia" w:hAnsi="宋体"/>
          <w:color w:val="auto"/>
          <w:sz w:val="28"/>
          <w:szCs w:val="28"/>
        </w:rPr>
        <w:t xml:space="preserve"> m</w:t>
      </w:r>
      <w:r>
        <w:rPr>
          <w:rFonts w:hint="eastAsia" w:hAnsi="宋体"/>
          <w:color w:val="auto"/>
          <w:sz w:val="28"/>
          <w:szCs w:val="28"/>
          <w:vertAlign w:val="superscript"/>
        </w:rPr>
        <w:t>3</w:t>
      </w:r>
      <w:r>
        <w:rPr>
          <w:rFonts w:hint="eastAsia" w:hAnsi="宋体"/>
          <w:color w:val="auto"/>
          <w:sz w:val="28"/>
          <w:szCs w:val="28"/>
        </w:rPr>
        <w:t>/a，能满足本工程及处理需要。</w:t>
      </w:r>
    </w:p>
    <w:p>
      <w:pPr>
        <w:pStyle w:val="5"/>
        <w:bidi w:val="0"/>
        <w:rPr>
          <w:rFonts w:hint="eastAsia"/>
          <w:color w:val="auto"/>
        </w:rPr>
      </w:pPr>
      <w:r>
        <w:rPr>
          <w:color w:val="auto"/>
        </w:rPr>
        <w:t>依托工程环境影响评价及竣工验收情况</w:t>
      </w:r>
    </w:p>
    <w:p>
      <w:pPr>
        <w:pStyle w:val="7"/>
        <w:bidi w:val="0"/>
        <w:rPr>
          <w:rFonts w:hint="eastAsia"/>
          <w:color w:val="auto"/>
        </w:rPr>
      </w:pPr>
      <w:r>
        <w:rPr>
          <w:color w:val="auto"/>
        </w:rPr>
        <w:t>依托工程环评验收情况一览表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9"/>
        <w:gridCol w:w="4138"/>
        <w:gridCol w:w="2062"/>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3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226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现有场站/区块名称</w:t>
            </w:r>
          </w:p>
        </w:tc>
        <w:tc>
          <w:tcPr>
            <w:tcW w:w="11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环评批复</w:t>
            </w:r>
          </w:p>
        </w:tc>
        <w:tc>
          <w:tcPr>
            <w:tcW w:w="128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266"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bidi="ar"/>
              </w:rPr>
              <w:t>大庆市采油八厂废弃钻井液集中处理站</w:t>
            </w:r>
          </w:p>
        </w:tc>
        <w:tc>
          <w:tcPr>
            <w:tcW w:w="1129"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同环建字</w:t>
            </w:r>
            <w:r>
              <w:rPr>
                <w:rFonts w:hint="default" w:ascii="Times New Roman" w:hAnsi="Times New Roman" w:cs="Times New Roman"/>
                <w:color w:val="auto"/>
                <w:lang w:val="en-US" w:eastAsia="zh-CN"/>
              </w:rPr>
              <w:t>[2021]6</w:t>
            </w:r>
            <w:r>
              <w:rPr>
                <w:rFonts w:hint="default" w:ascii="Times New Roman" w:hAnsi="Times New Roman" w:eastAsia="宋体" w:cs="Times New Roman"/>
                <w:color w:val="auto"/>
                <w:lang w:val="en-US" w:eastAsia="zh-CN"/>
              </w:rPr>
              <w:t>号</w:t>
            </w:r>
          </w:p>
        </w:tc>
        <w:tc>
          <w:tcPr>
            <w:tcW w:w="1280"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目前正在履行验收手续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w:t>
            </w:r>
          </w:p>
        </w:tc>
        <w:tc>
          <w:tcPr>
            <w:tcW w:w="2266"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大庆市岗源环保科技有限责任公司工业废弃物处置中心</w:t>
            </w:r>
          </w:p>
        </w:tc>
        <w:tc>
          <w:tcPr>
            <w:tcW w:w="1129"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庆环审[2016]280号</w:t>
            </w:r>
          </w:p>
        </w:tc>
        <w:tc>
          <w:tcPr>
            <w:tcW w:w="1280"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目前正在履行验收手续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3</w:t>
            </w:r>
          </w:p>
        </w:tc>
        <w:tc>
          <w:tcPr>
            <w:tcW w:w="2266"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bidi="ar"/>
              </w:rPr>
            </w:pPr>
            <w:r>
              <w:rPr>
                <w:rFonts w:hint="default" w:ascii="Times New Roman" w:hAnsi="Times New Roman" w:eastAsia="宋体" w:cs="Times New Roman"/>
                <w:color w:val="auto"/>
                <w:lang w:val="en-US" w:eastAsia="zh-CN" w:bidi="ar"/>
              </w:rPr>
              <w:t>大庆中林绿源生物环保有限公司</w:t>
            </w:r>
          </w:p>
        </w:tc>
        <w:tc>
          <w:tcPr>
            <w:tcW w:w="1129"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庆环审[2020]125号</w:t>
            </w:r>
          </w:p>
        </w:tc>
        <w:tc>
          <w:tcPr>
            <w:tcW w:w="1280" w:type="pct"/>
            <w:noWrap w:val="0"/>
            <w:vAlign w:val="center"/>
          </w:tcPr>
          <w:p>
            <w:pPr>
              <w:pStyle w:val="79"/>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目前正在履行验收手续</w:t>
            </w:r>
          </w:p>
        </w:tc>
      </w:tr>
    </w:tbl>
    <w:p>
      <w:pPr>
        <w:pStyle w:val="4"/>
        <w:snapToGrid w:val="0"/>
        <w:spacing w:before="159" w:beforeLines="50" w:after="159" w:afterLines="50" w:line="600" w:lineRule="exact"/>
        <w:rPr>
          <w:rFonts w:ascii="Times New Roman" w:hAnsi="Times New Roman" w:eastAsia="宋体"/>
          <w:b w:val="0"/>
          <w:snapToGrid w:val="0"/>
          <w:color w:val="auto"/>
          <w:kern w:val="0"/>
          <w:sz w:val="30"/>
          <w:szCs w:val="30"/>
        </w:rPr>
      </w:pPr>
      <w:bookmarkStart w:id="416" w:name="_Toc88146607"/>
      <w:bookmarkStart w:id="417" w:name="_Toc9643"/>
      <w:bookmarkStart w:id="418" w:name="_Toc30131"/>
      <w:bookmarkStart w:id="419" w:name="_Toc71033425"/>
      <w:bookmarkStart w:id="420" w:name="_Toc22432"/>
      <w:r>
        <w:rPr>
          <w:rFonts w:ascii="Times New Roman" w:hAnsi="Times New Roman" w:eastAsia="宋体"/>
          <w:b w:val="0"/>
          <w:snapToGrid w:val="0"/>
          <w:color w:val="auto"/>
          <w:kern w:val="0"/>
          <w:sz w:val="30"/>
          <w:szCs w:val="30"/>
        </w:rPr>
        <w:t>影响因素分析</w:t>
      </w:r>
      <w:bookmarkEnd w:id="416"/>
      <w:bookmarkEnd w:id="417"/>
      <w:bookmarkEnd w:id="418"/>
      <w:bookmarkEnd w:id="419"/>
      <w:bookmarkEnd w:id="420"/>
    </w:p>
    <w:p>
      <w:pPr>
        <w:pStyle w:val="5"/>
        <w:bidi w:val="0"/>
        <w:rPr>
          <w:color w:val="auto"/>
        </w:rPr>
      </w:pPr>
      <w:bookmarkStart w:id="421" w:name="_Toc438822715"/>
      <w:r>
        <w:rPr>
          <w:color w:val="auto"/>
        </w:rPr>
        <w:t>污染影响因素分析</w:t>
      </w:r>
    </w:p>
    <w:p>
      <w:pPr>
        <w:pStyle w:val="21"/>
        <w:spacing w:line="480" w:lineRule="exact"/>
        <w:rPr>
          <w:rFonts w:ascii="Times New Roman"/>
          <w:color w:val="auto"/>
          <w:sz w:val="28"/>
          <w:szCs w:val="28"/>
        </w:rPr>
      </w:pPr>
      <w:r>
        <w:rPr>
          <w:rFonts w:ascii="Times New Roman"/>
          <w:color w:val="auto"/>
          <w:sz w:val="28"/>
          <w:szCs w:val="28"/>
        </w:rPr>
        <w:t>（1）施工期</w:t>
      </w:r>
    </w:p>
    <w:p>
      <w:pPr>
        <w:pStyle w:val="21"/>
        <w:spacing w:line="480" w:lineRule="exact"/>
        <w:rPr>
          <w:rFonts w:ascii="Times New Roman"/>
          <w:color w:val="auto"/>
          <w:sz w:val="28"/>
          <w:szCs w:val="28"/>
        </w:rPr>
      </w:pPr>
      <w:r>
        <w:rPr>
          <w:rFonts w:ascii="Times New Roman"/>
          <w:color w:val="auto"/>
          <w:sz w:val="28"/>
          <w:szCs w:val="28"/>
        </w:rPr>
        <w:t>钻前准备工作、钻进、录井、测井、固井和完井。钻前准备工作中，在预选井位前首先要进行平整井场、架设泥浆槽、堆放钻井所需的重晶石粉、水泥等物料，由大型车辆将钻机运至井场进行安装。此过程的污染工序主要是重型车辆沿途产生的噪声，重晶石粉、水泥等搬运过程中产生扬尘。钻井过程中产生的污染物主要有钻井污水、废弃钻井液、钻井岩屑、柴油机排出的烟气及钻机等设备运行产生的噪声。除上述污染外，钻井施工营地还将产生生活污水和生活垃圾。</w:t>
      </w:r>
    </w:p>
    <w:p>
      <w:pPr>
        <w:pStyle w:val="21"/>
        <w:spacing w:line="480" w:lineRule="exact"/>
        <w:rPr>
          <w:rFonts w:ascii="Times New Roman"/>
          <w:color w:val="auto"/>
          <w:sz w:val="28"/>
          <w:szCs w:val="28"/>
        </w:rPr>
      </w:pPr>
      <w:r>
        <w:rPr>
          <w:rFonts w:ascii="Times New Roman"/>
          <w:color w:val="auto"/>
          <w:sz w:val="28"/>
          <w:szCs w:val="28"/>
        </w:rPr>
        <w:t>本工程施工期产污环节详见下图。</w:t>
      </w:r>
    </w:p>
    <w:p>
      <w:pPr>
        <w:pStyle w:val="21"/>
        <w:spacing w:line="480" w:lineRule="exact"/>
        <w:rPr>
          <w:rFonts w:ascii="Times New Roman"/>
          <w:color w:val="auto"/>
          <w:sz w:val="28"/>
          <w:szCs w:val="28"/>
        </w:rPr>
      </w:pPr>
    </w:p>
    <w:p>
      <w:pPr>
        <w:pStyle w:val="21"/>
        <w:spacing w:line="480" w:lineRule="exact"/>
        <w:rPr>
          <w:rFonts w:ascii="Times New Roman"/>
          <w:color w:val="auto"/>
          <w:sz w:val="28"/>
          <w:szCs w:val="28"/>
        </w:rPr>
      </w:pPr>
    </w:p>
    <w:p>
      <w:pPr>
        <w:rPr>
          <w:color w:val="auto"/>
        </w:rPr>
      </w:pPr>
    </w:p>
    <w:p>
      <w:pPr>
        <w:rPr>
          <w:color w:val="auto"/>
        </w:rPr>
      </w:pP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3782695</wp:posOffset>
                </wp:positionH>
                <wp:positionV relativeFrom="paragraph">
                  <wp:posOffset>182245</wp:posOffset>
                </wp:positionV>
                <wp:extent cx="381635" cy="551180"/>
                <wp:effectExtent l="0" t="0" r="0" b="0"/>
                <wp:wrapNone/>
                <wp:docPr id="67" name="文本框 67"/>
                <wp:cNvGraphicFramePr/>
                <a:graphic xmlns:a="http://schemas.openxmlformats.org/drawingml/2006/main">
                  <a:graphicData uri="http://schemas.microsoft.com/office/word/2010/wordprocessingShape">
                    <wps:wsp>
                      <wps:cNvSpPr txBox="1"/>
                      <wps:spPr>
                        <a:xfrm>
                          <a:off x="4683125" y="1285240"/>
                          <a:ext cx="381635" cy="551180"/>
                        </a:xfrm>
                        <a:prstGeom prst="rect">
                          <a:avLst/>
                        </a:prstGeom>
                        <a:noFill/>
                        <a:ln>
                          <a:noFill/>
                        </a:ln>
                      </wps:spPr>
                      <wps:txbx>
                        <w:txbxContent>
                          <w:p>
                            <w:pPr>
                              <w:rPr>
                                <w:rFonts w:ascii="宋体" w:hAnsi="宋体"/>
                                <w:szCs w:val="21"/>
                              </w:rPr>
                            </w:pPr>
                            <w:r>
                              <w:rPr>
                                <w:rFonts w:hint="eastAsia" w:ascii="宋体" w:hAnsi="宋体"/>
                                <w:szCs w:val="21"/>
                              </w:rPr>
                              <w:t>扬尘</w:t>
                            </w:r>
                          </w:p>
                          <w:p>
                            <w:pPr>
                              <w:jc w:val="center"/>
                              <w:rPr>
                                <w:rFonts w:ascii="宋体" w:hAnsi="宋体"/>
                                <w:szCs w:val="21"/>
                              </w:rPr>
                            </w:pPr>
                          </w:p>
                          <w:p>
                            <w:pPr>
                              <w:rPr>
                                <w:rFonts w:ascii="宋体" w:hAnsi="宋体"/>
                                <w:szCs w:val="21"/>
                              </w:rPr>
                            </w:pPr>
                          </w:p>
                          <w:p>
                            <w:pPr>
                              <w:rPr>
                                <w:rFonts w:ascii="宋体" w:hAnsi="宋体"/>
                                <w:szCs w:val="21"/>
                              </w:rPr>
                            </w:pPr>
                          </w:p>
                        </w:txbxContent>
                      </wps:txbx>
                      <wps:bodyPr lIns="0" tIns="0" rIns="0" bIns="0" upright="1"/>
                    </wps:wsp>
                  </a:graphicData>
                </a:graphic>
              </wp:anchor>
            </w:drawing>
          </mc:Choice>
          <mc:Fallback>
            <w:pict>
              <v:shape id="_x0000_s1026" o:spid="_x0000_s1026" o:spt="202" type="#_x0000_t202" style="position:absolute;left:0pt;margin-left:297.85pt;margin-top:14.35pt;height:43.4pt;width:30.05pt;z-index:251681792;mso-width-relative:page;mso-height-relative:page;" filled="f" stroked="f" coordsize="21600,21600" o:gfxdata="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P1qVc2QAAAAoBAAAPAAAAAAAAAAEAIAAAACIAAABkcnMvZG93&#10;bnJldi54bWxQSwECFAAUAAAACACHTuJAh2f/z8YBAAB/AwAADgAAAAAAAAABACAAAAAoAQAAZHJz&#10;L2Uyb0RvYy54bWxQSwUGAAAAAAYABgBZAQAAYAUAAAAA&#10;">
                <v:fill on="f" focussize="0,0"/>
                <v:stroke on="f"/>
                <v:imagedata o:title=""/>
                <o:lock v:ext="edit" aspectratio="f"/>
                <v:textbox inset="0mm,0mm,0mm,0mm">
                  <w:txbxContent>
                    <w:p>
                      <w:pPr>
                        <w:rPr>
                          <w:rFonts w:ascii="宋体" w:hAnsi="宋体"/>
                          <w:szCs w:val="21"/>
                        </w:rPr>
                      </w:pPr>
                      <w:r>
                        <w:rPr>
                          <w:rFonts w:hint="eastAsia" w:ascii="宋体" w:hAnsi="宋体"/>
                          <w:szCs w:val="21"/>
                        </w:rPr>
                        <w:t>扬尘</w:t>
                      </w:r>
                    </w:p>
                    <w:p>
                      <w:pPr>
                        <w:jc w:val="center"/>
                        <w:rPr>
                          <w:rFonts w:ascii="宋体" w:hAnsi="宋体"/>
                          <w:szCs w:val="21"/>
                        </w:rPr>
                      </w:pPr>
                    </w:p>
                    <w:p>
                      <w:pPr>
                        <w:rPr>
                          <w:rFonts w:ascii="宋体" w:hAnsi="宋体"/>
                          <w:szCs w:val="21"/>
                        </w:rPr>
                      </w:pPr>
                    </w:p>
                    <w:p>
                      <w:pPr>
                        <w:rPr>
                          <w:rFonts w:ascii="宋体" w:hAnsi="宋体"/>
                          <w:szCs w:val="21"/>
                        </w:rPr>
                      </w:pPr>
                    </w:p>
                  </w:txbxContent>
                </v:textbox>
              </v:shape>
            </w:pict>
          </mc:Fallback>
        </mc:AlternateContent>
      </w:r>
      <w:r>
        <w:rPr>
          <w:color w:val="auto"/>
          <w:sz w:val="21"/>
        </w:rPr>
        <mc:AlternateContent>
          <mc:Choice Requires="wpg">
            <w:drawing>
              <wp:anchor distT="0" distB="0" distL="114300" distR="114300" simplePos="0" relativeHeight="251695104" behindDoc="0" locked="0" layoutInCell="1" allowOverlap="1">
                <wp:simplePos x="0" y="0"/>
                <wp:positionH relativeFrom="column">
                  <wp:posOffset>1681480</wp:posOffset>
                </wp:positionH>
                <wp:positionV relativeFrom="paragraph">
                  <wp:posOffset>122555</wp:posOffset>
                </wp:positionV>
                <wp:extent cx="2345055" cy="1951355"/>
                <wp:effectExtent l="0" t="4445" r="17145" b="44450"/>
                <wp:wrapNone/>
                <wp:docPr id="27" name="组合 27"/>
                <wp:cNvGraphicFramePr/>
                <a:graphic xmlns:a="http://schemas.openxmlformats.org/drawingml/2006/main">
                  <a:graphicData uri="http://schemas.microsoft.com/office/word/2010/wordprocessingGroup">
                    <wpg:wgp>
                      <wpg:cNvGrpSpPr/>
                      <wpg:grpSpPr>
                        <a:xfrm>
                          <a:off x="0" y="0"/>
                          <a:ext cx="2345055" cy="1951355"/>
                          <a:chOff x="7032" y="1266294"/>
                          <a:chExt cx="3693" cy="3073"/>
                        </a:xfrm>
                      </wpg:grpSpPr>
                      <wps:wsp>
                        <wps:cNvPr id="63" name="文本框 63"/>
                        <wps:cNvSpPr txBox="1"/>
                        <wps:spPr>
                          <a:xfrm>
                            <a:off x="7953" y="1266294"/>
                            <a:ext cx="1731" cy="5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宋体" w:hAnsi="宋体"/>
                                  <w:szCs w:val="21"/>
                                </w:rPr>
                              </w:pPr>
                              <w:r>
                                <w:rPr>
                                  <w:rFonts w:hint="eastAsia" w:ascii="宋体" w:hAnsi="宋体"/>
                                  <w:szCs w:val="21"/>
                                </w:rPr>
                                <w:t>钻前准备</w:t>
                              </w:r>
                            </w:p>
                            <w:p>
                              <w:pPr>
                                <w:spacing w:line="240" w:lineRule="exact"/>
                                <w:rPr>
                                  <w:rFonts w:ascii="宋体" w:hAnsi="宋体"/>
                                  <w:szCs w:val="21"/>
                                </w:rPr>
                              </w:pPr>
                            </w:p>
                            <w:p>
                              <w:pPr>
                                <w:spacing w:line="240" w:lineRule="exact"/>
                                <w:rPr>
                                  <w:rFonts w:ascii="宋体" w:hAnsi="宋体"/>
                                  <w:szCs w:val="21"/>
                                </w:rPr>
                              </w:pPr>
                            </w:p>
                          </w:txbxContent>
                        </wps:txbx>
                        <wps:bodyPr lIns="0" tIns="36000" rIns="0" bIns="36000" upright="1"/>
                      </wps:wsp>
                      <wps:wsp>
                        <wps:cNvPr id="64" name="文本框 64"/>
                        <wps:cNvSpPr txBox="1"/>
                        <wps:spPr>
                          <a:xfrm>
                            <a:off x="7687" y="1267380"/>
                            <a:ext cx="2400" cy="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szCs w:val="21"/>
                                </w:rPr>
                                <w:t>钻进、测井、录井、固井</w:t>
                              </w:r>
                            </w:p>
                            <w:p>
                              <w:pPr>
                                <w:rPr>
                                  <w:rFonts w:ascii="宋体" w:hAnsi="宋体"/>
                                  <w:szCs w:val="21"/>
                                </w:rPr>
                              </w:pPr>
                            </w:p>
                          </w:txbxContent>
                        </wps:txbx>
                        <wps:bodyPr lIns="36000" tIns="36000" rIns="36000" bIns="36000" upright="1"/>
                      </wps:wsp>
                      <wps:wsp>
                        <wps:cNvPr id="70" name="直接箭头连接符 70"/>
                        <wps:cNvCnPr/>
                        <wps:spPr>
                          <a:xfrm flipH="1">
                            <a:off x="8894" y="1267944"/>
                            <a:ext cx="8" cy="417"/>
                          </a:xfrm>
                          <a:prstGeom prst="straightConnector1">
                            <a:avLst/>
                          </a:prstGeom>
                          <a:ln w="6350" cap="flat" cmpd="sng">
                            <a:solidFill>
                              <a:srgbClr val="000000"/>
                            </a:solidFill>
                            <a:prstDash val="solid"/>
                            <a:headEnd type="none" w="med" len="med"/>
                            <a:tailEnd type="triangle" w="med" len="med"/>
                          </a:ln>
                        </wps:spPr>
                        <wps:bodyPr/>
                      </wps:wsp>
                      <wps:wsp>
                        <wps:cNvPr id="74" name="直接连接符 74"/>
                        <wps:cNvCnPr/>
                        <wps:spPr>
                          <a:xfrm>
                            <a:off x="8890" y="1266863"/>
                            <a:ext cx="0" cy="493"/>
                          </a:xfrm>
                          <a:prstGeom prst="line">
                            <a:avLst/>
                          </a:prstGeom>
                          <a:ln w="9525" cap="flat" cmpd="sng">
                            <a:solidFill>
                              <a:srgbClr val="000000"/>
                            </a:solidFill>
                            <a:prstDash val="solid"/>
                            <a:headEnd type="none" w="med" len="med"/>
                            <a:tailEnd type="triangle" w="med" len="med"/>
                          </a:ln>
                        </wps:spPr>
                        <wps:bodyPr upright="1"/>
                      </wps:wsp>
                      <wps:wsp>
                        <wps:cNvPr id="19" name="文本框 19"/>
                        <wps:cNvSpPr txBox="1"/>
                        <wps:spPr>
                          <a:xfrm>
                            <a:off x="8127" y="1268337"/>
                            <a:ext cx="1497"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ascii="宋体" w:hAnsi="宋体" w:eastAsia="宋体"/>
                                  <w:szCs w:val="21"/>
                                  <w:lang w:val="en-US" w:eastAsia="zh-CN"/>
                                </w:rPr>
                              </w:pPr>
                              <w:r>
                                <w:rPr>
                                  <w:rFonts w:hint="eastAsia" w:ascii="宋体" w:hAnsi="宋体"/>
                                  <w:szCs w:val="21"/>
                                  <w:lang w:val="en-US" w:eastAsia="zh-CN"/>
                                </w:rPr>
                                <w:t>试气</w:t>
                              </w:r>
                            </w:p>
                          </w:txbxContent>
                        </wps:txbx>
                        <wps:bodyPr lIns="0" tIns="0" rIns="0" bIns="0" upright="1"/>
                      </wps:wsp>
                      <wps:wsp>
                        <wps:cNvPr id="20" name="直接箭头连接符 20"/>
                        <wps:cNvCnPr/>
                        <wps:spPr>
                          <a:xfrm>
                            <a:off x="9677" y="1269367"/>
                            <a:ext cx="1048" cy="1"/>
                          </a:xfrm>
                          <a:prstGeom prst="straightConnector1">
                            <a:avLst/>
                          </a:prstGeom>
                          <a:ln w="9525" cap="flat" cmpd="sng">
                            <a:solidFill>
                              <a:srgbClr val="000000"/>
                            </a:solidFill>
                            <a:prstDash val="dash"/>
                            <a:headEnd type="none" w="med" len="med"/>
                            <a:tailEnd type="triangle" w="med" len="med"/>
                          </a:ln>
                        </wps:spPr>
                        <wps:bodyPr/>
                      </wps:wsp>
                      <wps:wsp>
                        <wps:cNvPr id="24" name="直接箭头连接符 24"/>
                        <wps:cNvCnPr/>
                        <wps:spPr>
                          <a:xfrm flipH="1">
                            <a:off x="7032" y="1268633"/>
                            <a:ext cx="1031" cy="375"/>
                          </a:xfrm>
                          <a:prstGeom prst="straightConnector1">
                            <a:avLst/>
                          </a:prstGeom>
                          <a:ln w="9525" cap="flat" cmpd="sng">
                            <a:solidFill>
                              <a:srgbClr val="000000"/>
                            </a:solidFill>
                            <a:prstDash val="dash"/>
                            <a:headEnd type="none" w="med" len="med"/>
                            <a:tailEnd type="triangle" w="med" len="med"/>
                          </a:ln>
                        </wps:spPr>
                        <wps:bodyPr/>
                      </wps:wsp>
                      <wps:wsp>
                        <wps:cNvPr id="26" name="直接箭头连接符 26"/>
                        <wps:cNvCnPr/>
                        <wps:spPr>
                          <a:xfrm flipH="1">
                            <a:off x="8900" y="1268760"/>
                            <a:ext cx="8" cy="417"/>
                          </a:xfrm>
                          <a:prstGeom prst="straightConnector1">
                            <a:avLst/>
                          </a:prstGeom>
                          <a:ln w="6350"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32.4pt;margin-top:9.65pt;height:153.65pt;width:184.65pt;z-index:251695104;mso-width-relative:page;mso-height-relative:page;" coordorigin="7032,1266294" coordsize="3693,3073" o:gfxdata="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">
                <o:lock v:ext="edit" aspectratio="f"/>
                <v:shape id="_x0000_s1026" o:spid="_x0000_s1026" o:spt="202" type="#_x0000_t202" style="position:absolute;left:7953;top:1266294;height:582;width:1731;" fillcolor="#FFFFFF" filled="t" stroked="t" coordsize="21600,21600" o:gfxdata="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OczR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mm,0mm,1mm">
                    <w:txbxContent>
                      <w:p>
                        <w:pPr>
                          <w:spacing w:line="360" w:lineRule="exact"/>
                          <w:jc w:val="center"/>
                          <w:rPr>
                            <w:rFonts w:ascii="宋体" w:hAnsi="宋体"/>
                            <w:szCs w:val="21"/>
                          </w:rPr>
                        </w:pPr>
                        <w:r>
                          <w:rPr>
                            <w:rFonts w:hint="eastAsia" w:ascii="宋体" w:hAnsi="宋体"/>
                            <w:szCs w:val="21"/>
                          </w:rPr>
                          <w:t>钻前准备</w:t>
                        </w:r>
                      </w:p>
                      <w:p>
                        <w:pPr>
                          <w:spacing w:line="240" w:lineRule="exact"/>
                          <w:rPr>
                            <w:rFonts w:ascii="宋体" w:hAnsi="宋体"/>
                            <w:szCs w:val="21"/>
                          </w:rPr>
                        </w:pPr>
                      </w:p>
                      <w:p>
                        <w:pPr>
                          <w:spacing w:line="240" w:lineRule="exact"/>
                          <w:rPr>
                            <w:rFonts w:ascii="宋体" w:hAnsi="宋体"/>
                            <w:szCs w:val="21"/>
                          </w:rPr>
                        </w:pPr>
                      </w:p>
                    </w:txbxContent>
                  </v:textbox>
                </v:shape>
                <v:shape id="_x0000_s1026" o:spid="_x0000_s1026" o:spt="202" type="#_x0000_t202" style="position:absolute;left:7687;top:1267380;height:523;width:2400;" fillcolor="#FFFFFF" filled="t" stroked="t" coordsize="21600,21600" o:gfxdata="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NrJ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1mm,1mm,1mm">
                    <w:txbxContent>
                      <w:p>
                        <w:pPr>
                          <w:spacing w:line="400" w:lineRule="exact"/>
                          <w:jc w:val="center"/>
                          <w:rPr>
                            <w:rFonts w:hint="eastAsia" w:ascii="宋体" w:hAnsi="宋体"/>
                            <w:szCs w:val="21"/>
                          </w:rPr>
                        </w:pPr>
                        <w:r>
                          <w:rPr>
                            <w:rFonts w:hint="eastAsia" w:ascii="宋体" w:hAnsi="宋体"/>
                            <w:szCs w:val="21"/>
                          </w:rPr>
                          <w:t>钻进、测井、录井、固井</w:t>
                        </w:r>
                      </w:p>
                      <w:p>
                        <w:pPr>
                          <w:rPr>
                            <w:rFonts w:ascii="宋体" w:hAnsi="宋体"/>
                            <w:szCs w:val="21"/>
                          </w:rPr>
                        </w:pPr>
                      </w:p>
                    </w:txbxContent>
                  </v:textbox>
                </v:shape>
                <v:shape id="_x0000_s1026" o:spid="_x0000_s1026" o:spt="32" type="#_x0000_t32" style="position:absolute;left:8894;top:1267944;flip:x;height:417;width:8;" filled="f" stroked="t" coordsize="21600,21600" o:gfxdata="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oKWUugAAANsA&#10;AAAPAAAAAAAAAAEAIAAAACIAAABkcnMvZG93bnJldi54bWxQSwECFAAUAAAACACHTuJAMy8FnjsA&#10;AAA5AAAAEAAAAAAAAAABACAAAAAJAQAAZHJzL3NoYXBleG1sLnhtbFBLBQYAAAAABgAGAFsBAACz&#10;AwAAAAA=&#10;">
                  <v:fill on="f" focussize="0,0"/>
                  <v:stroke weight="0.5pt" color="#000000" joinstyle="round" endarrow="block"/>
                  <v:imagedata o:title=""/>
                  <o:lock v:ext="edit" aspectratio="f"/>
                </v:shape>
                <v:line id="_x0000_s1026" o:spid="_x0000_s1026" o:spt="20" style="position:absolute;left:8890;top:1266863;height:493;width: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127;top:1268337;height:419;width:1497;" fillcolor="#FFFFFF" filled="t" stroked="t" coordsize="21600,21600" o:gfxdata="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5Gme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spacing w:line="400" w:lineRule="exact"/>
                          <w:jc w:val="center"/>
                          <w:rPr>
                            <w:rFonts w:hint="default" w:ascii="宋体" w:hAnsi="宋体" w:eastAsia="宋体"/>
                            <w:szCs w:val="21"/>
                            <w:lang w:val="en-US" w:eastAsia="zh-CN"/>
                          </w:rPr>
                        </w:pPr>
                        <w:r>
                          <w:rPr>
                            <w:rFonts w:hint="eastAsia" w:ascii="宋体" w:hAnsi="宋体"/>
                            <w:szCs w:val="21"/>
                            <w:lang w:val="en-US" w:eastAsia="zh-CN"/>
                          </w:rPr>
                          <w:t>试气</w:t>
                        </w:r>
                      </w:p>
                    </w:txbxContent>
                  </v:textbox>
                </v:shape>
                <v:shape id="_x0000_s1026" o:spid="_x0000_s1026" o:spt="32" type="#_x0000_t32" style="position:absolute;left:9677;top:1269367;height:1;width:1048;" filled="f" stroked="t" coordsize="21600,21600" o:gfxdata="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ygLC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_x0000_s1026" o:spid="_x0000_s1026" o:spt="32" type="#_x0000_t32" style="position:absolute;left:7032;top:1268633;flip:x;height:375;width:1031;" filled="f" stroked="t" coordsize="21600,21600" o:gfxdata="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5bkF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_x0000_s1026" o:spid="_x0000_s1026" o:spt="32" type="#_x0000_t32" style="position:absolute;left:8900;top:1268760;flip:x;height:417;width:8;" filled="f" stroked="t" coordsize="21600,21600" o:gfxdata="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a3Zr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group>
            </w:pict>
          </mc:Fallback>
        </mc:AlternateContent>
      </w:r>
    </w:p>
    <w:p>
      <w:pPr>
        <w:rPr>
          <w:color w:val="auto"/>
        </w:rPr>
      </w:pPr>
      <w:r>
        <w:rPr>
          <w:color w:val="auto"/>
          <w:sz w:val="21"/>
        </w:rPr>
        <mc:AlternateContent>
          <mc:Choice Requires="wps">
            <w:drawing>
              <wp:anchor distT="0" distB="0" distL="114300" distR="114300" simplePos="0" relativeHeight="251682816" behindDoc="0" locked="0" layoutInCell="1" allowOverlap="1">
                <wp:simplePos x="0" y="0"/>
                <wp:positionH relativeFrom="column">
                  <wp:posOffset>1525905</wp:posOffset>
                </wp:positionH>
                <wp:positionV relativeFrom="paragraph">
                  <wp:posOffset>27305</wp:posOffset>
                </wp:positionV>
                <wp:extent cx="403225" cy="440055"/>
                <wp:effectExtent l="0" t="0" r="0" b="0"/>
                <wp:wrapNone/>
                <wp:docPr id="68" name="文本框 68"/>
                <wp:cNvGraphicFramePr/>
                <a:graphic xmlns:a="http://schemas.openxmlformats.org/drawingml/2006/main">
                  <a:graphicData uri="http://schemas.microsoft.com/office/word/2010/wordprocessingShape">
                    <wps:wsp>
                      <wps:cNvSpPr txBox="1"/>
                      <wps:spPr>
                        <a:xfrm>
                          <a:off x="2426335" y="1332865"/>
                          <a:ext cx="403225" cy="440055"/>
                        </a:xfrm>
                        <a:prstGeom prst="rect">
                          <a:avLst/>
                        </a:prstGeom>
                        <a:noFill/>
                        <a:ln>
                          <a:noFill/>
                        </a:ln>
                      </wps:spPr>
                      <wps:txbx>
                        <w:txbxContent>
                          <w:p>
                            <w:pPr>
                              <w:rPr>
                                <w:rFonts w:ascii="宋体" w:hAnsi="宋体"/>
                                <w:szCs w:val="21"/>
                              </w:rPr>
                            </w:pPr>
                            <w:r>
                              <w:rPr>
                                <w:rFonts w:hint="eastAsia" w:ascii="宋体" w:hAnsi="宋体"/>
                                <w:szCs w:val="21"/>
                              </w:rPr>
                              <w:t>噪声</w:t>
                            </w:r>
                          </w:p>
                        </w:txbxContent>
                      </wps:txbx>
                      <wps:bodyPr lIns="0" tIns="0" rIns="0" bIns="0" upright="1"/>
                    </wps:wsp>
                  </a:graphicData>
                </a:graphic>
              </wp:anchor>
            </w:drawing>
          </mc:Choice>
          <mc:Fallback>
            <w:pict>
              <v:shape id="_x0000_s1026" o:spid="_x0000_s1026" o:spt="202" type="#_x0000_t202" style="position:absolute;left:0pt;margin-left:120.15pt;margin-top:2.15pt;height:34.65pt;width:31.75pt;z-index:251682816;mso-width-relative:page;mso-height-relative:page;" filled="f" stroked="f" coordsize="21600,21600" o:gfxdata="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n7CUtcAAAAIAQAADwAAAAAAAAABACAAAAAiAAAAZHJzL2Rvd25y&#10;ZXYueG1sUEsBAhQAFAAAAAgAh07iQDvZh8vGAQAAfwMAAA4AAAAAAAAAAQAgAAAAJgEAAGRycy9l&#10;Mm9Eb2MueG1sUEsFBgAAAAAGAAYAWQEAAF4FAAAAAA==&#10;">
                <v:fill on="f" focussize="0,0"/>
                <v:stroke on="f"/>
                <v:imagedata o:title=""/>
                <o:lock v:ext="edit" aspectratio="f"/>
                <v:textbox inset="0mm,0mm,0mm,0mm">
                  <w:txbxContent>
                    <w:p>
                      <w:pPr>
                        <w:rPr>
                          <w:rFonts w:ascii="宋体" w:hAnsi="宋体"/>
                          <w:szCs w:val="21"/>
                        </w:rPr>
                      </w:pPr>
                      <w:r>
                        <w:rPr>
                          <w:rFonts w:hint="eastAsia" w:ascii="宋体" w:hAnsi="宋体"/>
                          <w:szCs w:val="21"/>
                        </w:rPr>
                        <w:t>噪声</w:t>
                      </w:r>
                    </w:p>
                  </w:txbxContent>
                </v:textbox>
              </v:shape>
            </w:pict>
          </mc:Fallback>
        </mc:AlternateContent>
      </w: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3365500</wp:posOffset>
                </wp:positionH>
                <wp:positionV relativeFrom="paragraph">
                  <wp:posOffset>114935</wp:posOffset>
                </wp:positionV>
                <wp:extent cx="403860" cy="0"/>
                <wp:effectExtent l="0" t="38100" r="15240" b="38100"/>
                <wp:wrapNone/>
                <wp:docPr id="66" name="直接连接符 66"/>
                <wp:cNvGraphicFramePr/>
                <a:graphic xmlns:a="http://schemas.openxmlformats.org/drawingml/2006/main">
                  <a:graphicData uri="http://schemas.microsoft.com/office/word/2010/wordprocessingShape">
                    <wps:wsp>
                      <wps:cNvCnPr/>
                      <wps:spPr>
                        <a:xfrm flipV="1">
                          <a:off x="4265930" y="1420495"/>
                          <a:ext cx="403860"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265pt;margin-top:9.05pt;height:0pt;width:31.8pt;z-index:251680768;mso-width-relative:page;mso-height-relative:page;" filled="f" stroked="t" coordsize="21600,21600" o:gfxdata="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xnCc61gAAAAkBAAAPAAAAAAAA&#10;AAEAIAAAACIAAABkcnMvZG93bnJldi54bWxQSwECFAAUAAAACACHTuJAJo6AmxQCAAD+AwAADgAA&#10;AAAAAAABACAAAAAlAQAAZHJzL2Uyb0RvYy54bWxQSwUGAAAAAAYABgBZAQAAqwUAAAAA&#10;">
                <v:fill on="f" focussize="0,0"/>
                <v:stroke color="#000000" joinstyle="round" dashstyle="dash" endarrow="block"/>
                <v:imagedata o:title=""/>
                <o:lock v:ext="edit" aspectratio="f"/>
              </v:line>
            </w:pict>
          </mc:Fallback>
        </mc:AlternateContent>
      </w: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1828800</wp:posOffset>
                </wp:positionH>
                <wp:positionV relativeFrom="paragraph">
                  <wp:posOffset>124460</wp:posOffset>
                </wp:positionV>
                <wp:extent cx="368935" cy="635"/>
                <wp:effectExtent l="0" t="37465" r="12065" b="38100"/>
                <wp:wrapNone/>
                <wp:docPr id="65" name="直接连接符 65"/>
                <wp:cNvGraphicFramePr/>
                <a:graphic xmlns:a="http://schemas.openxmlformats.org/drawingml/2006/main">
                  <a:graphicData uri="http://schemas.microsoft.com/office/word/2010/wordprocessingShape">
                    <wps:wsp>
                      <wps:cNvCnPr/>
                      <wps:spPr>
                        <a:xfrm rot="10800000" flipV="1">
                          <a:off x="2729230" y="1430020"/>
                          <a:ext cx="368935" cy="63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44pt;margin-top:9.8pt;height:0.05pt;width:29.05pt;rotation:11796480f;z-index:251679744;mso-width-relative:page;mso-height-relative:page;" filled="f" stroked="t" coordsize="21600,21600" o:gfxdata="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l7rv1wAAAAkBAAAP&#10;AAAAAAAAAAEAIAAAACIAAABkcnMvZG93bnJldi54bWxQSwECFAAUAAAACACHTuJA83ACKRkCAAAP&#10;BAAADgAAAAAAAAABACAAAAAmAQAAZHJzL2Uyb0RvYy54bWxQSwUGAAAAAAYABgBZAQAAsQUAAAAA&#10;">
                <v:fill on="f" focussize="0,0"/>
                <v:stroke color="#000000" joinstyle="round" dashstyle="dash" endarrow="block"/>
                <v:imagedata o:title=""/>
                <o:lock v:ext="edit" aspectratio="f"/>
              </v:line>
            </w:pict>
          </mc:Fallback>
        </mc:AlternateContent>
      </w:r>
    </w:p>
    <w:p>
      <w:pPr>
        <w:rPr>
          <w:color w:val="auto"/>
        </w:rPr>
      </w:pPr>
      <w:r>
        <w:rPr>
          <w:color w:val="auto"/>
          <w:sz w:val="21"/>
        </w:rPr>
        <mc:AlternateContent>
          <mc:Choice Requires="wps">
            <w:drawing>
              <wp:anchor distT="0" distB="0" distL="114300" distR="114300" simplePos="0" relativeHeight="251687936" behindDoc="0" locked="0" layoutInCell="1" allowOverlap="1">
                <wp:simplePos x="0" y="0"/>
                <wp:positionH relativeFrom="column">
                  <wp:posOffset>4003040</wp:posOffset>
                </wp:positionH>
                <wp:positionV relativeFrom="paragraph">
                  <wp:posOffset>92710</wp:posOffset>
                </wp:positionV>
                <wp:extent cx="874395" cy="352425"/>
                <wp:effectExtent l="0" t="0" r="0" b="0"/>
                <wp:wrapNone/>
                <wp:docPr id="75" name="文本框 75"/>
                <wp:cNvGraphicFramePr/>
                <a:graphic xmlns:a="http://schemas.openxmlformats.org/drawingml/2006/main">
                  <a:graphicData uri="http://schemas.microsoft.com/office/word/2010/wordprocessingShape">
                    <wps:wsp>
                      <wps:cNvSpPr txBox="1"/>
                      <wps:spPr>
                        <a:xfrm>
                          <a:off x="4903470" y="1600835"/>
                          <a:ext cx="874395" cy="352425"/>
                        </a:xfrm>
                        <a:prstGeom prst="rect">
                          <a:avLst/>
                        </a:prstGeom>
                        <a:noFill/>
                        <a:ln>
                          <a:noFill/>
                        </a:ln>
                      </wps:spPr>
                      <wps:txbx>
                        <w:txbxContent>
                          <w:p>
                            <w:pPr>
                              <w:spacing w:line="240" w:lineRule="exact"/>
                              <w:rPr>
                                <w:rFonts w:hint="eastAsia" w:ascii="宋体" w:hAnsi="宋体"/>
                                <w:spacing w:val="-10"/>
                                <w:szCs w:val="21"/>
                              </w:rPr>
                            </w:pPr>
                          </w:p>
                          <w:p>
                            <w:pPr>
                              <w:spacing w:line="240" w:lineRule="exact"/>
                              <w:rPr>
                                <w:rFonts w:ascii="宋体" w:hAnsi="宋体"/>
                                <w:spacing w:val="-10"/>
                                <w:szCs w:val="21"/>
                              </w:rPr>
                            </w:pPr>
                            <w:r>
                              <w:rPr>
                                <w:rFonts w:hint="eastAsia" w:ascii="宋体" w:hAnsi="宋体"/>
                                <w:spacing w:val="-10"/>
                                <w:szCs w:val="21"/>
                              </w:rPr>
                              <w:t>废弃钻井液</w:t>
                            </w:r>
                          </w:p>
                          <w:p>
                            <w:pPr>
                              <w:rPr>
                                <w:rFonts w:ascii="宋体" w:hAnsi="宋体"/>
                                <w:szCs w:val="21"/>
                              </w:rPr>
                            </w:pPr>
                          </w:p>
                        </w:txbxContent>
                      </wps:txbx>
                      <wps:bodyPr lIns="0" tIns="0" rIns="0" bIns="0" upright="1"/>
                    </wps:wsp>
                  </a:graphicData>
                </a:graphic>
              </wp:anchor>
            </w:drawing>
          </mc:Choice>
          <mc:Fallback>
            <w:pict>
              <v:shape id="_x0000_s1026" o:spid="_x0000_s1026" o:spt="202" type="#_x0000_t202" style="position:absolute;left:0pt;margin-left:315.2pt;margin-top:7.3pt;height:27.75pt;width:68.85pt;z-index:251687936;mso-width-relative:page;mso-height-relative:page;" filled="f" stroked="f" coordsize="21600,21600" o:gfxdata="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FpQH1wAAAAkBAAAPAAAAAAAAAAEAIAAAACIAAABkcnMvZG93&#10;bnJldi54bWxQSwECFAAUAAAACACHTuJA7uiN1sgBAAB/AwAADgAAAAAAAAABACAAAAAmAQAAZHJz&#10;L2Uyb0RvYy54bWxQSwUGAAAAAAYABgBZAQAAYAUAAAAA&#10;">
                <v:fill on="f" focussize="0,0"/>
                <v:stroke on="f"/>
                <v:imagedata o:title=""/>
                <o:lock v:ext="edit" aspectratio="f"/>
                <v:textbox inset="0mm,0mm,0mm,0mm">
                  <w:txbxContent>
                    <w:p>
                      <w:pPr>
                        <w:spacing w:line="240" w:lineRule="exact"/>
                        <w:rPr>
                          <w:rFonts w:hint="eastAsia" w:ascii="宋体" w:hAnsi="宋体"/>
                          <w:spacing w:val="-10"/>
                          <w:szCs w:val="21"/>
                        </w:rPr>
                      </w:pPr>
                    </w:p>
                    <w:p>
                      <w:pPr>
                        <w:spacing w:line="240" w:lineRule="exact"/>
                        <w:rPr>
                          <w:rFonts w:ascii="宋体" w:hAnsi="宋体"/>
                          <w:spacing w:val="-10"/>
                          <w:szCs w:val="21"/>
                        </w:rPr>
                      </w:pPr>
                      <w:r>
                        <w:rPr>
                          <w:rFonts w:hint="eastAsia" w:ascii="宋体" w:hAnsi="宋体"/>
                          <w:spacing w:val="-10"/>
                          <w:szCs w:val="21"/>
                        </w:rPr>
                        <w:t>废弃钻井液</w:t>
                      </w:r>
                    </w:p>
                    <w:p>
                      <w:pPr>
                        <w:rPr>
                          <w:rFonts w:ascii="宋体" w:hAnsi="宋体"/>
                          <w:szCs w:val="21"/>
                        </w:rPr>
                      </w:pPr>
                    </w:p>
                  </w:txbxContent>
                </v:textbox>
              </v:shape>
            </w:pict>
          </mc:Fallback>
        </mc:AlternateContent>
      </w:r>
    </w:p>
    <w:p>
      <w:pPr>
        <w:rPr>
          <w:color w:val="auto"/>
        </w:rPr>
      </w:pPr>
      <w:r>
        <w:rPr>
          <w:color w:val="auto"/>
          <w:sz w:val="21"/>
        </w:rPr>
        <mc:AlternateContent>
          <mc:Choice Requires="wps">
            <w:drawing>
              <wp:anchor distT="0" distB="0" distL="114300" distR="114300" simplePos="0" relativeHeight="251684864" behindDoc="0" locked="0" layoutInCell="1" allowOverlap="1">
                <wp:simplePos x="0" y="0"/>
                <wp:positionH relativeFrom="column">
                  <wp:posOffset>371475</wp:posOffset>
                </wp:positionH>
                <wp:positionV relativeFrom="paragraph">
                  <wp:posOffset>3175</wp:posOffset>
                </wp:positionV>
                <wp:extent cx="1324610" cy="357505"/>
                <wp:effectExtent l="0" t="0" r="0" b="0"/>
                <wp:wrapNone/>
                <wp:docPr id="71" name="文本框 71"/>
                <wp:cNvGraphicFramePr/>
                <a:graphic xmlns:a="http://schemas.openxmlformats.org/drawingml/2006/main">
                  <a:graphicData uri="http://schemas.microsoft.com/office/word/2010/wordprocessingShape">
                    <wps:wsp>
                      <wps:cNvSpPr txBox="1"/>
                      <wps:spPr>
                        <a:xfrm>
                          <a:off x="1271905" y="1713865"/>
                          <a:ext cx="1324610" cy="357505"/>
                        </a:xfrm>
                        <a:prstGeom prst="rect">
                          <a:avLst/>
                        </a:prstGeom>
                        <a:noFill/>
                        <a:ln>
                          <a:noFill/>
                        </a:ln>
                      </wps:spPr>
                      <wps:txbx>
                        <w:txbxContent>
                          <w:p>
                            <w:pPr>
                              <w:rPr>
                                <w:rFonts w:ascii="宋体" w:hAnsi="宋体"/>
                                <w:szCs w:val="21"/>
                              </w:rPr>
                            </w:pPr>
                            <w:r>
                              <w:rPr>
                                <w:rFonts w:hint="eastAsia" w:ascii="宋体" w:hAnsi="宋体"/>
                                <w:szCs w:val="21"/>
                              </w:rPr>
                              <w:t>钻井废水、生活污水</w:t>
                            </w:r>
                          </w:p>
                        </w:txbxContent>
                      </wps:txbx>
                      <wps:bodyPr lIns="0" tIns="0" rIns="0" bIns="0" upright="1"/>
                    </wps:wsp>
                  </a:graphicData>
                </a:graphic>
              </wp:anchor>
            </w:drawing>
          </mc:Choice>
          <mc:Fallback>
            <w:pict>
              <v:shape id="_x0000_s1026" o:spid="_x0000_s1026" o:spt="202" type="#_x0000_t202" style="position:absolute;left:0pt;margin-left:29.25pt;margin-top:0.25pt;height:28.15pt;width:104.3pt;z-index:251684864;mso-width-relative:page;mso-height-relative:page;" filled="f" stroked="f" coordsize="21600,21600" o:gfxdata="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04MkDUAAAABgEAAA8AAAAAAAAAAQAgAAAAIgAAAGRycy9kb3ducmV2&#10;LnhtbFBLAQIUABQAAAAIAIdO4kCc1PrcxwEAAIADAAAOAAAAAAAAAAEAIAAAACMBAABkcnMvZTJv&#10;RG9jLnhtbFBLBQYAAAAABgAGAFkBAABcBQAAAAA=&#10;">
                <v:fill on="f" focussize="0,0"/>
                <v:stroke on="f"/>
                <v:imagedata o:title=""/>
                <o:lock v:ext="edit" aspectratio="f"/>
                <v:textbox inset="0mm,0mm,0mm,0mm">
                  <w:txbxContent>
                    <w:p>
                      <w:pPr>
                        <w:rPr>
                          <w:rFonts w:ascii="宋体" w:hAnsi="宋体"/>
                          <w:szCs w:val="21"/>
                        </w:rPr>
                      </w:pPr>
                      <w:r>
                        <w:rPr>
                          <w:rFonts w:hint="eastAsia" w:ascii="宋体" w:hAnsi="宋体"/>
                          <w:szCs w:val="21"/>
                        </w:rPr>
                        <w:t>钻井废水、生活污水</w:t>
                      </w:r>
                    </w:p>
                  </w:txbxContent>
                </v:textbox>
              </v:shape>
            </w:pict>
          </mc:Fallback>
        </mc:AlternateContent>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3570605</wp:posOffset>
                </wp:positionH>
                <wp:positionV relativeFrom="paragraph">
                  <wp:posOffset>159385</wp:posOffset>
                </wp:positionV>
                <wp:extent cx="461010" cy="93345"/>
                <wp:effectExtent l="0" t="66040" r="0" b="88265"/>
                <wp:wrapNone/>
                <wp:docPr id="58" name="直接连接符 58"/>
                <wp:cNvGraphicFramePr/>
                <a:graphic xmlns:a="http://schemas.openxmlformats.org/drawingml/2006/main">
                  <a:graphicData uri="http://schemas.microsoft.com/office/word/2010/wordprocessingShape">
                    <wps:wsp>
                      <wps:cNvCnPr/>
                      <wps:spPr>
                        <a:xfrm rot="8400000" flipH="1" flipV="1">
                          <a:off x="4471035" y="1870075"/>
                          <a:ext cx="461010" cy="9334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281.15pt;margin-top:12.55pt;height:7.35pt;width:36.3pt;rotation:9175040f;z-index:251674624;mso-width-relative:page;mso-height-relative:page;" filled="f" stroked="t" coordsize="21600,21600" o:gfxdata="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8Rv&#10;yNoAAAAJAQAADwAAAAAAAAABACAAAAAiAAAAZHJzL2Rvd25yZXYueG1sUEsBAhQAFAAAAAgAh07i&#10;QMUayi0gAgAAGgQAAA4AAAAAAAAAAQAgAAAAKQEAAGRycy9lMm9Eb2MueG1sUEsFBgAAAAAGAAYA&#10;WQEAALsFAAAAAA==&#10;">
                <v:fill on="f" focussize="0,0"/>
                <v:stroke color="#000000" joinstyle="round" dashstyle="dash" endarrow="block"/>
                <v:imagedata o:title=""/>
                <o:lock v:ext="edit" aspectratio="f"/>
              </v:lin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1654810</wp:posOffset>
                </wp:positionH>
                <wp:positionV relativeFrom="paragraph">
                  <wp:posOffset>118745</wp:posOffset>
                </wp:positionV>
                <wp:extent cx="441960" cy="175260"/>
                <wp:effectExtent l="0" t="7620" r="15240" b="7620"/>
                <wp:wrapNone/>
                <wp:docPr id="49" name="直接连接符 49"/>
                <wp:cNvGraphicFramePr/>
                <a:graphic xmlns:a="http://schemas.openxmlformats.org/drawingml/2006/main">
                  <a:graphicData uri="http://schemas.microsoft.com/office/word/2010/wordprocessingShape">
                    <wps:wsp>
                      <wps:cNvCnPr/>
                      <wps:spPr>
                        <a:xfrm flipH="1" flipV="1">
                          <a:off x="2555240" y="1829435"/>
                          <a:ext cx="441960" cy="17526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130.3pt;margin-top:9.35pt;height:13.8pt;width:34.8pt;z-index:251670528;mso-width-relative:page;mso-height-relative:page;" filled="f" stroked="t" coordsize="21600,21600" o:gfxdata="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Ihp1wAAAAkBAAAP&#10;AAAAAAAAAAEAIAAAACIAAABkcnMvZG93bnJldi54bWxQSwECFAAUAAAACACHTuJAyvT7sBkCAAAN&#10;BAAADgAAAAAAAAABACAAAAAmAQAAZHJzL2Uyb0RvYy54bWxQSwUGAAAAAAYABgBZAQAAsQUAAAAA&#10;">
                <v:fill on="f" focussize="0,0"/>
                <v:stroke color="#000000" joinstyle="round" dashstyle="dash" endarrow="block"/>
                <v:imagedata o:title=""/>
                <o:lock v:ext="edit" aspectratio="f"/>
              </v:line>
            </w:pict>
          </mc:Fallback>
        </mc:AlternateContent>
      </w:r>
    </w:p>
    <w:p>
      <w:pPr>
        <w:rPr>
          <w:color w:val="auto"/>
        </w:rPr>
      </w:pPr>
      <w:r>
        <w:rPr>
          <w:color w:val="auto"/>
          <w:sz w:val="21"/>
        </w:rPr>
        <mc:AlternateContent>
          <mc:Choice Requires="wps">
            <w:drawing>
              <wp:anchor distT="0" distB="0" distL="114300" distR="114300" simplePos="0" relativeHeight="251688960" behindDoc="0" locked="0" layoutInCell="1" allowOverlap="1">
                <wp:simplePos x="0" y="0"/>
                <wp:positionH relativeFrom="column">
                  <wp:posOffset>4014470</wp:posOffset>
                </wp:positionH>
                <wp:positionV relativeFrom="paragraph">
                  <wp:posOffset>53975</wp:posOffset>
                </wp:positionV>
                <wp:extent cx="668655" cy="379095"/>
                <wp:effectExtent l="0" t="0" r="0" b="0"/>
                <wp:wrapNone/>
                <wp:docPr id="76" name="文本框 76"/>
                <wp:cNvGraphicFramePr/>
                <a:graphic xmlns:a="http://schemas.openxmlformats.org/drawingml/2006/main">
                  <a:graphicData uri="http://schemas.microsoft.com/office/word/2010/wordprocessingShape">
                    <wps:wsp>
                      <wps:cNvSpPr txBox="1"/>
                      <wps:spPr>
                        <a:xfrm>
                          <a:off x="4914900" y="1967230"/>
                          <a:ext cx="668655" cy="379095"/>
                        </a:xfrm>
                        <a:prstGeom prst="rect">
                          <a:avLst/>
                        </a:prstGeom>
                        <a:noFill/>
                        <a:ln>
                          <a:noFill/>
                        </a:ln>
                      </wps:spPr>
                      <wps:txbx>
                        <w:txbxContent>
                          <w:p>
                            <w:pPr>
                              <w:rPr>
                                <w:rFonts w:ascii="宋体" w:hAnsi="宋体"/>
                                <w:szCs w:val="21"/>
                              </w:rPr>
                            </w:pPr>
                            <w:r>
                              <w:rPr>
                                <w:rFonts w:hint="eastAsia" w:ascii="宋体" w:hAnsi="宋体"/>
                                <w:szCs w:val="21"/>
                              </w:rPr>
                              <w:t>钻井岩屑</w:t>
                            </w:r>
                          </w:p>
                        </w:txbxContent>
                      </wps:txbx>
                      <wps:bodyPr lIns="0" tIns="0" rIns="0" bIns="0" upright="1"/>
                    </wps:wsp>
                  </a:graphicData>
                </a:graphic>
              </wp:anchor>
            </w:drawing>
          </mc:Choice>
          <mc:Fallback>
            <w:pict>
              <v:shape id="_x0000_s1026" o:spid="_x0000_s1026" o:spt="202" type="#_x0000_t202" style="position:absolute;left:0pt;margin-left:316.1pt;margin-top:4.25pt;height:29.85pt;width:52.65pt;z-index:251688960;mso-width-relative:page;mso-height-relative:page;" filled="f" stroked="f" coordsize="21600,21600" o:gfxdata="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XpMBnXAAAACAEAAA8AAAAAAAAAAQAgAAAAIgAAAGRycy9kb3du&#10;cmV2LnhtbFBLAQIUABQAAAAIAIdO4kCkLmHCxwEAAH8DAAAOAAAAAAAAAAEAIAAAACYBAABkcnMv&#10;ZTJvRG9jLnhtbFBLBQYAAAAABgAGAFkBAABfBQAAAAA=&#10;">
                <v:fill on="f" focussize="0,0"/>
                <v:stroke on="f"/>
                <v:imagedata o:title=""/>
                <o:lock v:ext="edit" aspectratio="f"/>
                <v:textbox inset="0mm,0mm,0mm,0mm">
                  <w:txbxContent>
                    <w:p>
                      <w:pPr>
                        <w:rPr>
                          <w:rFonts w:ascii="宋体" w:hAnsi="宋体"/>
                          <w:szCs w:val="21"/>
                        </w:rPr>
                      </w:pPr>
                      <w:r>
                        <w:rPr>
                          <w:rFonts w:hint="eastAsia" w:ascii="宋体" w:hAnsi="宋体"/>
                          <w:szCs w:val="21"/>
                        </w:rPr>
                        <w:t>钻井岩屑</w:t>
                      </w:r>
                    </w:p>
                  </w:txbxContent>
                </v:textbox>
              </v:shape>
            </w:pict>
          </mc:Fallback>
        </mc:AlternateContent>
      </w:r>
      <w:r>
        <w:rPr>
          <w:color w:val="auto"/>
          <w:sz w:val="21"/>
        </w:rPr>
        <mc:AlternateContent>
          <mc:Choice Requires="wps">
            <w:drawing>
              <wp:anchor distT="0" distB="0" distL="114300" distR="114300" simplePos="0" relativeHeight="251686912" behindDoc="0" locked="0" layoutInCell="1" allowOverlap="1">
                <wp:simplePos x="0" y="0"/>
                <wp:positionH relativeFrom="column">
                  <wp:posOffset>219075</wp:posOffset>
                </wp:positionH>
                <wp:positionV relativeFrom="paragraph">
                  <wp:posOffset>36195</wp:posOffset>
                </wp:positionV>
                <wp:extent cx="1390650" cy="297815"/>
                <wp:effectExtent l="0" t="0" r="0" b="0"/>
                <wp:wrapNone/>
                <wp:docPr id="73" name="文本框 73"/>
                <wp:cNvGraphicFramePr/>
                <a:graphic xmlns:a="http://schemas.openxmlformats.org/drawingml/2006/main">
                  <a:graphicData uri="http://schemas.microsoft.com/office/word/2010/wordprocessingShape">
                    <wps:wsp>
                      <wps:cNvSpPr txBox="1"/>
                      <wps:spPr>
                        <a:xfrm>
                          <a:off x="1119505" y="1949450"/>
                          <a:ext cx="1390650" cy="297815"/>
                        </a:xfrm>
                        <a:prstGeom prst="rect">
                          <a:avLst/>
                        </a:prstGeom>
                        <a:noFill/>
                        <a:ln>
                          <a:noFill/>
                        </a:ln>
                      </wps:spPr>
                      <wps:txbx>
                        <w:txbxContent>
                          <w:p>
                            <w:pPr>
                              <w:spacing w:line="240" w:lineRule="exact"/>
                              <w:jc w:val="center"/>
                              <w:rPr>
                                <w:rFonts w:hint="default" w:ascii="宋体" w:hAnsi="宋体" w:eastAsia="宋体"/>
                                <w:szCs w:val="21"/>
                                <w:lang w:val="en-US" w:eastAsia="zh-CN"/>
                              </w:rPr>
                            </w:pPr>
                            <w:r>
                              <w:rPr>
                                <w:rFonts w:hint="eastAsia" w:ascii="宋体" w:hAnsi="宋体"/>
                                <w:szCs w:val="21"/>
                              </w:rPr>
                              <w:t>废弃包装袋、废弃防渗布、生活垃圾</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KOH</w:t>
                            </w:r>
                            <w:r>
                              <w:rPr>
                                <w:rFonts w:hint="eastAsia" w:ascii="宋体" w:hAnsi="宋体"/>
                                <w:szCs w:val="21"/>
                                <w:lang w:val="en-US" w:eastAsia="zh-CN"/>
                              </w:rPr>
                              <w:t>包装袋</w:t>
                            </w:r>
                          </w:p>
                        </w:txbxContent>
                      </wps:txbx>
                      <wps:bodyPr lIns="0" tIns="0" rIns="0" bIns="0" upright="1"/>
                    </wps:wsp>
                  </a:graphicData>
                </a:graphic>
              </wp:anchor>
            </w:drawing>
          </mc:Choice>
          <mc:Fallback>
            <w:pict>
              <v:shape id="_x0000_s1026" o:spid="_x0000_s1026" o:spt="202" type="#_x0000_t202" style="position:absolute;left:0pt;margin-left:17.25pt;margin-top:2.85pt;height:23.45pt;width:109.5pt;z-index:251686912;mso-width-relative:page;mso-height-relative:page;" filled="f" stroked="f" coordsize="21600,21600" o:gfxdata="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pYtPHVAAAABwEAAA8AAAAAAAAAAQAgAAAAIgAAAGRycy9kb3ducmV2&#10;LnhtbFBLAQIUABQAAAAIAIdO4kAnVHIUxgEAAIADAAAOAAAAAAAAAAEAIAAAACQBAABkcnMvZTJv&#10;RG9jLnhtbFBLBQYAAAAABgAGAFkBAABcBQAAAAA=&#10;">
                <v:fill on="f" focussize="0,0"/>
                <v:stroke on="f"/>
                <v:imagedata o:title=""/>
                <o:lock v:ext="edit" aspectratio="f"/>
                <v:textbox inset="0mm,0mm,0mm,0mm">
                  <w:txbxContent>
                    <w:p>
                      <w:pPr>
                        <w:spacing w:line="240" w:lineRule="exact"/>
                        <w:jc w:val="center"/>
                        <w:rPr>
                          <w:rFonts w:hint="default" w:ascii="宋体" w:hAnsi="宋体" w:eastAsia="宋体"/>
                          <w:szCs w:val="21"/>
                          <w:lang w:val="en-US" w:eastAsia="zh-CN"/>
                        </w:rPr>
                      </w:pPr>
                      <w:r>
                        <w:rPr>
                          <w:rFonts w:hint="eastAsia" w:ascii="宋体" w:hAnsi="宋体"/>
                          <w:szCs w:val="21"/>
                        </w:rPr>
                        <w:t>废弃包装袋、废弃防渗布、生活垃圾</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KOH</w:t>
                      </w:r>
                      <w:r>
                        <w:rPr>
                          <w:rFonts w:hint="eastAsia" w:ascii="宋体" w:hAnsi="宋体"/>
                          <w:szCs w:val="21"/>
                          <w:lang w:val="en-US" w:eastAsia="zh-CN"/>
                        </w:rPr>
                        <w:t>包装袋</w:t>
                      </w:r>
                    </w:p>
                  </w:txbxContent>
                </v:textbox>
              </v:shape>
            </w:pict>
          </mc:Fallback>
        </mc:AlternateContent>
      </w: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3576320</wp:posOffset>
                </wp:positionH>
                <wp:positionV relativeFrom="paragraph">
                  <wp:posOffset>172720</wp:posOffset>
                </wp:positionV>
                <wp:extent cx="445135" cy="0"/>
                <wp:effectExtent l="0" t="38100" r="12065" b="38100"/>
                <wp:wrapNone/>
                <wp:docPr id="59" name="直接连接符 59"/>
                <wp:cNvGraphicFramePr/>
                <a:graphic xmlns:a="http://schemas.openxmlformats.org/drawingml/2006/main">
                  <a:graphicData uri="http://schemas.microsoft.com/office/word/2010/wordprocessingShape">
                    <wps:wsp>
                      <wps:cNvCnPr/>
                      <wps:spPr>
                        <a:xfrm rot="10800000" flipH="1" flipV="1">
                          <a:off x="4476750" y="2085975"/>
                          <a:ext cx="445135"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281.6pt;margin-top:13.6pt;height:0pt;width:35.05pt;rotation:11796480f;z-index:251675648;mso-width-relative:page;mso-height-relative:page;" filled="f" stroked="t" coordsize="21600,21600" o:gfxdata="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3UTZ1gAAAAkB&#10;AAAPAAAAAAAAAAEAIAAAACIAAABkcnMvZG93bnJldi54bWxQSwECFAAUAAAACACHTuJAJ9/ugh0C&#10;AAAXBAAADgAAAAAAAAABACAAAAAlAQAAZHJzL2Uyb0RvYy54bWxQSwUGAAAAAAYABgBZAQAAtAUA&#10;AAAA&#10;">
                <v:fill on="f" focussize="0,0"/>
                <v:stroke color="#000000" joinstyle="round" dashstyle="dash" endarrow="block"/>
                <v:imagedata o:title=""/>
                <o:lock v:ext="edit" aspectratio="f"/>
              </v:lin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1677670</wp:posOffset>
                </wp:positionH>
                <wp:positionV relativeFrom="paragraph">
                  <wp:posOffset>1905</wp:posOffset>
                </wp:positionV>
                <wp:extent cx="385445" cy="343535"/>
                <wp:effectExtent l="65405" t="0" r="82550" b="0"/>
                <wp:wrapNone/>
                <wp:docPr id="51" name="直接连接符 51"/>
                <wp:cNvGraphicFramePr/>
                <a:graphic xmlns:a="http://schemas.openxmlformats.org/drawingml/2006/main">
                  <a:graphicData uri="http://schemas.microsoft.com/office/word/2010/wordprocessingShape">
                    <wps:wsp>
                      <wps:cNvCnPr/>
                      <wps:spPr>
                        <a:xfrm rot="19200000" flipH="1" flipV="1">
                          <a:off x="2578100" y="1915160"/>
                          <a:ext cx="385445" cy="34353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132.1pt;margin-top:0.15pt;height:27.05pt;width:30.35pt;rotation:-2621440f;z-index:251672576;mso-width-relative:page;mso-height-relative:page;" filled="f" stroked="t" coordsize="21600,21600" o:gfxdata="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1RL4rUAAAA&#10;BwEAAA8AAAAAAAAAAQAgAAAAIgAAAGRycy9kb3ducmV2LnhtbFBLAQIUABQAAAAIAIdO4kCDYJKh&#10;IQIAABwEAAAOAAAAAAAAAAEAIAAAACMBAABkcnMvZTJvRG9jLnhtbFBLBQYAAAAABgAGAFkBAAC2&#10;BQAAAAA=&#10;">
                <v:fill on="f" focussize="0,0"/>
                <v:stroke color="#000000" joinstyle="round" dashstyle="dash" endarrow="block"/>
                <v:imagedata o:title=""/>
                <o:lock v:ext="edit" aspectratio="f"/>
              </v:lin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1637030</wp:posOffset>
                </wp:positionH>
                <wp:positionV relativeFrom="paragraph">
                  <wp:posOffset>200025</wp:posOffset>
                </wp:positionV>
                <wp:extent cx="459740" cy="229870"/>
                <wp:effectExtent l="20320" t="0" r="34290" b="0"/>
                <wp:wrapNone/>
                <wp:docPr id="50" name="直接连接符 50"/>
                <wp:cNvGraphicFramePr/>
                <a:graphic xmlns:a="http://schemas.openxmlformats.org/drawingml/2006/main">
                  <a:graphicData uri="http://schemas.microsoft.com/office/word/2010/wordprocessingShape">
                    <wps:wsp>
                      <wps:cNvCnPr/>
                      <wps:spPr>
                        <a:xfrm rot="19200000" flipH="1" flipV="1">
                          <a:off x="2537460" y="2113280"/>
                          <a:ext cx="459740" cy="22987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128.9pt;margin-top:15.75pt;height:18.1pt;width:36.2pt;rotation:-2621440f;z-index:251671552;mso-width-relative:page;mso-height-relative:page;" filled="f" stroked="t" coordsize="21600,21600" o:gfxdata="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0lkZ1QAA&#10;AAkBAAAPAAAAAAAAAAEAIAAAACIAAABkcnMvZG93bnJldi54bWxQSwECFAAUAAAACACHTuJA4kNG&#10;9CECAAAcBAAADgAAAAAAAAABACAAAAAkAQAAZHJzL2Uyb0RvYy54bWxQSwUGAAAAAAYABgBZAQAA&#10;twUAAAAA&#10;">
                <v:fill on="f" focussize="0,0"/>
                <v:stroke color="#000000" joinstyle="round" dashstyle="dash" endarrow="block"/>
                <v:imagedata o:title=""/>
                <o:lock v:ext="edit" aspectratio="f"/>
              </v:line>
            </w:pict>
          </mc:Fallback>
        </mc:AlternateContent>
      </w:r>
    </w:p>
    <w:p>
      <w:pPr>
        <w:rPr>
          <w:color w:val="auto"/>
        </w:rPr>
      </w:pPr>
      <w:r>
        <w:rPr>
          <w:color w:val="auto"/>
          <w:sz w:val="21"/>
        </w:rPr>
        <mc:AlternateContent>
          <mc:Choice Requires="wps">
            <w:drawing>
              <wp:anchor distT="0" distB="0" distL="114300" distR="114300" simplePos="0" relativeHeight="251685888" behindDoc="0" locked="0" layoutInCell="1" allowOverlap="1">
                <wp:simplePos x="0" y="0"/>
                <wp:positionH relativeFrom="column">
                  <wp:posOffset>1299845</wp:posOffset>
                </wp:positionH>
                <wp:positionV relativeFrom="paragraph">
                  <wp:posOffset>109855</wp:posOffset>
                </wp:positionV>
                <wp:extent cx="400050" cy="342265"/>
                <wp:effectExtent l="0" t="0" r="0" b="0"/>
                <wp:wrapNone/>
                <wp:docPr id="72" name="文本框 72"/>
                <wp:cNvGraphicFramePr/>
                <a:graphic xmlns:a="http://schemas.openxmlformats.org/drawingml/2006/main">
                  <a:graphicData uri="http://schemas.microsoft.com/office/word/2010/wordprocessingShape">
                    <wps:wsp>
                      <wps:cNvSpPr txBox="1"/>
                      <wps:spPr>
                        <a:xfrm>
                          <a:off x="2200275" y="2225675"/>
                          <a:ext cx="400050" cy="342265"/>
                        </a:xfrm>
                        <a:prstGeom prst="rect">
                          <a:avLst/>
                        </a:prstGeom>
                        <a:noFill/>
                        <a:ln>
                          <a:noFill/>
                        </a:ln>
                      </wps:spPr>
                      <wps:txbx>
                        <w:txbxContent>
                          <w:p>
                            <w:pPr>
                              <w:rPr>
                                <w:rFonts w:ascii="宋体" w:hAnsi="宋体"/>
                                <w:szCs w:val="21"/>
                              </w:rPr>
                            </w:pPr>
                            <w:r>
                              <w:rPr>
                                <w:rFonts w:hint="eastAsia" w:ascii="宋体" w:hAnsi="宋体"/>
                                <w:szCs w:val="21"/>
                              </w:rPr>
                              <w:t>噪声</w:t>
                            </w:r>
                          </w:p>
                        </w:txbxContent>
                      </wps:txbx>
                      <wps:bodyPr lIns="0" tIns="0" rIns="0" bIns="0" upright="1"/>
                    </wps:wsp>
                  </a:graphicData>
                </a:graphic>
              </wp:anchor>
            </w:drawing>
          </mc:Choice>
          <mc:Fallback>
            <w:pict>
              <v:shape id="_x0000_s1026" o:spid="_x0000_s1026" o:spt="202" type="#_x0000_t202" style="position:absolute;left:0pt;margin-left:102.35pt;margin-top:8.65pt;height:26.95pt;width:31.5pt;z-index:251685888;mso-width-relative:page;mso-height-relative:page;" filled="f" stroked="f" coordsize="21600,21600" o:gfxdata="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JVhC3XAAAACQEAAA8AAAAAAAAAAQAgAAAAIgAAAGRycy9kb3ducmV2&#10;LnhtbFBLAQIUABQAAAAIAIdO4kCO1Z/ZxAEAAH8DAAAOAAAAAAAAAAEAIAAAACYBAABkcnMvZTJv&#10;RG9jLnhtbFBLBQYAAAAABgAGAFkBAABcBQAAAAA=&#10;">
                <v:fill on="f" focussize="0,0"/>
                <v:stroke on="f"/>
                <v:imagedata o:title=""/>
                <o:lock v:ext="edit" aspectratio="f"/>
                <v:textbox inset="0mm,0mm,0mm,0mm">
                  <w:txbxContent>
                    <w:p>
                      <w:pPr>
                        <w:rPr>
                          <w:rFonts w:ascii="宋体" w:hAnsi="宋体"/>
                          <w:szCs w:val="21"/>
                        </w:rPr>
                      </w:pPr>
                      <w:r>
                        <w:rPr>
                          <w:rFonts w:hint="eastAsia" w:ascii="宋体" w:hAnsi="宋体"/>
                          <w:szCs w:val="21"/>
                        </w:rPr>
                        <w:t>噪声</w:t>
                      </w:r>
                    </w:p>
                  </w:txbxContent>
                </v:textbox>
              </v:shape>
            </w:pict>
          </mc:Fallback>
        </mc:AlternateContent>
      </w:r>
      <w:r>
        <w:rPr>
          <w:color w:val="auto"/>
          <w:sz w:val="21"/>
        </w:rPr>
        <mc:AlternateContent>
          <mc:Choice Requires="wps">
            <w:drawing>
              <wp:anchor distT="0" distB="0" distL="114300" distR="114300" simplePos="0" relativeHeight="251683840" behindDoc="0" locked="0" layoutInCell="1" allowOverlap="1">
                <wp:simplePos x="0" y="0"/>
                <wp:positionH relativeFrom="column">
                  <wp:posOffset>4044950</wp:posOffset>
                </wp:positionH>
                <wp:positionV relativeFrom="paragraph">
                  <wp:posOffset>188595</wp:posOffset>
                </wp:positionV>
                <wp:extent cx="832485" cy="297180"/>
                <wp:effectExtent l="0" t="0" r="0" b="0"/>
                <wp:wrapNone/>
                <wp:docPr id="69" name="文本框 69"/>
                <wp:cNvGraphicFramePr/>
                <a:graphic xmlns:a="http://schemas.openxmlformats.org/drawingml/2006/main">
                  <a:graphicData uri="http://schemas.microsoft.com/office/word/2010/wordprocessingShape">
                    <wps:wsp>
                      <wps:cNvSpPr txBox="1"/>
                      <wps:spPr>
                        <a:xfrm>
                          <a:off x="4945380" y="2304415"/>
                          <a:ext cx="832485" cy="297180"/>
                        </a:xfrm>
                        <a:prstGeom prst="rect">
                          <a:avLst/>
                        </a:prstGeom>
                        <a:noFill/>
                        <a:ln>
                          <a:noFill/>
                        </a:ln>
                      </wps:spPr>
                      <wps:txbx>
                        <w:txbxContent>
                          <w:p>
                            <w:pPr>
                              <w:spacing w:line="240" w:lineRule="exact"/>
                              <w:rPr>
                                <w:rFonts w:ascii="宋体" w:hAnsi="宋体"/>
                                <w:szCs w:val="21"/>
                              </w:rPr>
                            </w:pPr>
                            <w:r>
                              <w:rPr>
                                <w:rFonts w:hint="eastAsia" w:ascii="宋体" w:hAnsi="宋体"/>
                                <w:szCs w:val="21"/>
                              </w:rPr>
                              <w:t>废气</w:t>
                            </w:r>
                          </w:p>
                        </w:txbxContent>
                      </wps:txbx>
                      <wps:bodyPr lIns="0" tIns="0" rIns="0" bIns="0" upright="1"/>
                    </wps:wsp>
                  </a:graphicData>
                </a:graphic>
              </wp:anchor>
            </w:drawing>
          </mc:Choice>
          <mc:Fallback>
            <w:pict>
              <v:shape id="_x0000_s1026" o:spid="_x0000_s1026" o:spt="202" type="#_x0000_t202" style="position:absolute;left:0pt;margin-left:318.5pt;margin-top:14.85pt;height:23.4pt;width:65.55pt;z-index:251683840;mso-width-relative:page;mso-height-relative:page;" filled="f" stroked="f" coordsize="21600,21600" o:gfxdata="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uK4vTZAAAACQEAAA8AAAAAAAAAAQAgAAAAIgAAAGRycy9k&#10;b3ducmV2LnhtbFBLAQIUABQAAAAIAIdO4kB/FrucyAEAAH8DAAAOAAAAAAAAAAEAIAAAACgBAABk&#10;cnMvZTJvRG9jLnhtbFBLBQYAAAAABgAGAFkBAABiBQAAAAA=&#10;">
                <v:fill on="f" focussize="0,0"/>
                <v:stroke on="f"/>
                <v:imagedata o:title=""/>
                <o:lock v:ext="edit" aspectratio="f"/>
                <v:textbox inset="0mm,0mm,0mm,0mm">
                  <w:txbxContent>
                    <w:p>
                      <w:pPr>
                        <w:spacing w:line="240" w:lineRule="exact"/>
                        <w:rPr>
                          <w:rFonts w:ascii="宋体" w:hAnsi="宋体"/>
                          <w:szCs w:val="21"/>
                        </w:rPr>
                      </w:pPr>
                      <w:r>
                        <w:rPr>
                          <w:rFonts w:hint="eastAsia" w:ascii="宋体" w:hAnsi="宋体"/>
                          <w:szCs w:val="21"/>
                        </w:rPr>
                        <w:t>废气</w:t>
                      </w:r>
                    </w:p>
                  </w:txbxContent>
                </v:textbox>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3601720</wp:posOffset>
                </wp:positionH>
                <wp:positionV relativeFrom="paragraph">
                  <wp:posOffset>15240</wp:posOffset>
                </wp:positionV>
                <wp:extent cx="448945" cy="244475"/>
                <wp:effectExtent l="2540" t="4445" r="5715" b="17780"/>
                <wp:wrapNone/>
                <wp:docPr id="52" name="直接连接符 52"/>
                <wp:cNvGraphicFramePr/>
                <a:graphic xmlns:a="http://schemas.openxmlformats.org/drawingml/2006/main">
                  <a:graphicData uri="http://schemas.microsoft.com/office/word/2010/wordprocessingShape">
                    <wps:wsp>
                      <wps:cNvCnPr/>
                      <wps:spPr>
                        <a:xfrm rot="10800000" flipH="1" flipV="1">
                          <a:off x="4502150" y="2131060"/>
                          <a:ext cx="448945" cy="24447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283.6pt;margin-top:1.2pt;height:19.25pt;width:35.35pt;rotation:11796480f;z-index:251673600;mso-width-relative:page;mso-height-relative:page;" filled="f" stroked="t" coordsize="21600,21600" o:gfxdata="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6QJdcA&#10;AAAIAQAADwAAAAAAAAABACAAAAAiAAAAZHJzL2Rvd25yZXYueG1sUEsBAhQAFAAAAAgAh07iQCWF&#10;RrwgAgAAHAQAAA4AAAAAAAAAAQAgAAAAJgEAAGRycy9lMm9Eb2MueG1sUEsFBgAAAAAGAAYAWQEA&#10;ALgFAAAAAA==&#10;">
                <v:fill on="f" focussize="0,0"/>
                <v:stroke color="#000000" joinstyle="round" dashstyle="dash" endarrow="block"/>
                <v:imagedata o:title=""/>
                <o:lock v:ext="edit" aspectratio="f"/>
              </v:line>
            </w:pict>
          </mc:Fallback>
        </mc:AlternateContent>
      </w:r>
    </w:p>
    <w:p>
      <w:pPr>
        <w:rPr>
          <w:color w:val="auto"/>
        </w:rPr>
      </w:pPr>
      <w:r>
        <w:rPr>
          <w:color w:val="auto"/>
          <w:sz w:val="21"/>
        </w:rPr>
        <mc:AlternateContent>
          <mc:Choice Requires="wps">
            <w:drawing>
              <wp:anchor distT="0" distB="0" distL="114300" distR="114300" simplePos="0" relativeHeight="251693056" behindDoc="0" locked="0" layoutInCell="1" allowOverlap="1">
                <wp:simplePos x="0" y="0"/>
                <wp:positionH relativeFrom="column">
                  <wp:posOffset>1009015</wp:posOffset>
                </wp:positionH>
                <wp:positionV relativeFrom="paragraph">
                  <wp:posOffset>134620</wp:posOffset>
                </wp:positionV>
                <wp:extent cx="791845" cy="30543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791845" cy="305435"/>
                        </a:xfrm>
                        <a:prstGeom prst="rect">
                          <a:avLst/>
                        </a:prstGeom>
                        <a:noFill/>
                        <a:ln>
                          <a:noFill/>
                        </a:ln>
                      </wps:spPr>
                      <wps:txbx>
                        <w:txbxContent>
                          <w:p>
                            <w:pPr>
                              <w:spacing w:line="240" w:lineRule="exact"/>
                              <w:rPr>
                                <w:rFonts w:hint="eastAsia" w:ascii="宋体" w:hAnsi="宋体"/>
                                <w:spacing w:val="-10"/>
                                <w:szCs w:val="21"/>
                              </w:rPr>
                            </w:pPr>
                          </w:p>
                          <w:p>
                            <w:pPr>
                              <w:spacing w:line="240" w:lineRule="exact"/>
                              <w:rPr>
                                <w:rFonts w:hint="default" w:ascii="宋体" w:hAnsi="宋体" w:eastAsia="宋体"/>
                                <w:szCs w:val="21"/>
                                <w:lang w:val="en-US" w:eastAsia="zh-CN"/>
                              </w:rPr>
                            </w:pPr>
                            <w:r>
                              <w:rPr>
                                <w:rFonts w:hint="eastAsia" w:ascii="宋体" w:hAnsi="宋体"/>
                                <w:szCs w:val="21"/>
                                <w:lang w:val="en-US" w:eastAsia="zh-CN"/>
                              </w:rPr>
                              <w:t xml:space="preserve"> 试气产液</w:t>
                            </w:r>
                          </w:p>
                          <w:p>
                            <w:pPr>
                              <w:rPr>
                                <w:rFonts w:ascii="宋体" w:hAnsi="宋体"/>
                                <w:szCs w:val="21"/>
                              </w:rPr>
                            </w:pPr>
                          </w:p>
                        </w:txbxContent>
                      </wps:txbx>
                      <wps:bodyPr lIns="0" tIns="0" rIns="0" bIns="0" upright="1"/>
                    </wps:wsp>
                  </a:graphicData>
                </a:graphic>
              </wp:anchor>
            </w:drawing>
          </mc:Choice>
          <mc:Fallback>
            <w:pict>
              <v:shape id="_x0000_s1026" o:spid="_x0000_s1026" o:spt="202" type="#_x0000_t202" style="position:absolute;left:0pt;margin-left:79.45pt;margin-top:10.6pt;height:24.05pt;width:62.35pt;z-index:251693056;mso-width-relative:page;mso-height-relative:page;" filled="f" stroked="f" coordsize="21600,21600" o:gfxdata="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KQI6rYAAAACQEAAA8AAAAAAAAAAQAgAAAAIgAAAGRycy9kb3ducmV2LnhtbFBL&#10;AQIUABQAAAAIAIdO4kCJ52s9vQEAAHMDAAAOAAAAAAAAAAEAIAAAACcBAABkcnMvZTJvRG9jLnht&#10;bFBLBQYAAAAABgAGAFkBAABWBQAAAAA=&#10;">
                <v:fill on="f" focussize="0,0"/>
                <v:stroke on="f"/>
                <v:imagedata o:title=""/>
                <o:lock v:ext="edit" aspectratio="f"/>
                <v:textbox inset="0mm,0mm,0mm,0mm">
                  <w:txbxContent>
                    <w:p>
                      <w:pPr>
                        <w:spacing w:line="240" w:lineRule="exact"/>
                        <w:rPr>
                          <w:rFonts w:hint="eastAsia" w:ascii="宋体" w:hAnsi="宋体"/>
                          <w:spacing w:val="-10"/>
                          <w:szCs w:val="21"/>
                        </w:rPr>
                      </w:pPr>
                    </w:p>
                    <w:p>
                      <w:pPr>
                        <w:spacing w:line="240" w:lineRule="exact"/>
                        <w:rPr>
                          <w:rFonts w:hint="default" w:ascii="宋体" w:hAnsi="宋体" w:eastAsia="宋体"/>
                          <w:szCs w:val="21"/>
                          <w:lang w:val="en-US" w:eastAsia="zh-CN"/>
                        </w:rPr>
                      </w:pPr>
                      <w:r>
                        <w:rPr>
                          <w:rFonts w:hint="eastAsia" w:ascii="宋体" w:hAnsi="宋体"/>
                          <w:szCs w:val="21"/>
                          <w:lang w:val="en-US" w:eastAsia="zh-CN"/>
                        </w:rPr>
                        <w:t xml:space="preserve"> 试气产液</w:t>
                      </w:r>
                    </w:p>
                    <w:p>
                      <w:pPr>
                        <w:rPr>
                          <w:rFonts w:ascii="宋体" w:hAnsi="宋体"/>
                          <w:szCs w:val="21"/>
                        </w:rPr>
                      </w:pPr>
                    </w:p>
                  </w:txbxContent>
                </v:textbox>
              </v:shape>
            </w:pict>
          </mc:Fallback>
        </mc:AlternateContent>
      </w:r>
      <w:r>
        <w:rPr>
          <w:color w:val="auto"/>
          <w:sz w:val="21"/>
        </w:rPr>
        <mc:AlternateContent>
          <mc:Choice Requires="wps">
            <w:drawing>
              <wp:anchor distT="0" distB="0" distL="114300" distR="114300" simplePos="0" relativeHeight="251689984" behindDoc="0" locked="0" layoutInCell="1" allowOverlap="1">
                <wp:simplePos x="0" y="0"/>
                <wp:positionH relativeFrom="column">
                  <wp:posOffset>3966210</wp:posOffset>
                </wp:positionH>
                <wp:positionV relativeFrom="paragraph">
                  <wp:posOffset>162560</wp:posOffset>
                </wp:positionV>
                <wp:extent cx="874395" cy="352425"/>
                <wp:effectExtent l="0" t="0" r="0" b="0"/>
                <wp:wrapNone/>
                <wp:docPr id="77" name="文本框 77"/>
                <wp:cNvGraphicFramePr/>
                <a:graphic xmlns:a="http://schemas.openxmlformats.org/drawingml/2006/main">
                  <a:graphicData uri="http://schemas.microsoft.com/office/word/2010/wordprocessingShape">
                    <wps:wsp>
                      <wps:cNvSpPr txBox="1"/>
                      <wps:spPr>
                        <a:xfrm>
                          <a:off x="4866640" y="2480945"/>
                          <a:ext cx="874395" cy="352425"/>
                        </a:xfrm>
                        <a:prstGeom prst="rect">
                          <a:avLst/>
                        </a:prstGeom>
                        <a:noFill/>
                        <a:ln>
                          <a:noFill/>
                        </a:ln>
                      </wps:spPr>
                      <wps:txbx>
                        <w:txbxContent>
                          <w:p>
                            <w:pPr>
                              <w:spacing w:line="240" w:lineRule="exact"/>
                              <w:rPr>
                                <w:rFonts w:hint="eastAsia" w:ascii="宋体" w:hAnsi="宋体"/>
                                <w:spacing w:val="-10"/>
                                <w:szCs w:val="21"/>
                              </w:rPr>
                            </w:pPr>
                          </w:p>
                          <w:p>
                            <w:pPr>
                              <w:spacing w:line="240" w:lineRule="exact"/>
                              <w:rPr>
                                <w:rFonts w:ascii="宋体" w:hAnsi="宋体"/>
                                <w:szCs w:val="21"/>
                              </w:rPr>
                            </w:pPr>
                            <w:r>
                              <w:rPr>
                                <w:rFonts w:hint="eastAsia" w:ascii="宋体" w:hAnsi="宋体"/>
                                <w:szCs w:val="21"/>
                              </w:rPr>
                              <w:t>扬尘、噪声</w:t>
                            </w:r>
                          </w:p>
                          <w:p>
                            <w:pPr>
                              <w:rPr>
                                <w:rFonts w:ascii="宋体" w:hAnsi="宋体"/>
                                <w:szCs w:val="21"/>
                              </w:rPr>
                            </w:pPr>
                          </w:p>
                        </w:txbxContent>
                      </wps:txbx>
                      <wps:bodyPr lIns="0" tIns="0" rIns="0" bIns="0" upright="1"/>
                    </wps:wsp>
                  </a:graphicData>
                </a:graphic>
              </wp:anchor>
            </w:drawing>
          </mc:Choice>
          <mc:Fallback>
            <w:pict>
              <v:shape id="_x0000_s1026" o:spid="_x0000_s1026" o:spt="202" type="#_x0000_t202" style="position:absolute;left:0pt;margin-left:312.3pt;margin-top:12.8pt;height:27.75pt;width:68.85pt;z-index:251689984;mso-width-relative:page;mso-height-relative:page;" filled="f" stroked="f" coordsize="21600,21600" o:gfxdata="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a0XD42QAAAAkBAAAPAAAAAAAAAAEAIAAAACIAAABkcnMv&#10;ZG93bnJldi54bWxQSwECFAAUAAAACACHTuJAk5yuVckBAAB/AwAADgAAAAAAAAABACAAAAAoAQAA&#10;ZHJzL2Uyb0RvYy54bWxQSwUGAAAAAAYABgBZAQAAYwUAAAAA&#10;">
                <v:fill on="f" focussize="0,0"/>
                <v:stroke on="f"/>
                <v:imagedata o:title=""/>
                <o:lock v:ext="edit" aspectratio="f"/>
                <v:textbox inset="0mm,0mm,0mm,0mm">
                  <w:txbxContent>
                    <w:p>
                      <w:pPr>
                        <w:spacing w:line="240" w:lineRule="exact"/>
                        <w:rPr>
                          <w:rFonts w:hint="eastAsia" w:ascii="宋体" w:hAnsi="宋体"/>
                          <w:spacing w:val="-10"/>
                          <w:szCs w:val="21"/>
                        </w:rPr>
                      </w:pPr>
                    </w:p>
                    <w:p>
                      <w:pPr>
                        <w:spacing w:line="240" w:lineRule="exact"/>
                        <w:rPr>
                          <w:rFonts w:ascii="宋体" w:hAnsi="宋体"/>
                          <w:szCs w:val="21"/>
                        </w:rPr>
                      </w:pPr>
                      <w:r>
                        <w:rPr>
                          <w:rFonts w:hint="eastAsia" w:ascii="宋体" w:hAnsi="宋体"/>
                          <w:szCs w:val="21"/>
                        </w:rPr>
                        <w:t>扬尘、噪声</w:t>
                      </w:r>
                    </w:p>
                    <w:p>
                      <w:pPr>
                        <w:rPr>
                          <w:rFonts w:ascii="宋体" w:hAnsi="宋体"/>
                          <w:szCs w:val="21"/>
                        </w:rPr>
                      </w:pPr>
                    </w:p>
                  </w:txbxContent>
                </v:textbox>
              </v:shape>
            </w:pict>
          </mc:Fallback>
        </mc:AlternateContent>
      </w:r>
    </w:p>
    <w:p>
      <w:pPr>
        <w:rPr>
          <w:color w:val="auto"/>
        </w:rPr>
      </w:pPr>
      <w:r>
        <w:rPr>
          <w:color w:val="auto"/>
          <w:sz w:val="21"/>
        </w:rPr>
        <mc:AlternateContent>
          <mc:Choice Requires="wps">
            <w:drawing>
              <wp:anchor distT="0" distB="0" distL="114300" distR="114300" simplePos="0" relativeHeight="251692032" behindDoc="0" locked="0" layoutInCell="1" allowOverlap="1">
                <wp:simplePos x="0" y="0"/>
                <wp:positionH relativeFrom="column">
                  <wp:posOffset>1681480</wp:posOffset>
                </wp:positionH>
                <wp:positionV relativeFrom="paragraph">
                  <wp:posOffset>165735</wp:posOffset>
                </wp:positionV>
                <wp:extent cx="688975" cy="4445"/>
                <wp:effectExtent l="0" t="37465" r="15875" b="34290"/>
                <wp:wrapNone/>
                <wp:docPr id="22" name="直接箭头连接符 22"/>
                <wp:cNvGraphicFramePr/>
                <a:graphic xmlns:a="http://schemas.openxmlformats.org/drawingml/2006/main">
                  <a:graphicData uri="http://schemas.microsoft.com/office/word/2010/wordprocessingShape">
                    <wps:wsp>
                      <wps:cNvCnPr/>
                      <wps:spPr>
                        <a:xfrm flipH="1" flipV="1">
                          <a:off x="0" y="0"/>
                          <a:ext cx="688975" cy="444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flip:x y;margin-left:132.4pt;margin-top:13.05pt;height:0.35pt;width:54.25pt;z-index:251692032;mso-width-relative:page;mso-height-relative:page;" filled="f" stroked="t" coordsize="21600,21600" o:gfxdata="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eHAavZAAAACQEAAA8AAAAA&#10;AAAAAQAgAAAAIgAAAGRycy9kb3ducmV2LnhtbFBLAQIUABQAAAAIAIdO4kCjiWlREwIAAAcEAAAO&#10;AAAAAAAAAAEAIAAAACgBAABkcnMvZTJvRG9jLnhtbFBLBQYAAAAABgAGAFkBAACtBQAAAAA=&#10;">
                <v:fill on="f" focussize="0,0"/>
                <v:stroke color="#000000" joinstyle="round" dashstyle="dash" endarrow="block"/>
                <v:imagedata o:title=""/>
                <o:lock v:ext="edit" aspectratio="f"/>
              </v:shape>
            </w:pict>
          </mc:Fallback>
        </mc:AlternateContent>
      </w: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3279775</wp:posOffset>
                </wp:positionH>
                <wp:positionV relativeFrom="paragraph">
                  <wp:posOffset>174625</wp:posOffset>
                </wp:positionV>
                <wp:extent cx="665480" cy="635"/>
                <wp:effectExtent l="0" t="37465" r="1270" b="38100"/>
                <wp:wrapNone/>
                <wp:docPr id="61" name="直接箭头连接符 61"/>
                <wp:cNvGraphicFramePr/>
                <a:graphic xmlns:a="http://schemas.openxmlformats.org/drawingml/2006/main">
                  <a:graphicData uri="http://schemas.microsoft.com/office/word/2010/wordprocessingShape">
                    <wps:wsp>
                      <wps:cNvCnPr/>
                      <wps:spPr>
                        <a:xfrm>
                          <a:off x="4180205" y="2695575"/>
                          <a:ext cx="665480" cy="63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_x0000_s1026" o:spid="_x0000_s1026" o:spt="32" type="#_x0000_t32" style="position:absolute;left:0pt;margin-left:258.25pt;margin-top:13.75pt;height:0.05pt;width:52.4pt;z-index:251676672;mso-width-relative:page;mso-height-relative:page;" filled="f" stroked="t" coordsize="21600,21600" o:gfxdata="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YdrAnVAAAACQEAAA8AAAAA&#10;AAAAAQAgAAAAIgAAAGRycy9kb3ducmV2LnhtbFBLAQIUABQAAAAIAIdO4kDcWxj9FwIAAP4DAAAO&#10;AAAAAAAAAAEAIAAAACQBAABkcnMvZTJvRG9jLnhtbFBLBQYAAAAABgAGAFkBAACtBQAAAAA=&#10;">
                <v:fill on="f" focussize="0,0"/>
                <v:stroke color="#000000" joinstyle="round" dashstyle="dash" endarrow="block"/>
                <v:imagedata o:title=""/>
                <o:lock v:ext="edit" aspectratio="f"/>
              </v:shape>
            </w:pict>
          </mc:Fallback>
        </mc:AlternateContent>
      </w:r>
    </w:p>
    <w:p>
      <w:pPr>
        <w:rPr>
          <w:rFonts w:hint="eastAsia"/>
          <w:color w:val="auto"/>
        </w:rPr>
      </w:pPr>
      <w:r>
        <w:rPr>
          <w:color w:val="auto"/>
          <w:sz w:val="21"/>
        </w:rPr>
        <mc:AlternateContent>
          <mc:Choice Requires="wps">
            <w:drawing>
              <wp:anchor distT="0" distB="0" distL="114300" distR="114300" simplePos="0" relativeHeight="251694080" behindDoc="0" locked="0" layoutInCell="1" allowOverlap="1">
                <wp:simplePos x="0" y="0"/>
                <wp:positionH relativeFrom="column">
                  <wp:posOffset>732790</wp:posOffset>
                </wp:positionH>
                <wp:positionV relativeFrom="paragraph">
                  <wp:posOffset>15240</wp:posOffset>
                </wp:positionV>
                <wp:extent cx="981710" cy="30543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81710" cy="305435"/>
                        </a:xfrm>
                        <a:prstGeom prst="rect">
                          <a:avLst/>
                        </a:prstGeom>
                        <a:noFill/>
                        <a:ln>
                          <a:noFill/>
                        </a:ln>
                      </wps:spPr>
                      <wps:txbx>
                        <w:txbxContent>
                          <w:p>
                            <w:pPr>
                              <w:spacing w:line="240" w:lineRule="exact"/>
                              <w:rPr>
                                <w:rFonts w:hint="eastAsia" w:ascii="宋体" w:hAnsi="宋体"/>
                                <w:spacing w:val="-10"/>
                                <w:szCs w:val="21"/>
                              </w:rPr>
                            </w:pPr>
                          </w:p>
                          <w:p>
                            <w:pPr>
                              <w:spacing w:line="240" w:lineRule="exact"/>
                              <w:rPr>
                                <w:rFonts w:hint="default" w:ascii="宋体" w:hAnsi="宋体" w:eastAsia="宋体"/>
                                <w:szCs w:val="21"/>
                                <w:lang w:val="en-US" w:eastAsia="zh-CN"/>
                              </w:rPr>
                            </w:pPr>
                            <w:r>
                              <w:rPr>
                                <w:rFonts w:hint="eastAsia" w:ascii="宋体" w:hAnsi="宋体"/>
                                <w:szCs w:val="21"/>
                                <w:lang w:val="en-US" w:eastAsia="zh-CN"/>
                              </w:rPr>
                              <w:t xml:space="preserve"> 放空燃烧烟气</w:t>
                            </w:r>
                          </w:p>
                          <w:p>
                            <w:pPr>
                              <w:rPr>
                                <w:rFonts w:ascii="宋体" w:hAnsi="宋体"/>
                                <w:szCs w:val="21"/>
                              </w:rPr>
                            </w:pPr>
                          </w:p>
                        </w:txbxContent>
                      </wps:txbx>
                      <wps:bodyPr lIns="0" tIns="0" rIns="0" bIns="0" upright="1"/>
                    </wps:wsp>
                  </a:graphicData>
                </a:graphic>
              </wp:anchor>
            </w:drawing>
          </mc:Choice>
          <mc:Fallback>
            <w:pict>
              <v:shape id="_x0000_s1026" o:spid="_x0000_s1026" o:spt="202" type="#_x0000_t202" style="position:absolute;left:0pt;margin-left:57.7pt;margin-top:1.2pt;height:24.05pt;width:77.3pt;z-index:251694080;mso-width-relative:page;mso-height-relative:page;" filled="f" stroked="f" coordsize="21600,21600" o:gfxdata="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B4lQQ1wAAAAgBAAAPAAAAAAAAAAEAIAAAACIAAABkcnMvZG93bnJldi54bWxQSwEC&#10;FAAUAAAACACHTuJAUP8ae7wBAABzAwAADgAAAAAAAAABACAAAAAmAQAAZHJzL2Uyb0RvYy54bWxQ&#10;SwUGAAAAAAYABgBZAQAAVAUAAAAA&#10;">
                <v:fill on="f" focussize="0,0"/>
                <v:stroke on="f"/>
                <v:imagedata o:title=""/>
                <o:lock v:ext="edit" aspectratio="f"/>
                <v:textbox inset="0mm,0mm,0mm,0mm">
                  <w:txbxContent>
                    <w:p>
                      <w:pPr>
                        <w:spacing w:line="240" w:lineRule="exact"/>
                        <w:rPr>
                          <w:rFonts w:hint="eastAsia" w:ascii="宋体" w:hAnsi="宋体"/>
                          <w:spacing w:val="-10"/>
                          <w:szCs w:val="21"/>
                        </w:rPr>
                      </w:pPr>
                    </w:p>
                    <w:p>
                      <w:pPr>
                        <w:spacing w:line="240" w:lineRule="exact"/>
                        <w:rPr>
                          <w:rFonts w:hint="default" w:ascii="宋体" w:hAnsi="宋体" w:eastAsia="宋体"/>
                          <w:szCs w:val="21"/>
                          <w:lang w:val="en-US" w:eastAsia="zh-CN"/>
                        </w:rPr>
                      </w:pPr>
                      <w:r>
                        <w:rPr>
                          <w:rFonts w:hint="eastAsia" w:ascii="宋体" w:hAnsi="宋体"/>
                          <w:szCs w:val="21"/>
                          <w:lang w:val="en-US" w:eastAsia="zh-CN"/>
                        </w:rPr>
                        <w:t xml:space="preserve"> 放空燃烧烟气</w:t>
                      </w:r>
                    </w:p>
                    <w:p>
                      <w:pPr>
                        <w:rPr>
                          <w:rFonts w:ascii="宋体" w:hAnsi="宋体"/>
                          <w:szCs w:val="21"/>
                        </w:rPr>
                      </w:pPr>
                    </w:p>
                  </w:txbxContent>
                </v:textbox>
              </v:shape>
            </w:pict>
          </mc:Fallback>
        </mc:AlternateContent>
      </w:r>
    </w:p>
    <w:p>
      <w:pPr>
        <w:rPr>
          <w:rFonts w:hint="eastAsia"/>
          <w:color w:val="auto"/>
        </w:rPr>
      </w:pPr>
      <w:r>
        <w:rPr>
          <w:color w:val="auto"/>
          <w:sz w:val="21"/>
        </w:rPr>
        <mc:AlternateContent>
          <mc:Choice Requires="wps">
            <w:drawing>
              <wp:anchor distT="0" distB="0" distL="114300" distR="114300" simplePos="0" relativeHeight="251691008" behindDoc="0" locked="0" layoutInCell="1" allowOverlap="1">
                <wp:simplePos x="0" y="0"/>
                <wp:positionH relativeFrom="column">
                  <wp:posOffset>4035425</wp:posOffset>
                </wp:positionH>
                <wp:positionV relativeFrom="paragraph">
                  <wp:posOffset>47625</wp:posOffset>
                </wp:positionV>
                <wp:extent cx="874395" cy="35242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874395" cy="352425"/>
                        </a:xfrm>
                        <a:prstGeom prst="rect">
                          <a:avLst/>
                        </a:prstGeom>
                        <a:noFill/>
                        <a:ln>
                          <a:noFill/>
                        </a:ln>
                      </wps:spPr>
                      <wps:txbx>
                        <w:txbxContent>
                          <w:p>
                            <w:pPr>
                              <w:spacing w:line="240" w:lineRule="exact"/>
                              <w:rPr>
                                <w:rFonts w:hint="eastAsia" w:ascii="宋体" w:hAnsi="宋体"/>
                                <w:spacing w:val="-10"/>
                                <w:szCs w:val="21"/>
                              </w:rPr>
                            </w:pPr>
                          </w:p>
                          <w:p>
                            <w:pPr>
                              <w:spacing w:line="240" w:lineRule="exact"/>
                              <w:rPr>
                                <w:rFonts w:ascii="宋体" w:hAnsi="宋体"/>
                                <w:szCs w:val="21"/>
                              </w:rPr>
                            </w:pPr>
                            <w:r>
                              <w:rPr>
                                <w:rFonts w:hint="eastAsia" w:ascii="宋体" w:hAnsi="宋体"/>
                                <w:szCs w:val="21"/>
                              </w:rPr>
                              <w:t>扬尘、噪声</w:t>
                            </w:r>
                          </w:p>
                          <w:p>
                            <w:pPr>
                              <w:rPr>
                                <w:rFonts w:ascii="宋体" w:hAnsi="宋体"/>
                                <w:szCs w:val="21"/>
                              </w:rPr>
                            </w:pPr>
                          </w:p>
                        </w:txbxContent>
                      </wps:txbx>
                      <wps:bodyPr lIns="0" tIns="0" rIns="0" bIns="0" upright="1"/>
                    </wps:wsp>
                  </a:graphicData>
                </a:graphic>
              </wp:anchor>
            </w:drawing>
          </mc:Choice>
          <mc:Fallback>
            <w:pict>
              <v:shape id="_x0000_s1026" o:spid="_x0000_s1026" o:spt="202" type="#_x0000_t202" style="position:absolute;left:0pt;margin-left:317.75pt;margin-top:3.75pt;height:27.75pt;width:68.85pt;z-index:251691008;mso-width-relative:page;mso-height-relative:page;" filled="f" stroked="f" coordsize="21600,21600" o:gfxdata="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D9zs1wAAAAgBAAAPAAAAAAAAAAEAIAAAACIAAABkcnMvZG93bnJldi54bWxQSwEC&#10;FAAUAAAACACHTuJAQNEAoLwBAABzAwAADgAAAAAAAAABACAAAAAmAQAAZHJzL2Uyb0RvYy54bWxQ&#10;SwUGAAAAAAYABgBZAQAAVAUAAAAA&#10;">
                <v:fill on="f" focussize="0,0"/>
                <v:stroke on="f"/>
                <v:imagedata o:title=""/>
                <o:lock v:ext="edit" aspectratio="f"/>
                <v:textbox inset="0mm,0mm,0mm,0mm">
                  <w:txbxContent>
                    <w:p>
                      <w:pPr>
                        <w:spacing w:line="240" w:lineRule="exact"/>
                        <w:rPr>
                          <w:rFonts w:hint="eastAsia" w:ascii="宋体" w:hAnsi="宋体"/>
                          <w:spacing w:val="-10"/>
                          <w:szCs w:val="21"/>
                        </w:rPr>
                      </w:pPr>
                    </w:p>
                    <w:p>
                      <w:pPr>
                        <w:spacing w:line="240" w:lineRule="exact"/>
                        <w:rPr>
                          <w:rFonts w:ascii="宋体" w:hAnsi="宋体"/>
                          <w:szCs w:val="21"/>
                        </w:rPr>
                      </w:pPr>
                      <w:r>
                        <w:rPr>
                          <w:rFonts w:hint="eastAsia" w:ascii="宋体" w:hAnsi="宋体"/>
                          <w:szCs w:val="21"/>
                        </w:rPr>
                        <w:t>扬尘、噪声</w:t>
                      </w:r>
                    </w:p>
                    <w:p>
                      <w:pPr>
                        <w:rPr>
                          <w:rFonts w:ascii="宋体" w:hAnsi="宋体"/>
                          <w:szCs w:val="21"/>
                        </w:rPr>
                      </w:pPr>
                    </w:p>
                  </w:txbxContent>
                </v:textbox>
              </v:shape>
            </w:pict>
          </mc:Fallback>
        </mc:AlternateContent>
      </w: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2390775</wp:posOffset>
                </wp:positionH>
                <wp:positionV relativeFrom="paragraph">
                  <wp:posOffset>106680</wp:posOffset>
                </wp:positionV>
                <wp:extent cx="950595" cy="266065"/>
                <wp:effectExtent l="4445" t="4445" r="16510" b="15240"/>
                <wp:wrapNone/>
                <wp:docPr id="62" name="文本框 62"/>
                <wp:cNvGraphicFramePr/>
                <a:graphic xmlns:a="http://schemas.openxmlformats.org/drawingml/2006/main">
                  <a:graphicData uri="http://schemas.microsoft.com/office/word/2010/wordprocessingShape">
                    <wps:wsp>
                      <wps:cNvSpPr txBox="1"/>
                      <wps:spPr>
                        <a:xfrm>
                          <a:off x="3315335" y="2555875"/>
                          <a:ext cx="950595" cy="266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宋体" w:hAnsi="宋体"/>
                                <w:szCs w:val="21"/>
                              </w:rPr>
                            </w:pPr>
                            <w:r>
                              <w:rPr>
                                <w:rFonts w:hint="eastAsia" w:ascii="宋体" w:hAnsi="宋体"/>
                                <w:szCs w:val="21"/>
                                <w:lang w:eastAsia="zh-CN"/>
                              </w:rPr>
                              <w:t>筛管</w:t>
                            </w:r>
                            <w:r>
                              <w:rPr>
                                <w:rFonts w:hint="eastAsia" w:ascii="宋体" w:hAnsi="宋体"/>
                                <w:szCs w:val="21"/>
                              </w:rPr>
                              <w:t>完井</w:t>
                            </w:r>
                          </w:p>
                        </w:txbxContent>
                      </wps:txbx>
                      <wps:bodyPr lIns="0" tIns="0" rIns="0" bIns="0" upright="1"/>
                    </wps:wsp>
                  </a:graphicData>
                </a:graphic>
              </wp:anchor>
            </w:drawing>
          </mc:Choice>
          <mc:Fallback>
            <w:pict>
              <v:shape id="_x0000_s1026" o:spid="_x0000_s1026" o:spt="202" type="#_x0000_t202" style="position:absolute;left:0pt;margin-left:188.25pt;margin-top:8.4pt;height:20.95pt;width:74.85pt;z-index:251677696;mso-width-relative:page;mso-height-relative:page;" fillcolor="#FFFFFF" filled="t" stroked="t" coordsize="21600,21600" o:gfxdata="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ieh8dgAAAAJAQAADwAAAAAAAAABACAAAAAiAAAAZHJzL2Rvd25yZXYueG1sUEsBAhQAFAAAAAgA&#10;h07iQHU/so4lAgAAZwQAAA4AAAAAAAAAAQAgAAAAJwEAAGRycy9lMm9Eb2MueG1sUEsFBgAAAAAG&#10;AAYAWQEAAL4FAAAAAA==&#10;">
                <v:fill on="t" focussize="0,0"/>
                <v:stroke color="#000000" joinstyle="miter"/>
                <v:imagedata o:title=""/>
                <o:lock v:ext="edit" aspectratio="f"/>
                <v:textbox inset="0mm,0mm,0mm,0mm">
                  <w:txbxContent>
                    <w:p>
                      <w:pPr>
                        <w:spacing w:line="400" w:lineRule="exact"/>
                        <w:jc w:val="center"/>
                        <w:rPr>
                          <w:rFonts w:ascii="宋体" w:hAnsi="宋体"/>
                          <w:szCs w:val="21"/>
                        </w:rPr>
                      </w:pPr>
                      <w:r>
                        <w:rPr>
                          <w:rFonts w:hint="eastAsia" w:ascii="宋体" w:hAnsi="宋体"/>
                          <w:szCs w:val="21"/>
                          <w:lang w:eastAsia="zh-CN"/>
                        </w:rPr>
                        <w:t>筛管</w:t>
                      </w:r>
                      <w:r>
                        <w:rPr>
                          <w:rFonts w:hint="eastAsia" w:ascii="宋体" w:hAnsi="宋体"/>
                          <w:szCs w:val="21"/>
                        </w:rPr>
                        <w:t>完井</w:t>
                      </w:r>
                    </w:p>
                  </w:txbxContent>
                </v:textbox>
              </v:shape>
            </w:pict>
          </mc:Fallback>
        </mc:AlternateContent>
      </w:r>
      <w:r>
        <w:rPr>
          <w:rFonts w:hint="eastAsia"/>
          <w:color w:val="auto"/>
        </w:rPr>
        <w:t xml:space="preserve">          </w:t>
      </w:r>
    </w:p>
    <w:p>
      <w:pPr>
        <w:pStyle w:val="41"/>
        <w:rPr>
          <w:color w:val="auto"/>
        </w:rPr>
      </w:pPr>
    </w:p>
    <w:p>
      <w:pPr>
        <w:pStyle w:val="8"/>
        <w:bidi w:val="0"/>
        <w:rPr>
          <w:rFonts w:ascii="Times New Roman"/>
          <w:color w:val="auto"/>
          <w:sz w:val="28"/>
          <w:szCs w:val="28"/>
        </w:rPr>
      </w:pPr>
      <w:r>
        <w:rPr>
          <w:rFonts w:ascii="Times New Roman"/>
          <w:color w:val="auto"/>
          <w:sz w:val="28"/>
          <w:szCs w:val="28"/>
        </w:rPr>
        <w:t>施工期产污环节示意图</w:t>
      </w:r>
    </w:p>
    <w:p>
      <w:pPr>
        <w:pStyle w:val="5"/>
        <w:bidi w:val="0"/>
        <w:rPr>
          <w:color w:val="auto"/>
        </w:rPr>
      </w:pPr>
      <w:r>
        <w:rPr>
          <w:color w:val="auto"/>
        </w:rPr>
        <w:t>生态影响因素分析</w:t>
      </w:r>
    </w:p>
    <w:p>
      <w:pPr>
        <w:pStyle w:val="21"/>
        <w:spacing w:line="480" w:lineRule="exact"/>
        <w:rPr>
          <w:rFonts w:ascii="Times New Roman"/>
          <w:color w:val="auto"/>
          <w:sz w:val="28"/>
          <w:szCs w:val="28"/>
        </w:rPr>
      </w:pPr>
      <w:r>
        <w:rPr>
          <w:rFonts w:ascii="Times New Roman"/>
          <w:color w:val="auto"/>
          <w:sz w:val="28"/>
          <w:szCs w:val="28"/>
        </w:rPr>
        <w:t>本工程占地约</w:t>
      </w:r>
      <w:r>
        <w:rPr>
          <w:rFonts w:hint="eastAsia"/>
          <w:color w:val="auto"/>
          <w:sz w:val="28"/>
          <w:szCs w:val="28"/>
          <w:lang w:val="en-US" w:eastAsia="zh-CN"/>
        </w:rPr>
        <w:t>13.44</w:t>
      </w:r>
      <w:r>
        <w:rPr>
          <w:rFonts w:ascii="Times New Roman"/>
          <w:color w:val="auto"/>
          <w:sz w:val="28"/>
          <w:szCs w:val="28"/>
        </w:rPr>
        <w:t>hm</w:t>
      </w:r>
      <w:r>
        <w:rPr>
          <w:rFonts w:ascii="Times New Roman"/>
          <w:color w:val="auto"/>
          <w:sz w:val="28"/>
          <w:szCs w:val="28"/>
          <w:vertAlign w:val="superscript"/>
        </w:rPr>
        <w:t>2</w:t>
      </w:r>
      <w:r>
        <w:rPr>
          <w:rFonts w:ascii="Times New Roman"/>
          <w:color w:val="auto"/>
          <w:sz w:val="28"/>
          <w:szCs w:val="28"/>
        </w:rPr>
        <w:t>，其中永久占地</w:t>
      </w:r>
      <w:r>
        <w:rPr>
          <w:rFonts w:hint="eastAsia"/>
          <w:color w:val="auto"/>
          <w:sz w:val="28"/>
          <w:szCs w:val="28"/>
          <w:lang w:val="en-US" w:eastAsia="zh-CN"/>
        </w:rPr>
        <w:t xml:space="preserve">1.6 </w:t>
      </w:r>
      <w:r>
        <w:rPr>
          <w:rFonts w:ascii="Times New Roman"/>
          <w:color w:val="auto"/>
          <w:sz w:val="28"/>
          <w:szCs w:val="28"/>
        </w:rPr>
        <w:t>hm</w:t>
      </w:r>
      <w:r>
        <w:rPr>
          <w:rFonts w:ascii="Times New Roman"/>
          <w:color w:val="auto"/>
          <w:sz w:val="28"/>
          <w:szCs w:val="28"/>
          <w:vertAlign w:val="superscript"/>
        </w:rPr>
        <w:t>2</w:t>
      </w:r>
      <w:r>
        <w:rPr>
          <w:rFonts w:ascii="Times New Roman"/>
          <w:color w:val="auto"/>
          <w:sz w:val="28"/>
          <w:szCs w:val="28"/>
        </w:rPr>
        <w:t>，临时占地</w:t>
      </w:r>
      <w:r>
        <w:rPr>
          <w:rFonts w:hint="eastAsia"/>
          <w:color w:val="auto"/>
          <w:sz w:val="28"/>
          <w:szCs w:val="28"/>
          <w:lang w:val="en-US" w:eastAsia="zh-CN"/>
        </w:rPr>
        <w:t xml:space="preserve">11.84 </w:t>
      </w:r>
      <w:r>
        <w:rPr>
          <w:rFonts w:ascii="Times New Roman"/>
          <w:color w:val="auto"/>
          <w:sz w:val="28"/>
          <w:szCs w:val="28"/>
        </w:rPr>
        <w:t>hm</w:t>
      </w:r>
      <w:r>
        <w:rPr>
          <w:rFonts w:ascii="Times New Roman"/>
          <w:color w:val="auto"/>
          <w:sz w:val="28"/>
          <w:szCs w:val="28"/>
          <w:vertAlign w:val="superscript"/>
        </w:rPr>
        <w:t>2</w:t>
      </w:r>
      <w:r>
        <w:rPr>
          <w:rFonts w:ascii="Times New Roman"/>
          <w:color w:val="auto"/>
          <w:sz w:val="28"/>
          <w:szCs w:val="28"/>
        </w:rPr>
        <w:t>，</w:t>
      </w:r>
      <w:r>
        <w:rPr>
          <w:rFonts w:hint="eastAsia" w:ascii="Times New Roman"/>
          <w:color w:val="auto"/>
          <w:sz w:val="28"/>
          <w:szCs w:val="28"/>
        </w:rPr>
        <w:t>占地类型为耕地（基本农田）</w:t>
      </w:r>
      <w:r>
        <w:rPr>
          <w:rFonts w:hint="eastAsia"/>
          <w:color w:val="auto"/>
          <w:sz w:val="28"/>
          <w:szCs w:val="28"/>
          <w:lang w:eastAsia="zh-CN"/>
        </w:rPr>
        <w:t>和</w:t>
      </w:r>
      <w:r>
        <w:rPr>
          <w:rFonts w:hint="eastAsia" w:ascii="Times New Roman"/>
          <w:color w:val="auto"/>
          <w:sz w:val="28"/>
          <w:szCs w:val="28"/>
        </w:rPr>
        <w:t>草地（</w:t>
      </w:r>
      <w:r>
        <w:rPr>
          <w:rFonts w:hint="eastAsia"/>
          <w:color w:val="auto"/>
          <w:sz w:val="28"/>
          <w:szCs w:val="28"/>
          <w:lang w:eastAsia="zh-CN"/>
        </w:rPr>
        <w:t>一般</w:t>
      </w:r>
      <w:r>
        <w:rPr>
          <w:rFonts w:hint="eastAsia" w:ascii="Times New Roman"/>
          <w:color w:val="auto"/>
          <w:sz w:val="28"/>
          <w:szCs w:val="28"/>
        </w:rPr>
        <w:t>草</w:t>
      </w:r>
      <w:r>
        <w:rPr>
          <w:rFonts w:hint="eastAsia"/>
          <w:color w:val="auto"/>
          <w:sz w:val="28"/>
          <w:szCs w:val="28"/>
          <w:lang w:eastAsia="zh-CN"/>
        </w:rPr>
        <w:t>地</w:t>
      </w:r>
      <w:r>
        <w:rPr>
          <w:rFonts w:hint="eastAsia" w:ascii="Times New Roman"/>
          <w:color w:val="auto"/>
          <w:sz w:val="28"/>
          <w:szCs w:val="28"/>
        </w:rPr>
        <w:t>）。本工程建设对生态的影响主要为场地平整、施工机械、车辆和人员践踏等活动造成土壤扰动和植被的破坏。本工程为钻井工程，仅有施工期，通过采取生态恢复措施，这种影响是短期可逆的。</w:t>
      </w:r>
    </w:p>
    <w:p>
      <w:pPr>
        <w:pStyle w:val="21"/>
        <w:spacing w:line="480" w:lineRule="exact"/>
        <w:rPr>
          <w:rFonts w:ascii="Times New Roman"/>
          <w:color w:val="auto"/>
          <w:sz w:val="28"/>
          <w:szCs w:val="28"/>
        </w:rPr>
      </w:pPr>
      <w:r>
        <w:rPr>
          <w:rFonts w:ascii="Times New Roman"/>
          <w:color w:val="auto"/>
          <w:sz w:val="28"/>
          <w:szCs w:val="28"/>
        </w:rPr>
        <w:t>（1）钻井场地建设</w:t>
      </w:r>
    </w:p>
    <w:p>
      <w:pPr>
        <w:pStyle w:val="21"/>
        <w:spacing w:line="480" w:lineRule="exact"/>
        <w:rPr>
          <w:rFonts w:ascii="Times New Roman"/>
          <w:color w:val="auto"/>
          <w:sz w:val="28"/>
          <w:szCs w:val="28"/>
        </w:rPr>
      </w:pPr>
      <w:r>
        <w:rPr>
          <w:rFonts w:ascii="Times New Roman"/>
          <w:color w:val="auto"/>
          <w:sz w:val="28"/>
          <w:szCs w:val="28"/>
        </w:rPr>
        <w:t>钻井过程中的钻井设备料场等占地，施工期间开挖</w:t>
      </w:r>
      <w:r>
        <w:rPr>
          <w:rFonts w:hint="eastAsia" w:ascii="Times New Roman"/>
          <w:color w:val="auto"/>
          <w:sz w:val="28"/>
          <w:szCs w:val="28"/>
        </w:rPr>
        <w:t>生活污水池</w:t>
      </w:r>
      <w:r>
        <w:rPr>
          <w:rFonts w:ascii="Times New Roman"/>
          <w:color w:val="auto"/>
          <w:sz w:val="28"/>
          <w:szCs w:val="28"/>
        </w:rPr>
        <w:t>，机械、运输车辆对农田植被的碾压、人员践踏、材料占地、土壤翻出堆放地表等活动将对工程周围的地表环境造成暂时性破坏，对草地生产力产生一定的影响。项目建设将对地表进行剥离、挖掘和堆积，使原来的地表结构、土地利用类型、局部地貌发生变化。施工场地为自然地面和经过切坡、开挖后的地面，单位面积的悬浮物冲刷量和流失量较大，造成一定的水土流失</w:t>
      </w:r>
    </w:p>
    <w:p>
      <w:pPr>
        <w:pStyle w:val="21"/>
        <w:spacing w:line="480" w:lineRule="exact"/>
        <w:rPr>
          <w:rFonts w:ascii="Times New Roman"/>
          <w:color w:val="auto"/>
          <w:sz w:val="28"/>
          <w:szCs w:val="28"/>
        </w:rPr>
      </w:pPr>
      <w:r>
        <w:rPr>
          <w:rFonts w:ascii="Times New Roman"/>
          <w:color w:val="auto"/>
          <w:sz w:val="28"/>
          <w:szCs w:val="28"/>
        </w:rPr>
        <w:t>（2）对土壤侵蚀的影响</w:t>
      </w:r>
    </w:p>
    <w:p>
      <w:pPr>
        <w:pStyle w:val="21"/>
        <w:spacing w:line="480" w:lineRule="exact"/>
        <w:rPr>
          <w:rFonts w:ascii="Times New Roman"/>
          <w:color w:val="auto"/>
          <w:sz w:val="28"/>
          <w:szCs w:val="28"/>
        </w:rPr>
      </w:pPr>
      <w:r>
        <w:rPr>
          <w:rFonts w:ascii="Times New Roman"/>
          <w:color w:val="auto"/>
          <w:sz w:val="28"/>
          <w:szCs w:val="28"/>
        </w:rPr>
        <w:t>施工对土地的开挖，造成土地裸露，加剧沿线的土壤风蚀。</w:t>
      </w:r>
    </w:p>
    <w:p>
      <w:pPr>
        <w:pStyle w:val="21"/>
        <w:spacing w:line="480" w:lineRule="exact"/>
        <w:rPr>
          <w:rFonts w:ascii="Times New Roman"/>
          <w:color w:val="auto"/>
          <w:sz w:val="28"/>
          <w:szCs w:val="28"/>
        </w:rPr>
      </w:pPr>
      <w:r>
        <w:rPr>
          <w:rFonts w:ascii="Times New Roman"/>
          <w:color w:val="auto"/>
          <w:sz w:val="28"/>
          <w:szCs w:val="28"/>
        </w:rPr>
        <w:t>（3）对植被的影响</w:t>
      </w:r>
    </w:p>
    <w:p>
      <w:pPr>
        <w:pStyle w:val="21"/>
        <w:spacing w:line="480" w:lineRule="exact"/>
        <w:rPr>
          <w:rFonts w:ascii="Times New Roman"/>
          <w:color w:val="auto"/>
          <w:sz w:val="28"/>
          <w:szCs w:val="28"/>
        </w:rPr>
      </w:pPr>
      <w:r>
        <w:rPr>
          <w:rFonts w:ascii="Times New Roman"/>
          <w:color w:val="auto"/>
          <w:sz w:val="28"/>
          <w:szCs w:val="28"/>
        </w:rPr>
        <w:t>对植被最主要的影响是施工期占地范围内对植被破坏，另外土地开挖、车辆运输带起的扬尘自然沉降在周围植物的叶片上，阻塞气孔，影响植物呼吸作用和光合作用，有碍作物生长，还有车辆运行和施工机械的尾气含有NO</w:t>
      </w:r>
      <w:r>
        <w:rPr>
          <w:rFonts w:ascii="Times New Roman"/>
          <w:color w:val="auto"/>
          <w:sz w:val="28"/>
          <w:szCs w:val="28"/>
          <w:vertAlign w:val="subscript"/>
        </w:rPr>
        <w:t>x</w:t>
      </w:r>
      <w:r>
        <w:rPr>
          <w:rFonts w:ascii="Times New Roman"/>
          <w:color w:val="auto"/>
          <w:sz w:val="28"/>
          <w:szCs w:val="28"/>
        </w:rPr>
        <w:t>等气体，可破坏敏感植物的叶组织，造成褪色伤斑。不过以上这些不利影响主要是短期的，随着施工期结束，这些影响也随之消失。</w:t>
      </w:r>
    </w:p>
    <w:p>
      <w:pPr>
        <w:pStyle w:val="5"/>
        <w:bidi w:val="0"/>
        <w:rPr>
          <w:color w:val="auto"/>
        </w:rPr>
      </w:pPr>
      <w:r>
        <w:rPr>
          <w:color w:val="auto"/>
        </w:rPr>
        <w:t>污染源源强核算</w:t>
      </w:r>
    </w:p>
    <w:p>
      <w:pPr>
        <w:pStyle w:val="21"/>
        <w:spacing w:line="480" w:lineRule="exact"/>
        <w:rPr>
          <w:rFonts w:hint="eastAsia" w:ascii="Times New Roman"/>
          <w:color w:val="auto"/>
          <w:sz w:val="28"/>
          <w:szCs w:val="28"/>
        </w:rPr>
      </w:pPr>
      <w:r>
        <w:rPr>
          <w:rFonts w:hint="eastAsia" w:ascii="Times New Roman"/>
          <w:color w:val="auto"/>
          <w:sz w:val="28"/>
          <w:szCs w:val="28"/>
        </w:rPr>
        <w:t>根据</w:t>
      </w:r>
      <w:r>
        <w:rPr>
          <w:rFonts w:ascii="Times New Roman"/>
          <w:color w:val="auto"/>
          <w:sz w:val="28"/>
          <w:szCs w:val="28"/>
        </w:rPr>
        <w:t>《</w:t>
      </w:r>
      <w:r>
        <w:rPr>
          <w:rFonts w:hint="eastAsia" w:ascii="Times New Roman"/>
          <w:color w:val="auto"/>
          <w:sz w:val="28"/>
          <w:szCs w:val="28"/>
        </w:rPr>
        <w:t>建设</w:t>
      </w:r>
      <w:r>
        <w:rPr>
          <w:rFonts w:ascii="Times New Roman"/>
          <w:color w:val="auto"/>
          <w:sz w:val="28"/>
          <w:szCs w:val="28"/>
        </w:rPr>
        <w:t>项目环境影响评价技术导则</w:t>
      </w:r>
      <w:r>
        <w:rPr>
          <w:rFonts w:hint="eastAsia" w:ascii="Times New Roman"/>
          <w:color w:val="auto"/>
          <w:sz w:val="28"/>
          <w:szCs w:val="28"/>
        </w:rPr>
        <w:t xml:space="preserve"> 总纲</w:t>
      </w:r>
      <w:r>
        <w:rPr>
          <w:rFonts w:ascii="Times New Roman"/>
          <w:color w:val="auto"/>
          <w:sz w:val="28"/>
          <w:szCs w:val="28"/>
        </w:rPr>
        <w:t>》</w:t>
      </w:r>
      <w:r>
        <w:rPr>
          <w:rFonts w:hint="eastAsia" w:ascii="Times New Roman"/>
          <w:color w:val="auto"/>
          <w:sz w:val="28"/>
          <w:szCs w:val="28"/>
        </w:rPr>
        <w:t>（HJ</w:t>
      </w:r>
      <w:r>
        <w:rPr>
          <w:rFonts w:ascii="Times New Roman"/>
          <w:color w:val="auto"/>
          <w:sz w:val="28"/>
          <w:szCs w:val="28"/>
        </w:rPr>
        <w:t>2.1-2016</w:t>
      </w:r>
      <w:r>
        <w:rPr>
          <w:rFonts w:hint="eastAsia" w:ascii="Times New Roman"/>
          <w:color w:val="auto"/>
          <w:sz w:val="28"/>
          <w:szCs w:val="28"/>
        </w:rPr>
        <w:t>）要求</w:t>
      </w:r>
      <w:r>
        <w:rPr>
          <w:rFonts w:ascii="Times New Roman"/>
          <w:color w:val="auto"/>
          <w:sz w:val="28"/>
          <w:szCs w:val="28"/>
        </w:rPr>
        <w:t>，污染源源强核算方法由污染源源强核算技术指南具体规定，</w:t>
      </w:r>
      <w:r>
        <w:rPr>
          <w:rFonts w:hint="eastAsia" w:ascii="Times New Roman"/>
          <w:color w:val="auto"/>
          <w:sz w:val="28"/>
          <w:szCs w:val="28"/>
        </w:rPr>
        <w:t>根据《污染源源强核算技术指南 准则》（HJ884-2018），源强</w:t>
      </w:r>
      <w:r>
        <w:rPr>
          <w:rFonts w:ascii="Times New Roman"/>
          <w:color w:val="auto"/>
          <w:sz w:val="28"/>
          <w:szCs w:val="28"/>
        </w:rPr>
        <w:t>核算方法主要有物料衡算法、类比法、实测法</w:t>
      </w:r>
      <w:r>
        <w:rPr>
          <w:rFonts w:hint="eastAsia" w:ascii="Times New Roman"/>
          <w:color w:val="auto"/>
          <w:sz w:val="28"/>
          <w:szCs w:val="28"/>
        </w:rPr>
        <w:t>、产排污</w:t>
      </w:r>
      <w:r>
        <w:rPr>
          <w:rFonts w:ascii="Times New Roman"/>
          <w:color w:val="auto"/>
          <w:sz w:val="28"/>
          <w:szCs w:val="28"/>
        </w:rPr>
        <w:t>系数法及</w:t>
      </w:r>
      <w:r>
        <w:rPr>
          <w:rFonts w:hint="eastAsia" w:ascii="Times New Roman"/>
          <w:color w:val="auto"/>
          <w:sz w:val="28"/>
          <w:szCs w:val="28"/>
        </w:rPr>
        <w:t>实验法。大庆油田</w:t>
      </w:r>
      <w:r>
        <w:rPr>
          <w:rFonts w:ascii="Times New Roman"/>
          <w:color w:val="auto"/>
          <w:sz w:val="28"/>
          <w:szCs w:val="28"/>
        </w:rPr>
        <w:t>在</w:t>
      </w:r>
      <w:r>
        <w:rPr>
          <w:rFonts w:hint="eastAsia" w:ascii="Times New Roman"/>
          <w:color w:val="auto"/>
          <w:sz w:val="28"/>
          <w:szCs w:val="28"/>
        </w:rPr>
        <w:t>采用</w:t>
      </w:r>
      <w:r>
        <w:rPr>
          <w:rFonts w:ascii="Times New Roman"/>
          <w:color w:val="auto"/>
          <w:sz w:val="28"/>
          <w:szCs w:val="28"/>
        </w:rPr>
        <w:t>水基钻井液进行钻井作业的工艺、</w:t>
      </w:r>
      <w:r>
        <w:rPr>
          <w:rFonts w:hint="eastAsia" w:ascii="Times New Roman"/>
          <w:color w:val="auto"/>
          <w:sz w:val="28"/>
          <w:szCs w:val="28"/>
        </w:rPr>
        <w:t>污染</w:t>
      </w:r>
      <w:r>
        <w:rPr>
          <w:rFonts w:ascii="Times New Roman"/>
          <w:color w:val="auto"/>
          <w:sz w:val="28"/>
          <w:szCs w:val="28"/>
        </w:rPr>
        <w:t>控制措施</w:t>
      </w:r>
      <w:r>
        <w:rPr>
          <w:rFonts w:hint="eastAsia" w:ascii="Times New Roman"/>
          <w:color w:val="auto"/>
          <w:sz w:val="28"/>
          <w:szCs w:val="28"/>
        </w:rPr>
        <w:t>、</w:t>
      </w:r>
      <w:r>
        <w:rPr>
          <w:rFonts w:ascii="Times New Roman"/>
          <w:color w:val="auto"/>
          <w:sz w:val="28"/>
          <w:szCs w:val="28"/>
        </w:rPr>
        <w:t>管理水平等方面</w:t>
      </w:r>
      <w:r>
        <w:rPr>
          <w:rFonts w:hint="eastAsia" w:ascii="Times New Roman"/>
          <w:color w:val="auto"/>
          <w:sz w:val="28"/>
          <w:szCs w:val="28"/>
        </w:rPr>
        <w:t>基本</w:t>
      </w:r>
      <w:r>
        <w:rPr>
          <w:rFonts w:ascii="Times New Roman"/>
          <w:color w:val="auto"/>
          <w:sz w:val="28"/>
          <w:szCs w:val="28"/>
        </w:rPr>
        <w:t>一致，</w:t>
      </w:r>
      <w:r>
        <w:rPr>
          <w:rFonts w:hint="eastAsia" w:ascii="Times New Roman"/>
          <w:color w:val="auto"/>
          <w:sz w:val="28"/>
          <w:szCs w:val="28"/>
        </w:rPr>
        <w:t>产生</w:t>
      </w:r>
      <w:r>
        <w:rPr>
          <w:rFonts w:ascii="Times New Roman"/>
          <w:color w:val="auto"/>
          <w:sz w:val="28"/>
          <w:szCs w:val="28"/>
        </w:rPr>
        <w:t>的</w:t>
      </w:r>
      <w:r>
        <w:rPr>
          <w:rFonts w:hint="eastAsia" w:ascii="Times New Roman"/>
          <w:color w:val="auto"/>
          <w:sz w:val="28"/>
          <w:szCs w:val="28"/>
        </w:rPr>
        <w:t>钻井</w:t>
      </w:r>
      <w:r>
        <w:rPr>
          <w:rFonts w:ascii="Times New Roman"/>
          <w:color w:val="auto"/>
          <w:sz w:val="28"/>
          <w:szCs w:val="28"/>
        </w:rPr>
        <w:t>废水、固废</w:t>
      </w:r>
      <w:r>
        <w:rPr>
          <w:rFonts w:hint="eastAsia" w:ascii="Times New Roman"/>
          <w:color w:val="auto"/>
          <w:sz w:val="28"/>
          <w:szCs w:val="28"/>
        </w:rPr>
        <w:t>等</w:t>
      </w:r>
      <w:r>
        <w:rPr>
          <w:rFonts w:ascii="Times New Roman"/>
          <w:color w:val="auto"/>
          <w:sz w:val="28"/>
          <w:szCs w:val="28"/>
        </w:rPr>
        <w:t>污染物</w:t>
      </w:r>
      <w:r>
        <w:rPr>
          <w:rFonts w:hint="eastAsia" w:ascii="Times New Roman"/>
          <w:color w:val="auto"/>
          <w:sz w:val="28"/>
          <w:szCs w:val="28"/>
        </w:rPr>
        <w:t>量与</w:t>
      </w:r>
      <w:r>
        <w:rPr>
          <w:rFonts w:ascii="Times New Roman"/>
          <w:color w:val="auto"/>
          <w:sz w:val="28"/>
          <w:szCs w:val="28"/>
        </w:rPr>
        <w:t>井深</w:t>
      </w:r>
      <w:r>
        <w:rPr>
          <w:rFonts w:hint="eastAsia" w:ascii="Times New Roman"/>
          <w:color w:val="auto"/>
          <w:sz w:val="28"/>
          <w:szCs w:val="28"/>
        </w:rPr>
        <w:t>正</w:t>
      </w:r>
      <w:r>
        <w:rPr>
          <w:rFonts w:ascii="Times New Roman"/>
          <w:color w:val="auto"/>
          <w:sz w:val="28"/>
          <w:szCs w:val="28"/>
        </w:rPr>
        <w:t>相关，</w:t>
      </w:r>
      <w:r>
        <w:rPr>
          <w:rFonts w:hint="eastAsia" w:ascii="Times New Roman"/>
          <w:color w:val="auto"/>
          <w:sz w:val="28"/>
          <w:szCs w:val="28"/>
        </w:rPr>
        <w:t>且</w:t>
      </w:r>
      <w:r>
        <w:rPr>
          <w:rFonts w:ascii="Times New Roman"/>
          <w:color w:val="auto"/>
          <w:sz w:val="28"/>
          <w:szCs w:val="28"/>
        </w:rPr>
        <w:t>污染物</w:t>
      </w:r>
      <w:r>
        <w:rPr>
          <w:rFonts w:hint="eastAsia" w:ascii="Times New Roman"/>
          <w:color w:val="auto"/>
          <w:sz w:val="28"/>
          <w:szCs w:val="28"/>
        </w:rPr>
        <w:t>种类</w:t>
      </w:r>
      <w:r>
        <w:rPr>
          <w:rFonts w:ascii="Times New Roman"/>
          <w:color w:val="auto"/>
          <w:sz w:val="28"/>
          <w:szCs w:val="28"/>
        </w:rPr>
        <w:t>和性质具有</w:t>
      </w:r>
      <w:r>
        <w:rPr>
          <w:rFonts w:hint="eastAsia" w:ascii="Times New Roman"/>
          <w:color w:val="auto"/>
          <w:sz w:val="28"/>
          <w:szCs w:val="28"/>
        </w:rPr>
        <w:t>相似</w:t>
      </w:r>
      <w:r>
        <w:rPr>
          <w:rFonts w:ascii="Times New Roman"/>
          <w:color w:val="auto"/>
          <w:sz w:val="28"/>
          <w:szCs w:val="28"/>
        </w:rPr>
        <w:t>的特征</w:t>
      </w:r>
      <w:r>
        <w:rPr>
          <w:rFonts w:hint="eastAsia" w:ascii="Times New Roman"/>
          <w:color w:val="auto"/>
          <w:sz w:val="28"/>
          <w:szCs w:val="28"/>
        </w:rPr>
        <w:t>，故在</w:t>
      </w:r>
      <w:r>
        <w:rPr>
          <w:rFonts w:ascii="Times New Roman"/>
          <w:color w:val="auto"/>
          <w:sz w:val="28"/>
          <w:szCs w:val="28"/>
        </w:rPr>
        <w:t>施工</w:t>
      </w:r>
      <w:r>
        <w:rPr>
          <w:rFonts w:hint="eastAsia" w:ascii="Times New Roman"/>
          <w:color w:val="auto"/>
          <w:sz w:val="28"/>
          <w:szCs w:val="28"/>
        </w:rPr>
        <w:t>废水及固废等源强</w:t>
      </w:r>
      <w:r>
        <w:rPr>
          <w:rFonts w:ascii="Times New Roman"/>
          <w:color w:val="auto"/>
          <w:sz w:val="28"/>
          <w:szCs w:val="28"/>
        </w:rPr>
        <w:t>核算上</w:t>
      </w:r>
      <w:r>
        <w:rPr>
          <w:rFonts w:hint="eastAsia" w:ascii="Times New Roman"/>
          <w:color w:val="auto"/>
          <w:sz w:val="28"/>
          <w:szCs w:val="28"/>
        </w:rPr>
        <w:t>采用指南</w:t>
      </w:r>
      <w:r>
        <w:rPr>
          <w:rFonts w:ascii="Times New Roman"/>
          <w:color w:val="auto"/>
          <w:sz w:val="28"/>
          <w:szCs w:val="28"/>
        </w:rPr>
        <w:t>中</w:t>
      </w:r>
      <w:r>
        <w:rPr>
          <w:rFonts w:hint="eastAsia" w:ascii="Times New Roman"/>
          <w:color w:val="auto"/>
          <w:sz w:val="28"/>
          <w:szCs w:val="28"/>
        </w:rPr>
        <w:t>推荐</w:t>
      </w:r>
      <w:r>
        <w:rPr>
          <w:rFonts w:ascii="Times New Roman"/>
          <w:color w:val="auto"/>
          <w:sz w:val="28"/>
          <w:szCs w:val="28"/>
        </w:rPr>
        <w:t>的类比法。</w:t>
      </w:r>
    </w:p>
    <w:p>
      <w:pPr>
        <w:pStyle w:val="6"/>
        <w:snapToGrid w:val="0"/>
        <w:spacing w:before="159" w:beforeLines="50" w:after="159" w:afterLines="50" w:line="500" w:lineRule="exact"/>
        <w:rPr>
          <w:rFonts w:ascii="Times New Roman" w:hAnsi="Times New Roman" w:eastAsia="宋体"/>
          <w:b w:val="0"/>
          <w:color w:val="auto"/>
          <w:lang w:bidi="ar"/>
        </w:rPr>
      </w:pPr>
      <w:r>
        <w:rPr>
          <w:rFonts w:ascii="Times New Roman" w:hAnsi="Times New Roman" w:eastAsia="宋体"/>
          <w:b w:val="0"/>
          <w:color w:val="auto"/>
          <w:lang w:bidi="ar"/>
        </w:rPr>
        <w:t>废气</w:t>
      </w:r>
    </w:p>
    <w:p>
      <w:pPr>
        <w:pStyle w:val="21"/>
        <w:spacing w:line="480" w:lineRule="exact"/>
        <w:rPr>
          <w:rFonts w:ascii="Times New Roman"/>
          <w:color w:val="auto"/>
          <w:sz w:val="28"/>
          <w:szCs w:val="28"/>
        </w:rPr>
      </w:pPr>
      <w:r>
        <w:rPr>
          <w:rFonts w:ascii="Times New Roman"/>
          <w:color w:val="auto"/>
          <w:sz w:val="28"/>
          <w:szCs w:val="28"/>
        </w:rPr>
        <w:t>施工期废气主要为钻井工程柴油机燃烧排放的烟气，施工时开挖、土方堆填、车辆运输、恢复原有地面等过程中产生的扬尘，施工处车辆等设备设施排放尾气。</w:t>
      </w:r>
    </w:p>
    <w:p>
      <w:pPr>
        <w:pStyle w:val="21"/>
        <w:spacing w:line="480" w:lineRule="exact"/>
        <w:rPr>
          <w:rFonts w:ascii="Times New Roman"/>
          <w:color w:val="auto"/>
          <w:sz w:val="28"/>
          <w:szCs w:val="28"/>
        </w:rPr>
      </w:pPr>
      <w:r>
        <w:rPr>
          <w:rFonts w:ascii="Times New Roman"/>
          <w:color w:val="auto"/>
          <w:sz w:val="28"/>
          <w:szCs w:val="28"/>
        </w:rPr>
        <w:t>（1）柴油机排放的烟气</w:t>
      </w:r>
    </w:p>
    <w:p>
      <w:pPr>
        <w:pStyle w:val="21"/>
        <w:spacing w:line="480" w:lineRule="exact"/>
        <w:rPr>
          <w:rFonts w:ascii="Times New Roman"/>
          <w:color w:val="auto"/>
          <w:sz w:val="28"/>
          <w:szCs w:val="28"/>
        </w:rPr>
      </w:pPr>
      <w:r>
        <w:rPr>
          <w:rFonts w:hint="eastAsia" w:ascii="Times New Roman"/>
          <w:color w:val="auto"/>
          <w:sz w:val="28"/>
          <w:szCs w:val="28"/>
        </w:rPr>
        <w:t>根据物料消耗核算部分可知，本工程柴油消耗量为</w:t>
      </w:r>
      <w:r>
        <w:rPr>
          <w:rFonts w:hint="eastAsia"/>
          <w:color w:val="auto"/>
          <w:sz w:val="28"/>
          <w:szCs w:val="28"/>
          <w:lang w:val="en-US" w:eastAsia="zh-CN"/>
        </w:rPr>
        <w:t>2100.4</w:t>
      </w:r>
      <w:r>
        <w:rPr>
          <w:rFonts w:ascii="Times New Roman"/>
          <w:color w:val="auto"/>
          <w:sz w:val="28"/>
          <w:szCs w:val="28"/>
        </w:rPr>
        <w:t>t</w:t>
      </w:r>
      <w:r>
        <w:rPr>
          <w:rFonts w:hint="eastAsia" w:ascii="Times New Roman"/>
          <w:color w:val="auto"/>
          <w:sz w:val="28"/>
          <w:szCs w:val="28"/>
        </w:rPr>
        <w:t>，</w:t>
      </w:r>
      <w:r>
        <w:rPr>
          <w:rFonts w:ascii="Times New Roman"/>
          <w:color w:val="auto"/>
          <w:sz w:val="28"/>
          <w:szCs w:val="28"/>
        </w:rPr>
        <w:t>柴油机运转时将产生燃烧烟气。</w:t>
      </w:r>
      <w:r>
        <w:rPr>
          <w:rFonts w:hint="eastAsia" w:ascii="Times New Roman"/>
          <w:color w:val="auto"/>
          <w:sz w:val="28"/>
          <w:szCs w:val="28"/>
        </w:rPr>
        <w:t>根据系数法，</w:t>
      </w:r>
      <w:r>
        <w:rPr>
          <w:rFonts w:ascii="Times New Roman"/>
          <w:color w:val="auto"/>
          <w:sz w:val="28"/>
          <w:szCs w:val="28"/>
        </w:rPr>
        <w:t>烟气产生量按12m</w:t>
      </w:r>
      <w:r>
        <w:rPr>
          <w:rFonts w:ascii="Times New Roman"/>
          <w:color w:val="auto"/>
          <w:sz w:val="28"/>
          <w:szCs w:val="28"/>
          <w:vertAlign w:val="superscript"/>
        </w:rPr>
        <w:t>3</w:t>
      </w:r>
      <w:r>
        <w:rPr>
          <w:rFonts w:ascii="Times New Roman"/>
          <w:color w:val="auto"/>
          <w:sz w:val="28"/>
          <w:szCs w:val="28"/>
        </w:rPr>
        <w:t>/kg计</w:t>
      </w:r>
      <w:r>
        <w:rPr>
          <w:rFonts w:hint="eastAsia" w:ascii="Times New Roman"/>
          <w:color w:val="auto"/>
          <w:sz w:val="28"/>
          <w:szCs w:val="28"/>
        </w:rPr>
        <w:t>，本工程产生的柴油机烟气量为</w:t>
      </w:r>
      <w:r>
        <w:rPr>
          <w:rFonts w:hint="eastAsia"/>
          <w:color w:val="auto"/>
          <w:sz w:val="28"/>
          <w:szCs w:val="28"/>
          <w:lang w:val="en-US" w:eastAsia="zh-CN"/>
        </w:rPr>
        <w:t>2520.48</w:t>
      </w:r>
      <w:r>
        <w:rPr>
          <w:rFonts w:ascii="Times New Roman"/>
          <w:color w:val="auto"/>
          <w:sz w:val="28"/>
          <w:szCs w:val="28"/>
        </w:rPr>
        <w:t>×10</w:t>
      </w:r>
      <w:r>
        <w:rPr>
          <w:rFonts w:ascii="Times New Roman"/>
          <w:color w:val="auto"/>
          <w:sz w:val="28"/>
          <w:szCs w:val="28"/>
          <w:vertAlign w:val="superscript"/>
        </w:rPr>
        <w:t>4</w:t>
      </w:r>
      <w:r>
        <w:rPr>
          <w:rFonts w:ascii="Times New Roman"/>
          <w:color w:val="auto"/>
          <w:sz w:val="28"/>
          <w:szCs w:val="28"/>
        </w:rPr>
        <w:t>m</w:t>
      </w:r>
      <w:r>
        <w:rPr>
          <w:rFonts w:ascii="Times New Roman"/>
          <w:color w:val="auto"/>
          <w:sz w:val="28"/>
          <w:szCs w:val="28"/>
          <w:vertAlign w:val="superscript"/>
        </w:rPr>
        <w:t>3</w:t>
      </w:r>
      <w:r>
        <w:rPr>
          <w:rFonts w:hint="eastAsia" w:ascii="Times New Roman"/>
          <w:color w:val="auto"/>
          <w:sz w:val="28"/>
          <w:szCs w:val="28"/>
        </w:rPr>
        <w:t>。</w:t>
      </w:r>
      <w:r>
        <w:rPr>
          <w:rFonts w:ascii="Times New Roman"/>
          <w:color w:val="auto"/>
          <w:sz w:val="28"/>
          <w:szCs w:val="28"/>
        </w:rPr>
        <w:t>根据环评工程师注册培训教材《社会区域》中所提供的柴油发电机废气污染物排放系数，以柴油消耗量为基数计算柴油发电机废气污染物排放量，</w:t>
      </w:r>
      <w:r>
        <w:rPr>
          <w:rFonts w:hint="eastAsia" w:ascii="Times New Roman"/>
          <w:color w:val="auto"/>
          <w:sz w:val="28"/>
          <w:szCs w:val="28"/>
        </w:rPr>
        <w:t>根据物料消耗核算部分，本工程消耗柴油共计</w:t>
      </w:r>
      <w:r>
        <w:rPr>
          <w:rFonts w:hint="eastAsia"/>
          <w:color w:val="auto"/>
          <w:sz w:val="28"/>
          <w:szCs w:val="28"/>
          <w:lang w:val="en-US" w:eastAsia="zh-CN"/>
        </w:rPr>
        <w:t>14893.47</w:t>
      </w:r>
      <w:r>
        <w:rPr>
          <w:rFonts w:hint="eastAsia" w:ascii="Times New Roman"/>
          <w:color w:val="auto"/>
          <w:sz w:val="28"/>
          <w:szCs w:val="28"/>
        </w:rPr>
        <w:t>，</w:t>
      </w:r>
      <w:r>
        <w:rPr>
          <w:rFonts w:ascii="Times New Roman"/>
          <w:color w:val="auto"/>
          <w:sz w:val="28"/>
          <w:szCs w:val="28"/>
        </w:rPr>
        <w:t>1吨0#柴油体积为1162L，共有</w:t>
      </w:r>
      <w:r>
        <w:rPr>
          <w:rFonts w:hint="eastAsia"/>
          <w:color w:val="auto"/>
          <w:sz w:val="28"/>
          <w:szCs w:val="28"/>
          <w:lang w:val="en-US" w:eastAsia="zh-CN"/>
        </w:rPr>
        <w:t>17306208</w:t>
      </w:r>
      <w:r>
        <w:rPr>
          <w:rFonts w:ascii="Times New Roman"/>
          <w:color w:val="auto"/>
          <w:sz w:val="28"/>
          <w:szCs w:val="28"/>
        </w:rPr>
        <w:t>L</w:t>
      </w:r>
      <w:r>
        <w:rPr>
          <w:rFonts w:hint="eastAsia" w:ascii="Times New Roman"/>
          <w:color w:val="auto"/>
          <w:sz w:val="28"/>
          <w:szCs w:val="28"/>
        </w:rPr>
        <w:t>。柴油机烟气</w:t>
      </w:r>
      <w:r>
        <w:rPr>
          <w:rFonts w:ascii="Times New Roman"/>
          <w:color w:val="auto"/>
          <w:sz w:val="28"/>
          <w:szCs w:val="28"/>
        </w:rPr>
        <w:t>主要污染物为PM（颗粒物）、NO</w:t>
      </w:r>
      <w:r>
        <w:rPr>
          <w:rFonts w:ascii="Times New Roman"/>
          <w:color w:val="auto"/>
          <w:sz w:val="28"/>
          <w:szCs w:val="28"/>
          <w:vertAlign w:val="subscript"/>
        </w:rPr>
        <w:t>X</w:t>
      </w:r>
      <w:r>
        <w:rPr>
          <w:rFonts w:ascii="Times New Roman"/>
          <w:color w:val="auto"/>
          <w:sz w:val="28"/>
          <w:szCs w:val="28"/>
        </w:rPr>
        <w:t>、HC（烃类）、CO等。</w:t>
      </w:r>
      <w:r>
        <w:rPr>
          <w:rFonts w:hint="eastAsia" w:ascii="Times New Roman"/>
          <w:color w:val="auto"/>
          <w:sz w:val="28"/>
          <w:szCs w:val="28"/>
        </w:rPr>
        <w:t>柴油机排放污染物为无组织排放，本工程采用达到国家相关标准的设备且采用低标号柴油，排放的污染物能够达标排放，</w:t>
      </w:r>
      <w:r>
        <w:rPr>
          <w:rFonts w:ascii="Times New Roman"/>
          <w:color w:val="auto"/>
          <w:sz w:val="28"/>
          <w:szCs w:val="28"/>
        </w:rPr>
        <w:t>柴油机污染物排放情况见下表</w:t>
      </w:r>
      <w:r>
        <w:rPr>
          <w:rFonts w:hint="eastAsia"/>
          <w:color w:val="auto"/>
          <w:sz w:val="28"/>
          <w:szCs w:val="28"/>
          <w:lang w:val="en-US" w:eastAsia="zh-CN"/>
        </w:rPr>
        <w:t>3.5-1</w:t>
      </w:r>
      <w:r>
        <w:rPr>
          <w:rFonts w:ascii="Times New Roman"/>
          <w:color w:val="auto"/>
          <w:sz w:val="28"/>
          <w:szCs w:val="28"/>
        </w:rPr>
        <w:t>。</w:t>
      </w:r>
    </w:p>
    <w:p>
      <w:pPr>
        <w:pStyle w:val="7"/>
        <w:numPr>
          <w:ilvl w:val="4"/>
          <w:numId w:val="2"/>
        </w:numPr>
        <w:bidi w:val="0"/>
        <w:rPr>
          <w:rFonts w:ascii="Times New Roman"/>
          <w:color w:val="auto"/>
          <w:sz w:val="28"/>
          <w:szCs w:val="28"/>
        </w:rPr>
      </w:pPr>
      <w:r>
        <w:rPr>
          <w:rFonts w:ascii="Times New Roman"/>
          <w:color w:val="auto"/>
          <w:sz w:val="28"/>
          <w:szCs w:val="28"/>
        </w:rPr>
        <w:t>柴油发电机废气污染物排放情况表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1047"/>
        <w:gridCol w:w="1089"/>
        <w:gridCol w:w="1106"/>
        <w:gridCol w:w="1433"/>
        <w:gridCol w:w="1032"/>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hAnsi="宋体"/>
                <w:color w:val="auto"/>
              </w:rPr>
              <w:t>项目</w:t>
            </w:r>
          </w:p>
        </w:tc>
        <w:tc>
          <w:tcPr>
            <w:tcW w:w="104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Style w:val="88"/>
                <w:rFonts w:eastAsia="等线"/>
                <w:color w:val="auto"/>
                <w:lang w:val="en-US" w:eastAsia="zh-CN" w:bidi="ar"/>
              </w:rPr>
              <w:t>SO</w:t>
            </w:r>
            <w:r>
              <w:rPr>
                <w:rStyle w:val="89"/>
                <w:rFonts w:eastAsia="等线"/>
                <w:color w:val="auto"/>
                <w:lang w:val="en-US" w:eastAsia="zh-CN" w:bidi="ar"/>
              </w:rPr>
              <w:t>2</w:t>
            </w:r>
          </w:p>
        </w:tc>
        <w:tc>
          <w:tcPr>
            <w:tcW w:w="108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eastAsia" w:ascii="宋体" w:hAnsi="宋体" w:eastAsia="宋体" w:cs="宋体"/>
                <w:i w:val="0"/>
                <w:color w:val="auto"/>
                <w:kern w:val="0"/>
                <w:sz w:val="21"/>
                <w:szCs w:val="21"/>
                <w:u w:val="none"/>
                <w:lang w:val="en-US" w:eastAsia="zh-CN" w:bidi="ar"/>
              </w:rPr>
              <w:t>烟尘</w:t>
            </w:r>
          </w:p>
        </w:tc>
        <w:tc>
          <w:tcPr>
            <w:tcW w:w="110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Style w:val="88"/>
                <w:rFonts w:eastAsia="等线"/>
                <w:color w:val="auto"/>
                <w:lang w:val="en-US" w:eastAsia="zh-CN" w:bidi="ar"/>
              </w:rPr>
              <w:t>NO</w:t>
            </w:r>
            <w:r>
              <w:rPr>
                <w:rStyle w:val="89"/>
                <w:rFonts w:eastAsia="等线"/>
                <w:color w:val="auto"/>
                <w:lang w:val="en-US" w:eastAsia="zh-CN" w:bidi="ar"/>
              </w:rPr>
              <w:t>x</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HC</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Style w:val="88"/>
                <w:rFonts w:eastAsia="等线"/>
                <w:color w:val="auto"/>
                <w:lang w:val="en-US" w:eastAsia="zh-CN" w:bidi="ar"/>
              </w:rPr>
              <w:t>HC+NO</w:t>
            </w:r>
            <w:r>
              <w:rPr>
                <w:rStyle w:val="89"/>
                <w:rFonts w:eastAsia="等线"/>
                <w:color w:val="auto"/>
                <w:lang w:val="en-US" w:eastAsia="zh-CN" w:bidi="ar"/>
              </w:rPr>
              <w:t>x</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1"/>
                <w:szCs w:val="21"/>
                <w:u w:val="none"/>
                <w:lang w:val="en-US" w:eastAsia="zh-CN" w:bidi="ar"/>
              </w:rPr>
              <w:t>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hAnsi="宋体"/>
                <w:color w:val="auto"/>
              </w:rPr>
              <w:t>排放系数（</w:t>
            </w:r>
            <w:r>
              <w:rPr>
                <w:rFonts w:hint="default"/>
                <w:color w:val="auto"/>
              </w:rPr>
              <w:t>g/t</w:t>
            </w:r>
            <w:r>
              <w:rPr>
                <w:rFonts w:hint="default" w:hAnsi="宋体"/>
                <w:color w:val="auto"/>
              </w:rPr>
              <w:t>）</w:t>
            </w:r>
          </w:p>
        </w:tc>
        <w:tc>
          <w:tcPr>
            <w:tcW w:w="104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4</w:t>
            </w:r>
          </w:p>
        </w:tc>
        <w:tc>
          <w:tcPr>
            <w:tcW w:w="108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0.714</w:t>
            </w:r>
          </w:p>
        </w:tc>
        <w:tc>
          <w:tcPr>
            <w:tcW w:w="110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2.56</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1.489</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4.049</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1"/>
                <w:szCs w:val="21"/>
                <w:u w:val="none"/>
                <w:lang w:val="en-US" w:eastAsia="zh-CN"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hAnsi="宋体"/>
                <w:color w:val="auto"/>
              </w:rPr>
              <w:t>每千瓦时排放量（</w:t>
            </w:r>
            <w:r>
              <w:rPr>
                <w:rFonts w:hint="default"/>
                <w:color w:val="auto"/>
              </w:rPr>
              <w:t>g/kwh</w:t>
            </w:r>
            <w:r>
              <w:rPr>
                <w:rFonts w:hint="default" w:hAnsi="宋体"/>
                <w:color w:val="auto"/>
              </w:rPr>
              <w:t>）</w:t>
            </w:r>
          </w:p>
        </w:tc>
        <w:tc>
          <w:tcPr>
            <w:tcW w:w="104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0.972</w:t>
            </w:r>
          </w:p>
        </w:tc>
        <w:tc>
          <w:tcPr>
            <w:tcW w:w="108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0.174</w:t>
            </w:r>
          </w:p>
        </w:tc>
        <w:tc>
          <w:tcPr>
            <w:tcW w:w="110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0.622</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1"/>
                <w:szCs w:val="21"/>
                <w:u w:val="none"/>
                <w:lang w:val="en-US" w:eastAsia="zh-CN" w:bidi="ar"/>
              </w:rPr>
              <w:t>0.362</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0.984</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1"/>
                <w:szCs w:val="21"/>
                <w:u w:val="none"/>
                <w:lang w:val="en-US" w:eastAsia="zh-CN" w:bidi="ar"/>
              </w:rPr>
              <w:t>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hAnsi="宋体"/>
                <w:color w:val="auto"/>
              </w:rPr>
              <w:t>第三阶段排放标准限值（</w:t>
            </w:r>
            <w:r>
              <w:rPr>
                <w:rFonts w:hint="default"/>
                <w:color w:val="auto"/>
              </w:rPr>
              <w:t>g/kwh</w:t>
            </w:r>
            <w:r>
              <w:rPr>
                <w:rFonts w:hint="default" w:hAnsi="宋体"/>
                <w:color w:val="auto"/>
              </w:rPr>
              <w:t>）</w:t>
            </w:r>
          </w:p>
        </w:tc>
        <w:tc>
          <w:tcPr>
            <w:tcW w:w="1047"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w:t>
            </w:r>
          </w:p>
        </w:tc>
        <w:tc>
          <w:tcPr>
            <w:tcW w:w="108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1"/>
                <w:szCs w:val="21"/>
                <w:u w:val="none"/>
                <w:lang w:val="en-US" w:eastAsia="zh-CN" w:bidi="ar"/>
              </w:rPr>
              <w:t>0.2</w:t>
            </w:r>
          </w:p>
        </w:tc>
        <w:tc>
          <w:tcPr>
            <w:tcW w:w="1106"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等线" w:cs="Times New Roman"/>
                <w:i w:val="0"/>
                <w:color w:val="auto"/>
                <w:kern w:val="0"/>
                <w:sz w:val="21"/>
                <w:szCs w:val="21"/>
                <w:u w:val="none"/>
                <w:lang w:val="en-US" w:eastAsia="zh-CN" w:bidi="ar"/>
              </w:rPr>
              <w:t>6.4</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1"/>
                <w:szCs w:val="21"/>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hAnsi="宋体"/>
                <w:color w:val="auto"/>
              </w:rPr>
              <w:t>合计排放量（</w:t>
            </w:r>
            <w:r>
              <w:rPr>
                <w:rFonts w:hint="default"/>
                <w:color w:val="auto"/>
              </w:rPr>
              <w:t>t</w:t>
            </w:r>
            <w:r>
              <w:rPr>
                <w:rFonts w:hint="default" w:hAnsi="宋体"/>
                <w:color w:val="auto"/>
              </w:rPr>
              <w:t>）</w:t>
            </w:r>
          </w:p>
        </w:tc>
        <w:tc>
          <w:tcPr>
            <w:tcW w:w="1047"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2"/>
                <w:szCs w:val="22"/>
                <w:u w:val="none"/>
                <w:lang w:val="en-US" w:eastAsia="zh-CN" w:bidi="ar"/>
              </w:rPr>
              <w:t>9.8</w:t>
            </w:r>
          </w:p>
        </w:tc>
        <w:tc>
          <w:tcPr>
            <w:tcW w:w="1089"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2"/>
                <w:szCs w:val="22"/>
                <w:u w:val="none"/>
                <w:lang w:val="en-US" w:eastAsia="zh-CN" w:bidi="ar"/>
              </w:rPr>
              <w:t>1.7</w:t>
            </w:r>
          </w:p>
        </w:tc>
        <w:tc>
          <w:tcPr>
            <w:tcW w:w="1106"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2"/>
                <w:szCs w:val="22"/>
                <w:u w:val="none"/>
                <w:lang w:val="en-US" w:eastAsia="zh-CN" w:bidi="ar"/>
              </w:rPr>
              <w:t>6.2</w:t>
            </w:r>
          </w:p>
        </w:tc>
        <w:tc>
          <w:tcPr>
            <w:tcW w:w="1433"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2"/>
                <w:szCs w:val="22"/>
                <w:u w:val="none"/>
                <w:lang w:val="en-US" w:eastAsia="zh-CN" w:bidi="ar"/>
              </w:rPr>
              <w:t>3.6</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2"/>
                <w:szCs w:val="22"/>
                <w:u w:val="none"/>
                <w:lang w:val="en-US" w:eastAsia="zh-CN" w:bidi="ar"/>
              </w:rPr>
              <w:t>9.9</w:t>
            </w:r>
          </w:p>
        </w:tc>
        <w:tc>
          <w:tcPr>
            <w:tcW w:w="1032" w:type="dxa"/>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default" w:ascii="Times New Roman" w:hAnsi="Times New Roman" w:eastAsia="等线" w:cs="Times New Roman"/>
                <w:i w:val="0"/>
                <w:color w:val="auto"/>
                <w:kern w:val="0"/>
                <w:sz w:val="22"/>
                <w:szCs w:val="22"/>
                <w:u w:val="none"/>
                <w:lang w:val="en-US" w:eastAsia="zh-CN" w:bidi="ar"/>
              </w:rPr>
              <w:t>3.7</w:t>
            </w:r>
          </w:p>
        </w:tc>
      </w:tr>
    </w:tbl>
    <w:p>
      <w:pPr>
        <w:pStyle w:val="21"/>
        <w:spacing w:line="480" w:lineRule="exact"/>
        <w:rPr>
          <w:rFonts w:ascii="Times New Roman"/>
          <w:color w:val="auto"/>
          <w:sz w:val="28"/>
          <w:szCs w:val="28"/>
        </w:rPr>
      </w:pPr>
      <w:r>
        <w:rPr>
          <w:rFonts w:ascii="Times New Roman"/>
          <w:color w:val="auto"/>
          <w:sz w:val="28"/>
          <w:szCs w:val="28"/>
        </w:rPr>
        <w:t>（2）施工扬尘</w:t>
      </w:r>
    </w:p>
    <w:p>
      <w:pPr>
        <w:pStyle w:val="21"/>
        <w:spacing w:line="480" w:lineRule="exact"/>
        <w:rPr>
          <w:rFonts w:ascii="Times New Roman"/>
          <w:color w:val="auto"/>
          <w:sz w:val="28"/>
          <w:szCs w:val="28"/>
        </w:rPr>
      </w:pPr>
      <w:r>
        <w:rPr>
          <w:rFonts w:ascii="Times New Roman"/>
          <w:color w:val="auto"/>
          <w:sz w:val="28"/>
          <w:szCs w:val="28"/>
        </w:rPr>
        <w:t>施工期产生的废气主要为平整井场、设备搬迁安装等施工产生的扬尘。根据相关工程的现场模拟数据调查，在距施工现场50m处，产生的扬尘可降至1.0mg/m</w:t>
      </w:r>
      <w:r>
        <w:rPr>
          <w:rFonts w:ascii="Times New Roman"/>
          <w:color w:val="auto"/>
          <w:sz w:val="28"/>
          <w:szCs w:val="28"/>
          <w:vertAlign w:val="superscript"/>
        </w:rPr>
        <w:t>3</w:t>
      </w:r>
      <w:r>
        <w:rPr>
          <w:rFonts w:ascii="Times New Roman"/>
          <w:color w:val="auto"/>
          <w:sz w:val="28"/>
          <w:szCs w:val="28"/>
        </w:rPr>
        <w:t>。另外，进出施工场地的运输车辆也会造成施工作业场所近地面粉尘浓度的升高，施工及运输车辆引起的扬尘仅对路边30m范围以内影响较大，而且成线型污染，路边的TSP浓度可达10mg/m</w:t>
      </w:r>
      <w:r>
        <w:rPr>
          <w:rFonts w:ascii="Times New Roman"/>
          <w:color w:val="auto"/>
          <w:sz w:val="28"/>
          <w:szCs w:val="28"/>
          <w:vertAlign w:val="superscript"/>
        </w:rPr>
        <w:t>3</w:t>
      </w:r>
      <w:r>
        <w:rPr>
          <w:rFonts w:ascii="Times New Roman"/>
          <w:color w:val="auto"/>
          <w:sz w:val="28"/>
          <w:szCs w:val="28"/>
        </w:rPr>
        <w:t>以上，一般浓度在1.5～30mg/m</w:t>
      </w:r>
      <w:r>
        <w:rPr>
          <w:rFonts w:ascii="Times New Roman"/>
          <w:color w:val="auto"/>
          <w:sz w:val="28"/>
          <w:szCs w:val="28"/>
          <w:vertAlign w:val="superscript"/>
        </w:rPr>
        <w:t>3</w:t>
      </w:r>
      <w:r>
        <w:rPr>
          <w:rFonts w:ascii="Times New Roman"/>
          <w:color w:val="auto"/>
          <w:sz w:val="28"/>
          <w:szCs w:val="28"/>
        </w:rPr>
        <w:t>。</w:t>
      </w:r>
    </w:p>
    <w:p>
      <w:pPr>
        <w:pStyle w:val="21"/>
        <w:spacing w:line="480" w:lineRule="exact"/>
        <w:rPr>
          <w:rFonts w:ascii="Times New Roman"/>
          <w:color w:val="auto"/>
          <w:sz w:val="28"/>
          <w:szCs w:val="28"/>
        </w:rPr>
      </w:pPr>
      <w:r>
        <w:rPr>
          <w:rFonts w:ascii="Times New Roman"/>
          <w:color w:val="auto"/>
          <w:sz w:val="28"/>
          <w:szCs w:val="28"/>
        </w:rPr>
        <w:t>（</w:t>
      </w:r>
      <w:r>
        <w:rPr>
          <w:rFonts w:hint="eastAsia" w:ascii="Times New Roman"/>
          <w:color w:val="auto"/>
          <w:sz w:val="28"/>
          <w:szCs w:val="28"/>
        </w:rPr>
        <w:t>3</w:t>
      </w:r>
      <w:r>
        <w:rPr>
          <w:rFonts w:ascii="Times New Roman"/>
          <w:color w:val="auto"/>
          <w:sz w:val="28"/>
          <w:szCs w:val="28"/>
        </w:rPr>
        <w:t>）施工车辆排放的尾气</w:t>
      </w:r>
    </w:p>
    <w:p>
      <w:pPr>
        <w:pStyle w:val="21"/>
        <w:spacing w:line="480" w:lineRule="exact"/>
        <w:rPr>
          <w:rFonts w:ascii="Times New Roman"/>
          <w:color w:val="auto"/>
          <w:sz w:val="28"/>
          <w:szCs w:val="28"/>
        </w:rPr>
      </w:pPr>
      <w:r>
        <w:rPr>
          <w:rFonts w:ascii="Times New Roman"/>
          <w:color w:val="auto"/>
          <w:sz w:val="28"/>
          <w:szCs w:val="28"/>
        </w:rPr>
        <w:t>施工期间，运输车辆的发动机排放的尾气含有NO</w:t>
      </w:r>
      <w:r>
        <w:rPr>
          <w:rFonts w:ascii="Times New Roman"/>
          <w:color w:val="auto"/>
          <w:sz w:val="28"/>
          <w:szCs w:val="28"/>
          <w:vertAlign w:val="subscript"/>
        </w:rPr>
        <w:t>2</w:t>
      </w:r>
      <w:r>
        <w:rPr>
          <w:rFonts w:ascii="Times New Roman"/>
          <w:color w:val="auto"/>
          <w:sz w:val="28"/>
          <w:szCs w:val="28"/>
        </w:rPr>
        <w:t>、CO、THC等污染物。一般情况下，各种污染物的排放量不大，且由于车辆排放的尾气为流动的线源，污染不集中且扩散能力相对较快，对局部地区环境的影响不大。</w:t>
      </w:r>
    </w:p>
    <w:p>
      <w:pPr>
        <w:pStyle w:val="83"/>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放空火炬燃烧废气</w:t>
      </w:r>
    </w:p>
    <w:p>
      <w:pPr>
        <w:snapToGrid w:val="0"/>
        <w:spacing w:line="480" w:lineRule="exact"/>
        <w:ind w:firstLine="560" w:firstLineChars="200"/>
        <w:rPr>
          <w:rFonts w:hint="eastAsia" w:hAnsi="宋体"/>
          <w:color w:val="auto"/>
          <w:sz w:val="28"/>
          <w:szCs w:val="28"/>
        </w:rPr>
      </w:pPr>
      <w:r>
        <w:rPr>
          <w:rFonts w:hint="eastAsia" w:hAnsi="宋体"/>
          <w:color w:val="auto"/>
          <w:sz w:val="28"/>
          <w:szCs w:val="28"/>
        </w:rPr>
        <w:t>本工程试气作业过程中，井口分离器分离出的少量天然气通过井场放空火炬燃烧，</w:t>
      </w:r>
      <w:r>
        <w:rPr>
          <w:rFonts w:hAnsi="宋体"/>
          <w:color w:val="auto"/>
          <w:sz w:val="28"/>
          <w:szCs w:val="28"/>
        </w:rPr>
        <w:t>排放的烟气中废气污染物主要有SO</w:t>
      </w:r>
      <w:r>
        <w:rPr>
          <w:color w:val="auto"/>
          <w:sz w:val="28"/>
          <w:szCs w:val="28"/>
          <w:vertAlign w:val="subscript"/>
        </w:rPr>
        <w:t>2</w:t>
      </w:r>
      <w:r>
        <w:rPr>
          <w:rFonts w:hint="eastAsia" w:hAnsi="宋体"/>
          <w:color w:val="auto"/>
          <w:sz w:val="28"/>
          <w:szCs w:val="28"/>
        </w:rPr>
        <w:t>、</w:t>
      </w:r>
      <w:r>
        <w:rPr>
          <w:rFonts w:hAnsi="宋体"/>
          <w:color w:val="auto"/>
          <w:sz w:val="28"/>
          <w:szCs w:val="28"/>
        </w:rPr>
        <w:t>NO</w:t>
      </w:r>
      <w:r>
        <w:rPr>
          <w:color w:val="auto"/>
          <w:sz w:val="28"/>
          <w:szCs w:val="28"/>
          <w:vertAlign w:val="subscript"/>
        </w:rPr>
        <w:t>x</w:t>
      </w:r>
      <w:r>
        <w:rPr>
          <w:rFonts w:hint="eastAsia" w:hAnsi="宋体"/>
          <w:color w:val="auto"/>
          <w:sz w:val="28"/>
          <w:szCs w:val="28"/>
        </w:rPr>
        <w:t>及</w:t>
      </w:r>
      <w:r>
        <w:rPr>
          <w:rFonts w:hAnsi="宋体"/>
          <w:color w:val="auto"/>
          <w:sz w:val="28"/>
          <w:szCs w:val="28"/>
        </w:rPr>
        <w:t>颗粒物</w:t>
      </w:r>
      <w:r>
        <w:rPr>
          <w:rFonts w:hint="eastAsia" w:hAnsi="宋体"/>
          <w:color w:val="auto"/>
          <w:sz w:val="28"/>
          <w:szCs w:val="28"/>
        </w:rPr>
        <w:t>，排放时间很短（14d），对大气环境影响很小。</w:t>
      </w:r>
    </w:p>
    <w:p>
      <w:pPr>
        <w:pStyle w:val="6"/>
        <w:numPr>
          <w:ilvl w:val="3"/>
          <w:numId w:val="2"/>
        </w:numPr>
        <w:snapToGrid w:val="0"/>
        <w:spacing w:before="159" w:beforeLines="50" w:after="159" w:afterLines="50" w:line="500" w:lineRule="exact"/>
        <w:rPr>
          <w:rFonts w:ascii="Times New Roman" w:hAnsi="Times New Roman" w:eastAsia="宋体"/>
          <w:b w:val="0"/>
          <w:color w:val="auto"/>
          <w:lang w:bidi="ar"/>
        </w:rPr>
      </w:pPr>
      <w:r>
        <w:rPr>
          <w:rFonts w:ascii="Times New Roman" w:hAnsi="Times New Roman" w:eastAsia="宋体"/>
          <w:b w:val="0"/>
          <w:color w:val="auto"/>
          <w:lang w:bidi="ar"/>
        </w:rPr>
        <w:t>废水</w:t>
      </w:r>
    </w:p>
    <w:p>
      <w:pPr>
        <w:pStyle w:val="21"/>
        <w:spacing w:line="480" w:lineRule="exact"/>
        <w:rPr>
          <w:rFonts w:ascii="Times New Roman"/>
          <w:color w:val="auto"/>
          <w:sz w:val="28"/>
          <w:szCs w:val="28"/>
        </w:rPr>
      </w:pPr>
      <w:r>
        <w:rPr>
          <w:rFonts w:ascii="Times New Roman"/>
          <w:color w:val="auto"/>
          <w:sz w:val="28"/>
          <w:szCs w:val="28"/>
        </w:rPr>
        <w:t>（1）钻井污水</w:t>
      </w:r>
    </w:p>
    <w:p>
      <w:pPr>
        <w:pStyle w:val="21"/>
        <w:spacing w:line="480" w:lineRule="exact"/>
        <w:rPr>
          <w:rFonts w:ascii="Times New Roman"/>
          <w:color w:val="auto"/>
          <w:sz w:val="28"/>
          <w:szCs w:val="28"/>
        </w:rPr>
      </w:pPr>
      <w:r>
        <w:rPr>
          <w:rFonts w:ascii="Times New Roman"/>
          <w:color w:val="auto"/>
          <w:sz w:val="28"/>
          <w:szCs w:val="28"/>
        </w:rPr>
        <w:t>主要来自钻井过程中冲洗钻台、钻具、设备等产生的废水，主要含有泥浆和岩屑等。钻井废水的产生量随井深和钻井周期变化，</w:t>
      </w:r>
      <w:r>
        <w:rPr>
          <w:rFonts w:hint="eastAsia" w:ascii="Times New Roman"/>
          <w:color w:val="auto"/>
          <w:sz w:val="28"/>
          <w:szCs w:val="28"/>
        </w:rPr>
        <w:t>根据油田生产实际调查数据，</w:t>
      </w:r>
      <w:r>
        <w:rPr>
          <w:rFonts w:ascii="Times New Roman"/>
          <w:color w:val="auto"/>
          <w:sz w:val="28"/>
          <w:szCs w:val="28"/>
        </w:rPr>
        <w:t>每钻进1m平均将排放钻井废水0.02m</w:t>
      </w:r>
      <w:r>
        <w:rPr>
          <w:rFonts w:ascii="Times New Roman"/>
          <w:color w:val="auto"/>
          <w:sz w:val="28"/>
          <w:szCs w:val="28"/>
          <w:vertAlign w:val="superscript"/>
        </w:rPr>
        <w:t>3</w:t>
      </w:r>
      <w:r>
        <w:rPr>
          <w:rFonts w:ascii="Times New Roman"/>
          <w:color w:val="auto"/>
          <w:sz w:val="28"/>
          <w:szCs w:val="28"/>
        </w:rPr>
        <w:t>。钻井总进尺约</w:t>
      </w:r>
      <w:r>
        <w:rPr>
          <w:rFonts w:hint="eastAsia"/>
          <w:color w:val="auto"/>
          <w:sz w:val="28"/>
          <w:szCs w:val="28"/>
          <w:lang w:val="en-US" w:eastAsia="zh-CN"/>
        </w:rPr>
        <w:t>105020</w:t>
      </w:r>
      <w:r>
        <w:rPr>
          <w:rFonts w:ascii="Times New Roman"/>
          <w:color w:val="auto"/>
          <w:sz w:val="28"/>
          <w:szCs w:val="28"/>
        </w:rPr>
        <w:t>m</w:t>
      </w:r>
      <w:r>
        <w:rPr>
          <w:rFonts w:hint="eastAsia"/>
          <w:color w:val="auto"/>
          <w:sz w:val="28"/>
          <w:szCs w:val="28"/>
          <w:lang w:eastAsia="zh-CN"/>
        </w:rPr>
        <w:t>（</w:t>
      </w:r>
      <w:r>
        <w:rPr>
          <w:rFonts w:hint="eastAsia"/>
          <w:color w:val="auto"/>
          <w:sz w:val="28"/>
          <w:szCs w:val="28"/>
          <w:lang w:val="en-US" w:eastAsia="zh-CN"/>
        </w:rPr>
        <w:t>一开二开2000m，三开四开1500m</w:t>
      </w:r>
      <w:r>
        <w:rPr>
          <w:rFonts w:hint="eastAsia"/>
          <w:color w:val="auto"/>
          <w:sz w:val="28"/>
          <w:szCs w:val="28"/>
          <w:lang w:eastAsia="zh-CN"/>
        </w:rPr>
        <w:t>）</w:t>
      </w:r>
      <w:r>
        <w:rPr>
          <w:rFonts w:ascii="Times New Roman"/>
          <w:color w:val="auto"/>
          <w:sz w:val="28"/>
          <w:szCs w:val="28"/>
        </w:rPr>
        <w:t>，产生钻井废水约</w:t>
      </w:r>
      <w:r>
        <w:rPr>
          <w:rFonts w:hint="eastAsia"/>
          <w:color w:val="auto"/>
          <w:sz w:val="28"/>
          <w:szCs w:val="28"/>
          <w:lang w:val="en-US" w:eastAsia="zh-CN"/>
        </w:rPr>
        <w:t>2100.4</w:t>
      </w:r>
      <w:r>
        <w:rPr>
          <w:rFonts w:ascii="Times New Roman"/>
          <w:color w:val="auto"/>
          <w:sz w:val="28"/>
          <w:szCs w:val="28"/>
        </w:rPr>
        <w:t>m</w:t>
      </w:r>
      <w:r>
        <w:rPr>
          <w:rFonts w:ascii="Times New Roman"/>
          <w:color w:val="auto"/>
          <w:sz w:val="28"/>
          <w:szCs w:val="28"/>
          <w:vertAlign w:val="superscript"/>
        </w:rPr>
        <w:t>3</w:t>
      </w:r>
      <w:r>
        <w:rPr>
          <w:rFonts w:hint="eastAsia"/>
          <w:color w:val="auto"/>
          <w:sz w:val="28"/>
          <w:szCs w:val="28"/>
          <w:vertAlign w:val="baseline"/>
          <w:lang w:eastAsia="zh-CN"/>
        </w:rPr>
        <w:t>（</w:t>
      </w:r>
      <w:r>
        <w:rPr>
          <w:rFonts w:hint="eastAsia"/>
          <w:color w:val="auto"/>
          <w:sz w:val="28"/>
          <w:szCs w:val="28"/>
          <w:vertAlign w:val="baseline"/>
          <w:lang w:val="en-US" w:eastAsia="zh-CN"/>
        </w:rPr>
        <w:t>水基钻井废水1200</w:t>
      </w:r>
      <w:r>
        <w:rPr>
          <w:rFonts w:ascii="Times New Roman"/>
          <w:color w:val="auto"/>
          <w:sz w:val="28"/>
          <w:szCs w:val="28"/>
        </w:rPr>
        <w:t>m</w:t>
      </w:r>
      <w:r>
        <w:rPr>
          <w:rFonts w:ascii="Times New Roman"/>
          <w:color w:val="auto"/>
          <w:sz w:val="28"/>
          <w:szCs w:val="28"/>
          <w:vertAlign w:val="superscript"/>
        </w:rPr>
        <w:t>3</w:t>
      </w:r>
      <w:r>
        <w:rPr>
          <w:rFonts w:hint="eastAsia"/>
          <w:color w:val="auto"/>
          <w:sz w:val="28"/>
          <w:szCs w:val="28"/>
          <w:vertAlign w:val="baseline"/>
          <w:lang w:val="en-US" w:eastAsia="zh-CN"/>
        </w:rPr>
        <w:t>，油基钻井废水900.4</w:t>
      </w:r>
      <w:r>
        <w:rPr>
          <w:rFonts w:ascii="Times New Roman"/>
          <w:color w:val="auto"/>
          <w:sz w:val="28"/>
          <w:szCs w:val="28"/>
        </w:rPr>
        <w:t>m</w:t>
      </w:r>
      <w:r>
        <w:rPr>
          <w:rFonts w:ascii="Times New Roman"/>
          <w:color w:val="auto"/>
          <w:sz w:val="28"/>
          <w:szCs w:val="28"/>
          <w:vertAlign w:val="superscript"/>
        </w:rPr>
        <w:t>3</w:t>
      </w:r>
      <w:r>
        <w:rPr>
          <w:rFonts w:hint="eastAsia"/>
          <w:color w:val="auto"/>
          <w:sz w:val="28"/>
          <w:szCs w:val="28"/>
          <w:vertAlign w:val="baseline"/>
          <w:lang w:eastAsia="zh-CN"/>
        </w:rPr>
        <w:t>）</w:t>
      </w:r>
      <w:r>
        <w:rPr>
          <w:rFonts w:hint="eastAsia" w:ascii="Times New Roman"/>
          <w:color w:val="auto"/>
          <w:sz w:val="28"/>
          <w:szCs w:val="28"/>
        </w:rPr>
        <w:t>，钻井废水与同时段产生的废弃钻井液、钻井岩屑混合成为废弃钻井泥浆，本工程钻井过程中产生的钻井污水、</w:t>
      </w:r>
      <w:r>
        <w:rPr>
          <w:rFonts w:hint="eastAsia"/>
          <w:color w:val="auto"/>
          <w:sz w:val="28"/>
          <w:szCs w:val="28"/>
          <w:lang w:val="en-US" w:eastAsia="zh-CN"/>
        </w:rPr>
        <w:t>废弃水基</w:t>
      </w:r>
      <w:r>
        <w:rPr>
          <w:rFonts w:hint="eastAsia" w:ascii="Times New Roman"/>
          <w:color w:val="auto"/>
          <w:sz w:val="28"/>
          <w:szCs w:val="28"/>
        </w:rPr>
        <w:t>钻井液、岩屑执行不落地收集处理工艺，废弃泥浆在井场进行固液分离处理。分离出的液相处理达标后循环利用</w:t>
      </w:r>
      <w:r>
        <w:rPr>
          <w:rFonts w:hint="eastAsia"/>
          <w:color w:val="auto"/>
          <w:sz w:val="28"/>
          <w:szCs w:val="28"/>
          <w:lang w:eastAsia="zh-CN"/>
        </w:rPr>
        <w:t>，</w:t>
      </w:r>
      <w:r>
        <w:rPr>
          <w:rFonts w:hint="eastAsia" w:ascii="Times New Roman"/>
          <w:color w:val="auto"/>
          <w:sz w:val="28"/>
          <w:szCs w:val="28"/>
        </w:rPr>
        <w:t>不排入外环境。三开和四开钻井过程中产生的废弃油基钻井</w:t>
      </w:r>
      <w:r>
        <w:rPr>
          <w:rFonts w:hint="eastAsia"/>
          <w:color w:val="auto"/>
          <w:sz w:val="28"/>
          <w:szCs w:val="28"/>
          <w:lang w:val="en-US" w:eastAsia="zh-CN"/>
        </w:rPr>
        <w:t>废水</w:t>
      </w:r>
      <w:r>
        <w:rPr>
          <w:rFonts w:hint="eastAsia" w:ascii="Times New Roman"/>
          <w:color w:val="auto"/>
          <w:sz w:val="28"/>
          <w:szCs w:val="28"/>
        </w:rPr>
        <w:t>由罐车拉运至大庆中林绿源生物环保有限公司处理。</w:t>
      </w:r>
      <w:r>
        <w:rPr>
          <w:rFonts w:hint="eastAsia"/>
          <w:color w:val="auto"/>
          <w:sz w:val="28"/>
          <w:szCs w:val="28"/>
          <w:lang w:val="en-US" w:eastAsia="zh-CN"/>
        </w:rPr>
        <w:t>均不外排</w:t>
      </w:r>
      <w:r>
        <w:rPr>
          <w:rFonts w:hint="eastAsia" w:ascii="Times New Roman"/>
          <w:color w:val="auto"/>
          <w:sz w:val="28"/>
          <w:szCs w:val="28"/>
        </w:rPr>
        <w:t>钻井污水产生情况见表3</w:t>
      </w:r>
      <w:r>
        <w:rPr>
          <w:rFonts w:ascii="Times New Roman"/>
          <w:color w:val="auto"/>
          <w:sz w:val="28"/>
          <w:szCs w:val="28"/>
        </w:rPr>
        <w:t>.</w:t>
      </w:r>
      <w:r>
        <w:rPr>
          <w:rFonts w:hint="eastAsia"/>
          <w:color w:val="auto"/>
          <w:sz w:val="28"/>
          <w:szCs w:val="28"/>
          <w:lang w:val="en-US" w:eastAsia="zh-CN"/>
        </w:rPr>
        <w:t>5</w:t>
      </w:r>
      <w:r>
        <w:rPr>
          <w:rFonts w:hint="eastAsia" w:ascii="Times New Roman"/>
          <w:color w:val="auto"/>
          <w:sz w:val="28"/>
          <w:szCs w:val="28"/>
        </w:rPr>
        <w:t>-</w:t>
      </w:r>
      <w:r>
        <w:rPr>
          <w:rFonts w:ascii="Times New Roman"/>
          <w:color w:val="auto"/>
          <w:sz w:val="28"/>
          <w:szCs w:val="28"/>
        </w:rPr>
        <w:t>2</w:t>
      </w:r>
      <w:r>
        <w:rPr>
          <w:rFonts w:hint="eastAsia" w:ascii="Times New Roman"/>
          <w:color w:val="auto"/>
          <w:sz w:val="28"/>
          <w:szCs w:val="28"/>
        </w:rPr>
        <w:t>。</w:t>
      </w:r>
    </w:p>
    <w:p>
      <w:pPr>
        <w:pStyle w:val="21"/>
        <w:spacing w:line="480" w:lineRule="exact"/>
        <w:rPr>
          <w:rFonts w:ascii="Times New Roman"/>
          <w:color w:val="auto"/>
          <w:sz w:val="28"/>
          <w:szCs w:val="28"/>
        </w:rPr>
      </w:pPr>
      <w:r>
        <w:rPr>
          <w:rFonts w:ascii="Times New Roman"/>
          <w:color w:val="auto"/>
          <w:sz w:val="28"/>
          <w:szCs w:val="28"/>
        </w:rPr>
        <w:t>（2）生活污水</w:t>
      </w:r>
    </w:p>
    <w:p>
      <w:pPr>
        <w:snapToGrid w:val="0"/>
        <w:spacing w:line="500" w:lineRule="exact"/>
        <w:ind w:firstLine="560" w:firstLineChars="200"/>
        <w:rPr>
          <w:color w:val="auto"/>
          <w:sz w:val="28"/>
          <w:szCs w:val="28"/>
        </w:rPr>
      </w:pPr>
      <w:r>
        <w:rPr>
          <w:rFonts w:hAnsi="宋体"/>
          <w:color w:val="auto"/>
          <w:sz w:val="28"/>
          <w:szCs w:val="28"/>
        </w:rPr>
        <w:t>本工程钻井队在井人数为</w:t>
      </w:r>
      <w:r>
        <w:rPr>
          <w:rFonts w:hint="eastAsia"/>
          <w:color w:val="auto"/>
          <w:sz w:val="28"/>
          <w:szCs w:val="28"/>
          <w:lang w:val="en-US" w:eastAsia="zh-CN"/>
        </w:rPr>
        <w:t>2</w:t>
      </w:r>
      <w:r>
        <w:rPr>
          <w:color w:val="auto"/>
          <w:sz w:val="28"/>
          <w:szCs w:val="28"/>
        </w:rPr>
        <w:t>0人，</w:t>
      </w:r>
      <w:r>
        <w:rPr>
          <w:rFonts w:hint="eastAsia"/>
          <w:color w:val="auto"/>
          <w:sz w:val="28"/>
          <w:szCs w:val="28"/>
          <w:lang w:eastAsia="zh-CN"/>
        </w:rPr>
        <w:t>每口井</w:t>
      </w:r>
      <w:r>
        <w:rPr>
          <w:rFonts w:hint="eastAsia"/>
          <w:color w:val="auto"/>
          <w:sz w:val="28"/>
          <w:szCs w:val="28"/>
        </w:rPr>
        <w:t>钻井时间</w:t>
      </w:r>
      <w:r>
        <w:rPr>
          <w:rFonts w:hint="eastAsia"/>
          <w:color w:val="auto"/>
          <w:sz w:val="28"/>
          <w:szCs w:val="28"/>
          <w:lang w:val="en-US" w:eastAsia="zh-CN"/>
        </w:rPr>
        <w:t>123</w:t>
      </w:r>
      <w:r>
        <w:rPr>
          <w:rFonts w:hint="eastAsia"/>
          <w:color w:val="auto"/>
          <w:sz w:val="28"/>
          <w:szCs w:val="28"/>
        </w:rPr>
        <w:t>天</w:t>
      </w:r>
      <w:r>
        <w:rPr>
          <w:rFonts w:hint="eastAsia"/>
          <w:color w:val="auto"/>
          <w:sz w:val="28"/>
          <w:szCs w:val="28"/>
          <w:lang w:eastAsia="zh-CN"/>
        </w:rPr>
        <w:t>（含搬家及安装，钻进时间为</w:t>
      </w:r>
      <w:r>
        <w:rPr>
          <w:rFonts w:hint="eastAsia"/>
          <w:color w:val="auto"/>
          <w:sz w:val="28"/>
          <w:szCs w:val="28"/>
          <w:lang w:val="en-US" w:eastAsia="zh-CN"/>
        </w:rPr>
        <w:t>117天</w:t>
      </w:r>
      <w:r>
        <w:rPr>
          <w:rFonts w:hint="eastAsia"/>
          <w:color w:val="auto"/>
          <w:sz w:val="28"/>
          <w:szCs w:val="28"/>
          <w:lang w:eastAsia="zh-CN"/>
        </w:rPr>
        <w:t>）</w:t>
      </w:r>
      <w:r>
        <w:rPr>
          <w:rFonts w:hint="eastAsia"/>
          <w:color w:val="auto"/>
          <w:sz w:val="28"/>
          <w:szCs w:val="28"/>
        </w:rPr>
        <w:t>。</w:t>
      </w:r>
      <w:r>
        <w:rPr>
          <w:color w:val="auto"/>
          <w:sz w:val="28"/>
          <w:szCs w:val="28"/>
        </w:rPr>
        <w:t>根</w:t>
      </w:r>
      <w:r>
        <w:rPr>
          <w:rFonts w:hAnsi="宋体"/>
          <w:color w:val="auto"/>
          <w:sz w:val="28"/>
          <w:szCs w:val="28"/>
        </w:rPr>
        <w:t>据</w:t>
      </w:r>
      <w:r>
        <w:rPr>
          <w:rFonts w:hAnsi="宋体"/>
          <w:bCs/>
          <w:color w:val="auto"/>
          <w:sz w:val="28"/>
          <w:szCs w:val="28"/>
        </w:rPr>
        <w:t>《黑龙江省地方标准用水定额》（</w:t>
      </w:r>
      <w:r>
        <w:rPr>
          <w:bCs/>
          <w:color w:val="auto"/>
          <w:sz w:val="28"/>
          <w:szCs w:val="28"/>
        </w:rPr>
        <w:t>DB23/T727-2021</w:t>
      </w:r>
      <w:r>
        <w:rPr>
          <w:rFonts w:hAnsi="宋体"/>
          <w:bCs/>
          <w:color w:val="auto"/>
          <w:sz w:val="28"/>
          <w:szCs w:val="28"/>
        </w:rPr>
        <w:t>）</w:t>
      </w:r>
      <w:r>
        <w:rPr>
          <w:rFonts w:hAnsi="宋体"/>
          <w:color w:val="auto"/>
          <w:kern w:val="0"/>
          <w:sz w:val="28"/>
          <w:szCs w:val="28"/>
        </w:rPr>
        <w:t>，本工程</w:t>
      </w:r>
      <w:r>
        <w:rPr>
          <w:rFonts w:hAnsi="宋体"/>
          <w:color w:val="auto"/>
          <w:spacing w:val="-4"/>
          <w:sz w:val="28"/>
          <w:szCs w:val="28"/>
        </w:rPr>
        <w:t>施工人员生活用水按</w:t>
      </w:r>
      <w:r>
        <w:rPr>
          <w:rFonts w:hint="eastAsia" w:hAnsi="宋体"/>
          <w:color w:val="auto"/>
          <w:spacing w:val="-4"/>
          <w:sz w:val="28"/>
          <w:szCs w:val="28"/>
        </w:rPr>
        <w:t>8</w:t>
      </w:r>
      <w:r>
        <w:rPr>
          <w:color w:val="auto"/>
          <w:sz w:val="28"/>
          <w:szCs w:val="28"/>
        </w:rPr>
        <w:t>0L/</w:t>
      </w:r>
      <w:r>
        <w:rPr>
          <w:rFonts w:hAnsi="宋体"/>
          <w:color w:val="auto"/>
          <w:sz w:val="28"/>
          <w:szCs w:val="28"/>
        </w:rPr>
        <w:t>人</w:t>
      </w:r>
      <w:r>
        <w:rPr>
          <w:color w:val="auto"/>
          <w:sz w:val="28"/>
          <w:szCs w:val="28"/>
        </w:rPr>
        <w:t>·d</w:t>
      </w:r>
      <w:r>
        <w:rPr>
          <w:rFonts w:hAnsi="宋体"/>
          <w:color w:val="auto"/>
          <w:sz w:val="28"/>
          <w:szCs w:val="28"/>
        </w:rPr>
        <w:t>，生活污水按用水量的</w:t>
      </w:r>
      <w:r>
        <w:rPr>
          <w:color w:val="auto"/>
          <w:sz w:val="28"/>
          <w:szCs w:val="28"/>
        </w:rPr>
        <w:t>80%</w:t>
      </w:r>
      <w:r>
        <w:rPr>
          <w:rFonts w:hAnsi="宋体"/>
          <w:color w:val="auto"/>
          <w:sz w:val="28"/>
          <w:szCs w:val="28"/>
        </w:rPr>
        <w:t>计算，则本工程钻井期生活污水共产生</w:t>
      </w:r>
      <w:r>
        <w:rPr>
          <w:rFonts w:hint="eastAsia"/>
          <w:color w:val="auto"/>
          <w:sz w:val="28"/>
          <w:szCs w:val="28"/>
          <w:lang w:val="en-US" w:eastAsia="zh-CN"/>
        </w:rPr>
        <w:t>4723.2</w:t>
      </w:r>
      <w:r>
        <w:rPr>
          <w:color w:val="auto"/>
          <w:sz w:val="28"/>
          <w:szCs w:val="28"/>
        </w:rPr>
        <w:t>m</w:t>
      </w:r>
      <w:r>
        <w:rPr>
          <w:color w:val="auto"/>
          <w:sz w:val="28"/>
          <w:szCs w:val="28"/>
          <w:vertAlign w:val="superscript"/>
        </w:rPr>
        <w:t>3</w:t>
      </w:r>
      <w:r>
        <w:rPr>
          <w:rFonts w:hAnsi="宋体"/>
          <w:color w:val="auto"/>
          <w:sz w:val="28"/>
          <w:szCs w:val="28"/>
        </w:rPr>
        <w:t>。</w:t>
      </w:r>
      <w:r>
        <w:rPr>
          <w:color w:val="auto"/>
          <w:sz w:val="28"/>
          <w:szCs w:val="28"/>
        </w:rPr>
        <w:t>生活污水进入施工营地设置的污水池，施工结束后进行卫生处理，场地进行平整</w:t>
      </w:r>
      <w:r>
        <w:rPr>
          <w:rFonts w:hint="eastAsia"/>
          <w:color w:val="auto"/>
          <w:sz w:val="28"/>
          <w:szCs w:val="28"/>
        </w:rPr>
        <w:t>。</w:t>
      </w:r>
    </w:p>
    <w:p>
      <w:pPr>
        <w:pStyle w:val="83"/>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试气产</w:t>
      </w:r>
      <w:r>
        <w:rPr>
          <w:color w:val="auto"/>
        </w:rPr>
        <w:t>液</w:t>
      </w:r>
    </w:p>
    <w:p>
      <w:pPr>
        <w:spacing w:line="480" w:lineRule="exact"/>
        <w:ind w:firstLine="560" w:firstLineChars="200"/>
        <w:rPr>
          <w:rFonts w:hint="eastAsia"/>
          <w:color w:val="auto"/>
          <w:sz w:val="28"/>
          <w:szCs w:val="28"/>
        </w:rPr>
      </w:pPr>
      <w:r>
        <w:rPr>
          <w:rFonts w:hint="eastAsia" w:hAnsi="宋体"/>
          <w:color w:val="auto"/>
          <w:sz w:val="28"/>
          <w:szCs w:val="28"/>
        </w:rPr>
        <w:t>本工程试气作业时在井口安装分离器将试气产液进行气液分离，其中的天然气通过放空管线引入井场临时设置的放空火炬燃烧处理，试气产液经计量池计量后贮存于储液罐内，最终拉运至升一联气田污水预处理站处理后回注现役油层。</w:t>
      </w:r>
    </w:p>
    <w:p>
      <w:pPr>
        <w:snapToGrid w:val="0"/>
        <w:spacing w:line="500" w:lineRule="exact"/>
        <w:ind w:firstLine="560" w:firstLineChars="200"/>
        <w:rPr>
          <w:color w:val="auto"/>
          <w:sz w:val="28"/>
          <w:szCs w:val="28"/>
        </w:rPr>
      </w:pPr>
      <w:r>
        <w:rPr>
          <w:rFonts w:hAnsi="宋体"/>
          <w:color w:val="auto"/>
          <w:sz w:val="28"/>
          <w:szCs w:val="28"/>
        </w:rPr>
        <w:t>废水产生及排放情况详见表</w:t>
      </w:r>
      <w:r>
        <w:rPr>
          <w:color w:val="auto"/>
          <w:sz w:val="28"/>
          <w:szCs w:val="28"/>
        </w:rPr>
        <w:t>3.</w:t>
      </w:r>
      <w:r>
        <w:rPr>
          <w:rFonts w:hint="eastAsia"/>
          <w:color w:val="auto"/>
          <w:sz w:val="28"/>
          <w:szCs w:val="28"/>
          <w:lang w:val="en-US" w:eastAsia="zh-CN"/>
        </w:rPr>
        <w:t>5</w:t>
      </w:r>
      <w:r>
        <w:rPr>
          <w:color w:val="auto"/>
          <w:sz w:val="28"/>
          <w:szCs w:val="28"/>
        </w:rPr>
        <w:t>-2</w:t>
      </w:r>
      <w:r>
        <w:rPr>
          <w:rFonts w:hAnsi="宋体"/>
          <w:color w:val="auto"/>
          <w:sz w:val="28"/>
          <w:szCs w:val="28"/>
        </w:rPr>
        <w:t>。</w:t>
      </w:r>
    </w:p>
    <w:p>
      <w:pPr>
        <w:pStyle w:val="7"/>
        <w:numPr>
          <w:ilvl w:val="4"/>
          <w:numId w:val="2"/>
        </w:numPr>
        <w:bidi w:val="0"/>
        <w:rPr>
          <w:color w:val="auto"/>
          <w:kern w:val="0"/>
          <w:sz w:val="28"/>
          <w:szCs w:val="28"/>
        </w:rPr>
      </w:pPr>
      <w:r>
        <w:rPr>
          <w:rFonts w:hAnsi="宋体"/>
          <w:color w:val="auto"/>
          <w:kern w:val="0"/>
          <w:sz w:val="28"/>
          <w:szCs w:val="28"/>
        </w:rPr>
        <w:t>施工期水污染物排放量表</w:t>
      </w:r>
    </w:p>
    <w:tbl>
      <w:tblPr>
        <w:tblStyle w:val="34"/>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384"/>
        <w:gridCol w:w="1299"/>
        <w:gridCol w:w="1641"/>
        <w:gridCol w:w="4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hAnsi="宋体"/>
                <w:color w:val="auto"/>
                <w:szCs w:val="21"/>
              </w:rPr>
              <w:t>序号</w:t>
            </w:r>
          </w:p>
        </w:tc>
        <w:tc>
          <w:tcPr>
            <w:tcW w:w="1384"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hAnsi="宋体"/>
                <w:color w:val="auto"/>
                <w:szCs w:val="21"/>
              </w:rPr>
              <w:t>污染物名称</w:t>
            </w:r>
          </w:p>
        </w:tc>
        <w:tc>
          <w:tcPr>
            <w:tcW w:w="1299"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hAnsi="宋体"/>
                <w:color w:val="auto"/>
                <w:szCs w:val="21"/>
              </w:rPr>
              <w:t>产生量（</w:t>
            </w:r>
            <w:r>
              <w:rPr>
                <w:rFonts w:hint="default"/>
                <w:color w:val="auto"/>
                <w:szCs w:val="21"/>
              </w:rPr>
              <w:t>m</w:t>
            </w:r>
            <w:r>
              <w:rPr>
                <w:rFonts w:hint="default"/>
                <w:color w:val="auto"/>
                <w:szCs w:val="21"/>
                <w:vertAlign w:val="superscript"/>
              </w:rPr>
              <w:t>3</w:t>
            </w:r>
            <w:r>
              <w:rPr>
                <w:rFonts w:hint="default" w:hAnsi="宋体"/>
                <w:color w:val="auto"/>
                <w:szCs w:val="21"/>
              </w:rPr>
              <w:t>）</w:t>
            </w:r>
          </w:p>
        </w:tc>
        <w:tc>
          <w:tcPr>
            <w:tcW w:w="1641"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hAnsi="宋体"/>
                <w:color w:val="auto"/>
                <w:szCs w:val="21"/>
              </w:rPr>
              <w:t>主要污染物</w:t>
            </w:r>
          </w:p>
        </w:tc>
        <w:tc>
          <w:tcPr>
            <w:tcW w:w="421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hAnsi="宋体"/>
                <w:color w:val="auto"/>
                <w:szCs w:val="21"/>
              </w:rPr>
              <w:t>去向及措施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exact"/>
          <w:jc w:val="center"/>
        </w:trPr>
        <w:tc>
          <w:tcPr>
            <w:tcW w:w="69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color w:val="auto"/>
                <w:szCs w:val="21"/>
              </w:rPr>
              <w:t>1</w:t>
            </w:r>
          </w:p>
        </w:tc>
        <w:tc>
          <w:tcPr>
            <w:tcW w:w="1384"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hAnsi="宋体"/>
                <w:color w:val="auto"/>
                <w:kern w:val="0"/>
                <w:szCs w:val="21"/>
              </w:rPr>
              <w:t>钻井废水</w:t>
            </w:r>
          </w:p>
        </w:tc>
        <w:tc>
          <w:tcPr>
            <w:tcW w:w="1299"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2100.4</w:t>
            </w:r>
          </w:p>
        </w:tc>
        <w:tc>
          <w:tcPr>
            <w:tcW w:w="1641"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color w:val="auto"/>
                <w:szCs w:val="21"/>
              </w:rPr>
              <w:t>COD</w:t>
            </w:r>
            <w:r>
              <w:rPr>
                <w:rFonts w:hint="default" w:hAnsi="宋体"/>
                <w:color w:val="auto"/>
                <w:szCs w:val="21"/>
              </w:rPr>
              <w:t>、</w:t>
            </w:r>
            <w:r>
              <w:rPr>
                <w:rFonts w:hint="default"/>
                <w:color w:val="auto"/>
                <w:szCs w:val="21"/>
              </w:rPr>
              <w:t>NH</w:t>
            </w:r>
            <w:r>
              <w:rPr>
                <w:rFonts w:hint="default"/>
                <w:color w:val="auto"/>
                <w:szCs w:val="21"/>
                <w:vertAlign w:val="subscript"/>
              </w:rPr>
              <w:t>3</w:t>
            </w:r>
            <w:r>
              <w:rPr>
                <w:rFonts w:hint="default"/>
                <w:color w:val="auto"/>
                <w:szCs w:val="21"/>
              </w:rPr>
              <w:t>-N</w:t>
            </w:r>
          </w:p>
        </w:tc>
        <w:tc>
          <w:tcPr>
            <w:tcW w:w="421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rPr>
                <w:rFonts w:hint="eastAsia" w:hAnsi="宋体" w:eastAsia="宋体"/>
                <w:color w:val="auto"/>
                <w:szCs w:val="21"/>
                <w:lang w:eastAsia="zh-CN"/>
              </w:rPr>
            </w:pPr>
            <w:r>
              <w:rPr>
                <w:rFonts w:hint="eastAsia" w:hAnsi="宋体"/>
                <w:color w:val="auto"/>
                <w:szCs w:val="21"/>
              </w:rPr>
              <w:t>废弃</w:t>
            </w:r>
            <w:r>
              <w:rPr>
                <w:rFonts w:hint="eastAsia" w:hAnsi="宋体"/>
                <w:color w:val="auto"/>
                <w:szCs w:val="21"/>
                <w:lang w:val="en-US" w:eastAsia="zh-CN"/>
              </w:rPr>
              <w:t>水基</w:t>
            </w:r>
            <w:r>
              <w:rPr>
                <w:rFonts w:hint="eastAsia" w:hAnsi="宋体"/>
                <w:color w:val="auto"/>
                <w:szCs w:val="21"/>
              </w:rPr>
              <w:t>泥浆在井场进行固液分离处理。分离出的液相</w:t>
            </w:r>
            <w:r>
              <w:rPr>
                <w:rFonts w:hint="eastAsia" w:hAnsi="宋体"/>
                <w:color w:val="auto"/>
                <w:szCs w:val="21"/>
                <w:lang w:val="en-US" w:eastAsia="zh-CN"/>
              </w:rPr>
              <w:t>水基钻井废水1200m</w:t>
            </w:r>
            <w:r>
              <w:rPr>
                <w:rFonts w:hint="eastAsia" w:hAnsi="宋体"/>
                <w:color w:val="auto"/>
                <w:szCs w:val="21"/>
                <w:vertAlign w:val="superscript"/>
                <w:lang w:val="en-US" w:eastAsia="zh-CN"/>
              </w:rPr>
              <w:t>3</w:t>
            </w:r>
            <w:r>
              <w:rPr>
                <w:rFonts w:hint="eastAsia" w:hAnsi="宋体"/>
                <w:color w:val="auto"/>
                <w:szCs w:val="21"/>
                <w:lang w:val="en-US" w:eastAsia="zh-CN"/>
              </w:rPr>
              <w:t>，</w:t>
            </w:r>
            <w:r>
              <w:rPr>
                <w:rFonts w:hint="eastAsia" w:hAnsi="宋体"/>
                <w:color w:val="auto"/>
                <w:szCs w:val="21"/>
              </w:rPr>
              <w:t>处理达标后循环利用</w:t>
            </w:r>
            <w:r>
              <w:rPr>
                <w:rFonts w:hint="eastAsia" w:hAnsi="宋体"/>
                <w:color w:val="auto"/>
                <w:szCs w:val="21"/>
                <w:lang w:eastAsia="zh-CN"/>
              </w:rPr>
              <w:t>；废弃油基钻井废水</w:t>
            </w:r>
            <w:r>
              <w:rPr>
                <w:rFonts w:hint="eastAsia" w:hAnsi="宋体"/>
                <w:color w:val="auto"/>
                <w:szCs w:val="21"/>
                <w:lang w:val="en-US" w:eastAsia="zh-CN"/>
              </w:rPr>
              <w:t>900.4m</w:t>
            </w:r>
            <w:r>
              <w:rPr>
                <w:rFonts w:hint="eastAsia" w:hAnsi="宋体"/>
                <w:color w:val="auto"/>
                <w:szCs w:val="21"/>
                <w:vertAlign w:val="superscript"/>
                <w:lang w:val="en-US" w:eastAsia="zh-CN"/>
              </w:rPr>
              <w:t>3</w:t>
            </w:r>
            <w:r>
              <w:rPr>
                <w:rFonts w:hint="eastAsia" w:hAnsi="宋体"/>
                <w:color w:val="auto"/>
                <w:szCs w:val="21"/>
                <w:lang w:eastAsia="zh-CN"/>
              </w:rPr>
              <w:t>由罐车拉运至大庆中林绿源生物环保有限公司处理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color w:val="auto"/>
                <w:szCs w:val="21"/>
              </w:rPr>
              <w:t>2</w:t>
            </w:r>
          </w:p>
        </w:tc>
        <w:tc>
          <w:tcPr>
            <w:tcW w:w="1384"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hAnsi="宋体"/>
                <w:color w:val="auto"/>
                <w:szCs w:val="21"/>
              </w:rPr>
              <w:t>生活污水</w:t>
            </w:r>
          </w:p>
        </w:tc>
        <w:tc>
          <w:tcPr>
            <w:tcW w:w="1299"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eastAsia="宋体"/>
                <w:color w:val="auto"/>
                <w:szCs w:val="21"/>
                <w:lang w:val="en-US" w:eastAsia="zh-CN"/>
              </w:rPr>
            </w:pPr>
            <w:r>
              <w:rPr>
                <w:rFonts w:hint="eastAsia"/>
                <w:color w:val="auto"/>
                <w:szCs w:val="21"/>
                <w:lang w:val="en-US" w:eastAsia="zh-CN"/>
              </w:rPr>
              <w:t>4723.2</w:t>
            </w:r>
          </w:p>
        </w:tc>
        <w:tc>
          <w:tcPr>
            <w:tcW w:w="1641"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Cs w:val="21"/>
              </w:rPr>
            </w:pPr>
            <w:r>
              <w:rPr>
                <w:rFonts w:hint="default"/>
                <w:color w:val="auto"/>
                <w:szCs w:val="21"/>
              </w:rPr>
              <w:t>COD</w:t>
            </w:r>
            <w:r>
              <w:rPr>
                <w:rFonts w:hint="default" w:hAnsi="宋体"/>
                <w:color w:val="auto"/>
                <w:szCs w:val="21"/>
              </w:rPr>
              <w:t>、</w:t>
            </w:r>
            <w:r>
              <w:rPr>
                <w:rFonts w:hint="default"/>
                <w:color w:val="auto"/>
                <w:szCs w:val="21"/>
              </w:rPr>
              <w:t>NH</w:t>
            </w:r>
            <w:r>
              <w:rPr>
                <w:rFonts w:hint="default"/>
                <w:color w:val="auto"/>
                <w:szCs w:val="21"/>
                <w:vertAlign w:val="subscript"/>
              </w:rPr>
              <w:t>3</w:t>
            </w:r>
            <w:r>
              <w:rPr>
                <w:rFonts w:hint="default"/>
                <w:color w:val="auto"/>
                <w:szCs w:val="21"/>
              </w:rPr>
              <w:t>-N</w:t>
            </w:r>
          </w:p>
        </w:tc>
        <w:tc>
          <w:tcPr>
            <w:tcW w:w="421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rPr>
                <w:rFonts w:hint="default" w:hAnsi="宋体"/>
                <w:color w:val="auto"/>
                <w:szCs w:val="21"/>
              </w:rPr>
            </w:pPr>
            <w:r>
              <w:rPr>
                <w:rFonts w:hint="default" w:hAnsi="宋体"/>
                <w:color w:val="auto"/>
                <w:szCs w:val="21"/>
              </w:rPr>
              <w:t>进入施工营地设置的污水池，施工结束后进行卫生处理，场地进行平整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eastAsia"/>
                <w:color w:val="auto"/>
                <w:szCs w:val="21"/>
              </w:rPr>
            </w:pPr>
            <w:r>
              <w:rPr>
                <w:rFonts w:hint="eastAsia"/>
                <w:color w:val="auto"/>
                <w:szCs w:val="21"/>
              </w:rPr>
              <w:t>4</w:t>
            </w:r>
          </w:p>
        </w:tc>
        <w:tc>
          <w:tcPr>
            <w:tcW w:w="1384"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hAnsi="宋体"/>
                <w:color w:val="auto"/>
                <w:szCs w:val="21"/>
              </w:rPr>
            </w:pPr>
            <w:r>
              <w:rPr>
                <w:rFonts w:hint="eastAsia"/>
                <w:color w:val="auto"/>
                <w:szCs w:val="21"/>
              </w:rPr>
              <w:t>试气产液</w:t>
            </w:r>
          </w:p>
        </w:tc>
        <w:tc>
          <w:tcPr>
            <w:tcW w:w="1299"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eastAsia"/>
                <w:color w:val="auto"/>
                <w:szCs w:val="21"/>
              </w:rPr>
            </w:pPr>
            <w:r>
              <w:rPr>
                <w:rFonts w:hint="eastAsia"/>
                <w:color w:val="auto"/>
                <w:szCs w:val="21"/>
              </w:rPr>
              <w:t>少量</w:t>
            </w:r>
          </w:p>
        </w:tc>
        <w:tc>
          <w:tcPr>
            <w:tcW w:w="1641" w:type="dxa"/>
            <w:tcBorders>
              <w:top w:val="single" w:color="auto" w:sz="4" w:space="0"/>
              <w:left w:val="nil"/>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napToGrid w:val="0"/>
              <w:spacing w:before="0" w:beforeAutospacing="0" w:after="0" w:afterAutospacing="0" w:line="240" w:lineRule="atLeast"/>
              <w:ind w:left="0" w:right="0"/>
              <w:jc w:val="center"/>
              <w:rPr>
                <w:rFonts w:hint="eastAsia"/>
                <w:color w:val="auto"/>
                <w:szCs w:val="21"/>
              </w:rPr>
            </w:pPr>
            <w:r>
              <w:rPr>
                <w:rFonts w:hint="default"/>
                <w:color w:val="auto"/>
                <w:szCs w:val="21"/>
              </w:rPr>
              <w:t>COD</w:t>
            </w:r>
          </w:p>
        </w:tc>
        <w:tc>
          <w:tcPr>
            <w:tcW w:w="4218"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tLeast"/>
              <w:ind w:left="0" w:right="0"/>
              <w:rPr>
                <w:rFonts w:hint="default" w:hAnsi="宋体"/>
                <w:color w:val="auto"/>
                <w:szCs w:val="21"/>
              </w:rPr>
            </w:pPr>
            <w:r>
              <w:rPr>
                <w:rFonts w:hint="eastAsia" w:hAnsi="宋体"/>
                <w:color w:val="auto"/>
                <w:szCs w:val="21"/>
              </w:rPr>
              <w:t>拉运至升一联气田污水预处理站处理后回注现役油层</w:t>
            </w:r>
          </w:p>
        </w:tc>
      </w:tr>
    </w:tbl>
    <w:p>
      <w:pPr>
        <w:pStyle w:val="6"/>
        <w:numPr>
          <w:ilvl w:val="3"/>
          <w:numId w:val="2"/>
        </w:numPr>
        <w:snapToGrid w:val="0"/>
        <w:spacing w:before="159" w:beforeLines="50" w:after="159" w:afterLines="50" w:line="500" w:lineRule="exact"/>
        <w:rPr>
          <w:rFonts w:ascii="Times New Roman" w:hAnsi="Times New Roman" w:eastAsia="宋体"/>
          <w:b w:val="0"/>
          <w:bCs w:val="0"/>
          <w:snapToGrid w:val="0"/>
          <w:color w:val="auto"/>
        </w:rPr>
      </w:pPr>
      <w:r>
        <w:rPr>
          <w:rFonts w:ascii="Times New Roman" w:hAnsi="宋体" w:eastAsia="宋体"/>
          <w:b w:val="0"/>
          <w:bCs w:val="0"/>
          <w:snapToGrid w:val="0"/>
          <w:color w:val="auto"/>
        </w:rPr>
        <w:t>固体废弃物</w:t>
      </w:r>
    </w:p>
    <w:p>
      <w:pPr>
        <w:pStyle w:val="83"/>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废钻井液</w:t>
      </w:r>
    </w:p>
    <w:p>
      <w:pPr>
        <w:pStyle w:val="83"/>
        <w:bidi w:val="0"/>
        <w:rPr>
          <w:color w:val="auto"/>
          <w:szCs w:val="28"/>
        </w:rPr>
      </w:pPr>
      <w:r>
        <w:rPr>
          <w:color w:val="auto"/>
        </w:rPr>
        <w:t>废钻井液是指钻井过程中无法利用或钻井完工后废弃的泥浆和废水，其性质由使用的钻井液决定，其排放量随井深而变。根据钻井工程设计，</w:t>
      </w:r>
      <w:r>
        <w:rPr>
          <w:rFonts w:hAnsi="宋体"/>
          <w:color w:val="auto"/>
          <w:szCs w:val="28"/>
        </w:rPr>
        <w:t>本项目总计产生废弃</w:t>
      </w:r>
      <w:r>
        <w:rPr>
          <w:rFonts w:hint="eastAsia" w:hAnsi="宋体"/>
          <w:color w:val="auto"/>
          <w:szCs w:val="28"/>
          <w:lang w:val="en-US" w:eastAsia="zh-CN"/>
        </w:rPr>
        <w:t>水基</w:t>
      </w:r>
      <w:r>
        <w:rPr>
          <w:rFonts w:hAnsi="宋体"/>
          <w:color w:val="auto"/>
          <w:szCs w:val="28"/>
        </w:rPr>
        <w:t>钻井液为</w:t>
      </w:r>
      <w:r>
        <w:rPr>
          <w:rFonts w:hint="eastAsia"/>
          <w:color w:val="auto"/>
          <w:szCs w:val="28"/>
          <w:lang w:eastAsia="zh-CN"/>
        </w:rPr>
        <w:t>24960</w:t>
      </w:r>
      <w:r>
        <w:rPr>
          <w:color w:val="auto"/>
          <w:szCs w:val="28"/>
        </w:rPr>
        <w:t>m</w:t>
      </w:r>
      <w:r>
        <w:rPr>
          <w:color w:val="auto"/>
          <w:szCs w:val="28"/>
          <w:vertAlign w:val="superscript"/>
        </w:rPr>
        <w:t>3</w:t>
      </w:r>
      <w:r>
        <w:rPr>
          <w:rFonts w:hAnsi="宋体"/>
          <w:color w:val="auto"/>
          <w:szCs w:val="28"/>
        </w:rPr>
        <w:t>，属于一般废物，代码为</w:t>
      </w:r>
      <w:r>
        <w:rPr>
          <w:color w:val="auto"/>
          <w:szCs w:val="28"/>
        </w:rPr>
        <w:t>071-001-99</w:t>
      </w:r>
      <w:r>
        <w:rPr>
          <w:rFonts w:hAnsi="宋体"/>
          <w:color w:val="auto"/>
          <w:szCs w:val="28"/>
        </w:rPr>
        <w:t>，经井口设置的钢制泥浆槽收集后</w:t>
      </w:r>
      <w:r>
        <w:rPr>
          <w:rFonts w:hint="eastAsia" w:hAnsi="宋体"/>
          <w:color w:val="auto"/>
          <w:szCs w:val="28"/>
        </w:rPr>
        <w:t>，</w:t>
      </w:r>
      <w:r>
        <w:rPr>
          <w:rFonts w:hint="eastAsia" w:hAnsi="宋体"/>
          <w:color w:val="auto"/>
          <w:szCs w:val="28"/>
          <w:lang w:eastAsia="zh-CN"/>
        </w:rPr>
        <w:t>与钻井岩屑等</w:t>
      </w:r>
      <w:r>
        <w:rPr>
          <w:rFonts w:hint="eastAsia"/>
          <w:color w:val="auto"/>
          <w:szCs w:val="28"/>
        </w:rPr>
        <w:t>在井场进行固液分离处理。分离出的液相处理达标后循环利用，分离出的固相废弃物，就近拉运至大庆市采油八厂废弃钻井液集中处理站统一处理，泥饼统一收集后转运至大庆油田采油八厂指定地点，作为油田铺路、铺垫井场等综合利用</w:t>
      </w:r>
      <w:r>
        <w:rPr>
          <w:rFonts w:hint="eastAsia"/>
          <w:color w:val="auto"/>
          <w:szCs w:val="28"/>
          <w:lang w:val="en-US" w:eastAsia="zh-CN"/>
        </w:rPr>
        <w:t>。</w:t>
      </w:r>
      <w:r>
        <w:rPr>
          <w:rFonts w:hint="eastAsia" w:hAnsi="宋体"/>
          <w:color w:val="auto"/>
          <w:szCs w:val="21"/>
        </w:rPr>
        <w:t>钻井过程中产生的废弃油基钻井液及钻井岩屑，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r>
        <w:rPr>
          <w:rFonts w:hint="eastAsia"/>
          <w:color w:val="auto"/>
        </w:rPr>
        <w:t>不排入外环境。</w:t>
      </w:r>
      <w:r>
        <w:rPr>
          <w:rFonts w:hint="eastAsia"/>
          <w:color w:val="auto"/>
          <w:szCs w:val="28"/>
        </w:rPr>
        <w:t>不排入外环境</w:t>
      </w:r>
      <w:r>
        <w:rPr>
          <w:rFonts w:hAnsi="宋体"/>
          <w:color w:val="auto"/>
          <w:szCs w:val="28"/>
        </w:rPr>
        <w:t>。</w:t>
      </w:r>
    </w:p>
    <w:p>
      <w:pPr>
        <w:pStyle w:val="83"/>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钻井岩屑</w:t>
      </w:r>
    </w:p>
    <w:p>
      <w:pPr>
        <w:pStyle w:val="83"/>
        <w:bidi w:val="0"/>
        <w:rPr>
          <w:rFonts w:hint="eastAsia" w:hAnsi="宋体"/>
          <w:color w:val="auto"/>
          <w:szCs w:val="28"/>
        </w:rPr>
      </w:pPr>
      <w:r>
        <w:rPr>
          <w:color w:val="auto"/>
        </w:rPr>
        <w:t>钻井过程中，岩石经钻头和泥浆的研磨而破碎成岩屑，其中部分岩屑混进泥浆中，剩余的岩屑经泥浆循环携带至井口，在地面经振动筛分离出来，完井后与废钻井液一起处理。根据大庆油田多年统计数据，单井每</w:t>
      </w:r>
      <w:r>
        <w:rPr>
          <w:color w:val="auto"/>
          <w:szCs w:val="28"/>
        </w:rPr>
        <w:t>1000m</w:t>
      </w:r>
      <w:r>
        <w:rPr>
          <w:rFonts w:hAnsi="宋体"/>
          <w:color w:val="auto"/>
          <w:szCs w:val="28"/>
        </w:rPr>
        <w:t>进尺岩屑产生量约为</w:t>
      </w:r>
      <w:r>
        <w:rPr>
          <w:color w:val="auto"/>
          <w:szCs w:val="28"/>
        </w:rPr>
        <w:t>24m</w:t>
      </w:r>
      <w:r>
        <w:rPr>
          <w:color w:val="auto"/>
          <w:szCs w:val="28"/>
          <w:vertAlign w:val="superscript"/>
        </w:rPr>
        <w:t>3</w:t>
      </w:r>
      <w:r>
        <w:rPr>
          <w:rFonts w:hAnsi="宋体"/>
          <w:color w:val="auto"/>
          <w:szCs w:val="28"/>
        </w:rPr>
        <w:t>，本工程完钻总进尺</w:t>
      </w:r>
      <w:r>
        <w:rPr>
          <w:rFonts w:hint="eastAsia"/>
          <w:color w:val="auto"/>
          <w:szCs w:val="28"/>
          <w:lang w:val="en-US" w:eastAsia="zh-CN"/>
        </w:rPr>
        <w:t>105020</w:t>
      </w:r>
      <w:r>
        <w:rPr>
          <w:color w:val="auto"/>
          <w:szCs w:val="28"/>
        </w:rPr>
        <w:t>m</w:t>
      </w:r>
      <w:r>
        <w:rPr>
          <w:rFonts w:hAnsi="宋体"/>
          <w:color w:val="auto"/>
          <w:szCs w:val="28"/>
        </w:rPr>
        <w:t>，则本工程钻井岩屑的产生总量约</w:t>
      </w:r>
      <w:r>
        <w:rPr>
          <w:rFonts w:hint="eastAsia"/>
          <w:color w:val="auto"/>
          <w:szCs w:val="28"/>
          <w:lang w:val="en-US" w:eastAsia="zh-CN"/>
        </w:rPr>
        <w:t>2520.48</w:t>
      </w:r>
      <w:r>
        <w:rPr>
          <w:color w:val="auto"/>
          <w:szCs w:val="28"/>
        </w:rPr>
        <w:t>m</w:t>
      </w:r>
      <w:r>
        <w:rPr>
          <w:color w:val="auto"/>
          <w:szCs w:val="28"/>
          <w:vertAlign w:val="superscript"/>
        </w:rPr>
        <w:t>3</w:t>
      </w:r>
      <w:r>
        <w:rPr>
          <w:rFonts w:hint="eastAsia"/>
          <w:color w:val="auto"/>
          <w:szCs w:val="28"/>
          <w:vertAlign w:val="baseline"/>
          <w:lang w:eastAsia="zh-CN"/>
        </w:rPr>
        <w:t>（</w:t>
      </w:r>
      <w:r>
        <w:rPr>
          <w:rFonts w:hint="eastAsia"/>
          <w:color w:val="auto"/>
          <w:szCs w:val="28"/>
          <w:vertAlign w:val="baseline"/>
          <w:lang w:val="en-US" w:eastAsia="zh-CN"/>
        </w:rPr>
        <w:t>水基钻井产生1440.27</w:t>
      </w:r>
      <w:r>
        <w:rPr>
          <w:color w:val="auto"/>
          <w:szCs w:val="28"/>
        </w:rPr>
        <w:t>m</w:t>
      </w:r>
      <w:r>
        <w:rPr>
          <w:color w:val="auto"/>
          <w:szCs w:val="28"/>
          <w:vertAlign w:val="superscript"/>
        </w:rPr>
        <w:t>3</w:t>
      </w:r>
      <w:r>
        <w:rPr>
          <w:rFonts w:hint="eastAsia"/>
          <w:color w:val="auto"/>
          <w:szCs w:val="28"/>
          <w:vertAlign w:val="baseline"/>
          <w:lang w:val="en-US" w:eastAsia="zh-CN"/>
        </w:rPr>
        <w:t>，油基钻井产生1080.21</w:t>
      </w:r>
      <w:r>
        <w:rPr>
          <w:color w:val="auto"/>
          <w:szCs w:val="28"/>
        </w:rPr>
        <w:t>m</w:t>
      </w:r>
      <w:r>
        <w:rPr>
          <w:color w:val="auto"/>
          <w:szCs w:val="28"/>
          <w:vertAlign w:val="superscript"/>
        </w:rPr>
        <w:t>3</w:t>
      </w:r>
      <w:r>
        <w:rPr>
          <w:rFonts w:hint="eastAsia"/>
          <w:color w:val="auto"/>
          <w:szCs w:val="28"/>
          <w:vertAlign w:val="baseline"/>
          <w:lang w:eastAsia="zh-CN"/>
        </w:rPr>
        <w:t>）</w:t>
      </w:r>
      <w:r>
        <w:rPr>
          <w:rFonts w:hAnsi="宋体"/>
          <w:color w:val="auto"/>
          <w:szCs w:val="28"/>
        </w:rPr>
        <w:t>，</w:t>
      </w:r>
      <w:r>
        <w:rPr>
          <w:rFonts w:hint="eastAsia" w:hAnsi="宋体"/>
          <w:color w:val="auto"/>
          <w:szCs w:val="28"/>
          <w:lang w:val="en-US" w:eastAsia="zh-CN"/>
        </w:rPr>
        <w:t>水基钻井产生的岩屑</w:t>
      </w:r>
      <w:r>
        <w:rPr>
          <w:rFonts w:hAnsi="宋体"/>
          <w:color w:val="auto"/>
          <w:szCs w:val="28"/>
        </w:rPr>
        <w:t>属于一般废物，代码为</w:t>
      </w:r>
      <w:r>
        <w:rPr>
          <w:color w:val="auto"/>
          <w:szCs w:val="28"/>
        </w:rPr>
        <w:t>071-001-99</w:t>
      </w:r>
      <w:r>
        <w:rPr>
          <w:rFonts w:hAnsi="宋体"/>
          <w:color w:val="auto"/>
          <w:szCs w:val="28"/>
        </w:rPr>
        <w:t>，</w:t>
      </w:r>
      <w:r>
        <w:rPr>
          <w:rFonts w:hint="eastAsia" w:hAnsi="宋体"/>
          <w:color w:val="auto"/>
          <w:szCs w:val="28"/>
          <w:lang w:eastAsia="zh-CN"/>
        </w:rPr>
        <w:t>与钻井液等</w:t>
      </w:r>
      <w:r>
        <w:rPr>
          <w:rFonts w:hint="eastAsia"/>
          <w:color w:val="auto"/>
          <w:szCs w:val="28"/>
        </w:rPr>
        <w:t>在井场进行固液分离处理。分离出的液相处理达标后循环利用，分离出的</w:t>
      </w:r>
      <w:r>
        <w:rPr>
          <w:rFonts w:hint="eastAsia"/>
          <w:color w:val="auto"/>
          <w:szCs w:val="28"/>
          <w:lang w:eastAsia="zh-CN"/>
        </w:rPr>
        <w:t>无法利用的</w:t>
      </w:r>
      <w:r>
        <w:rPr>
          <w:rFonts w:hint="eastAsia"/>
          <w:color w:val="auto"/>
          <w:szCs w:val="28"/>
        </w:rPr>
        <w:t>固相废弃物，就近拉运至大庆市采油八厂废弃钻井液集中处理站统一处理，泥饼统一收集后转运至大庆油田采油八厂指定地点，作为油田铺路、铺垫井场等综合利用。不排入外环境</w:t>
      </w:r>
      <w:r>
        <w:rPr>
          <w:rFonts w:hint="eastAsia" w:hAnsi="宋体"/>
          <w:color w:val="auto"/>
          <w:szCs w:val="28"/>
        </w:rPr>
        <w:t xml:space="preserve">。使用油基钻井液施工段产生的油基钻井岩屑 </w:t>
      </w:r>
      <w:r>
        <w:rPr>
          <w:rFonts w:hint="eastAsia" w:hAnsi="宋体"/>
          <w:color w:val="auto"/>
          <w:szCs w:val="28"/>
          <w:lang w:val="en-US" w:eastAsia="zh-CN"/>
        </w:rPr>
        <w:t>1080.21</w:t>
      </w:r>
      <w:r>
        <w:rPr>
          <w:rFonts w:hint="eastAsia" w:hAnsi="宋体"/>
          <w:color w:val="auto"/>
          <w:szCs w:val="28"/>
        </w:rPr>
        <w:t>m3，根据《国家危险废物名录》（2021 版）废弃油基钻井岩屑危险类别及代码为 HW08/071-002-08，</w:t>
      </w:r>
      <w:r>
        <w:rPr>
          <w:rFonts w:hint="eastAsia" w:hAnsi="宋体"/>
          <w:color w:val="auto"/>
          <w:szCs w:val="21"/>
        </w:rPr>
        <w:t>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eastAsia" w:hAnsi="宋体"/>
          <w:color w:val="auto"/>
          <w:szCs w:val="21"/>
          <w:lang w:eastAsia="zh-CN"/>
        </w:rPr>
        <w:t>。</w:t>
      </w:r>
    </w:p>
    <w:p>
      <w:pPr>
        <w:pStyle w:val="83"/>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生活垃圾</w:t>
      </w:r>
    </w:p>
    <w:p>
      <w:pPr>
        <w:snapToGrid w:val="0"/>
        <w:spacing w:line="500" w:lineRule="exact"/>
        <w:ind w:firstLine="560" w:firstLineChars="200"/>
        <w:rPr>
          <w:color w:val="auto"/>
          <w:sz w:val="28"/>
          <w:szCs w:val="28"/>
        </w:rPr>
      </w:pPr>
      <w:r>
        <w:rPr>
          <w:rFonts w:hAnsi="宋体"/>
          <w:color w:val="auto"/>
          <w:sz w:val="28"/>
          <w:szCs w:val="28"/>
        </w:rPr>
        <w:t>钻井期间井队在井人数一般为</w:t>
      </w:r>
      <w:r>
        <w:rPr>
          <w:rFonts w:hint="eastAsia"/>
          <w:color w:val="auto"/>
          <w:sz w:val="28"/>
          <w:szCs w:val="28"/>
          <w:lang w:val="en-US" w:eastAsia="zh-CN"/>
        </w:rPr>
        <w:t>2</w:t>
      </w:r>
      <w:r>
        <w:rPr>
          <w:color w:val="auto"/>
          <w:sz w:val="28"/>
          <w:szCs w:val="28"/>
        </w:rPr>
        <w:t>0</w:t>
      </w:r>
      <w:r>
        <w:rPr>
          <w:rFonts w:hAnsi="宋体"/>
          <w:color w:val="auto"/>
          <w:sz w:val="28"/>
          <w:szCs w:val="28"/>
        </w:rPr>
        <w:t>人，</w:t>
      </w:r>
      <w:r>
        <w:rPr>
          <w:rFonts w:hint="eastAsia"/>
          <w:color w:val="auto"/>
          <w:sz w:val="28"/>
          <w:szCs w:val="28"/>
        </w:rPr>
        <w:t>钻井时间</w:t>
      </w:r>
      <w:r>
        <w:rPr>
          <w:rFonts w:hint="eastAsia"/>
          <w:color w:val="auto"/>
          <w:sz w:val="28"/>
          <w:szCs w:val="28"/>
          <w:lang w:val="en-US" w:eastAsia="zh-CN"/>
        </w:rPr>
        <w:t>123</w:t>
      </w:r>
      <w:r>
        <w:rPr>
          <w:rFonts w:hint="eastAsia"/>
          <w:color w:val="auto"/>
          <w:sz w:val="28"/>
          <w:szCs w:val="28"/>
        </w:rPr>
        <w:t>天</w:t>
      </w:r>
      <w:r>
        <w:rPr>
          <w:rFonts w:hint="eastAsia"/>
          <w:color w:val="auto"/>
          <w:sz w:val="28"/>
          <w:szCs w:val="28"/>
          <w:lang w:eastAsia="zh-CN"/>
        </w:rPr>
        <w:t>（含搬家及安装，钻进时间为</w:t>
      </w:r>
      <w:r>
        <w:rPr>
          <w:rFonts w:hint="eastAsia"/>
          <w:color w:val="auto"/>
          <w:sz w:val="28"/>
          <w:szCs w:val="28"/>
          <w:lang w:val="en-US" w:eastAsia="zh-CN"/>
        </w:rPr>
        <w:t>117天</w:t>
      </w:r>
      <w:r>
        <w:rPr>
          <w:rFonts w:hint="eastAsia"/>
          <w:color w:val="auto"/>
          <w:sz w:val="28"/>
          <w:szCs w:val="28"/>
          <w:lang w:eastAsia="zh-CN"/>
        </w:rPr>
        <w:t>）</w:t>
      </w:r>
      <w:r>
        <w:rPr>
          <w:rFonts w:hint="eastAsia"/>
          <w:color w:val="auto"/>
          <w:sz w:val="28"/>
          <w:szCs w:val="28"/>
        </w:rPr>
        <w:t>，</w:t>
      </w:r>
      <w:r>
        <w:rPr>
          <w:rFonts w:hAnsi="宋体"/>
          <w:color w:val="auto"/>
          <w:sz w:val="28"/>
          <w:szCs w:val="28"/>
        </w:rPr>
        <w:t>每人每天产生生活垃圾</w:t>
      </w:r>
      <w:r>
        <w:rPr>
          <w:color w:val="auto"/>
          <w:sz w:val="28"/>
          <w:szCs w:val="28"/>
        </w:rPr>
        <w:t>0.5kg</w:t>
      </w:r>
      <w:r>
        <w:rPr>
          <w:rFonts w:hAnsi="宋体"/>
          <w:color w:val="auto"/>
          <w:sz w:val="28"/>
          <w:szCs w:val="28"/>
        </w:rPr>
        <w:t>，则钻井期间共产生生活垃圾</w:t>
      </w:r>
      <w:r>
        <w:rPr>
          <w:rFonts w:hint="eastAsia"/>
          <w:color w:val="auto"/>
          <w:sz w:val="28"/>
          <w:szCs w:val="28"/>
          <w:lang w:val="en-US" w:eastAsia="zh-CN"/>
        </w:rPr>
        <w:t>36.9</w:t>
      </w:r>
      <w:r>
        <w:rPr>
          <w:color w:val="auto"/>
          <w:sz w:val="28"/>
          <w:szCs w:val="28"/>
        </w:rPr>
        <w:t>t</w:t>
      </w:r>
      <w:r>
        <w:rPr>
          <w:rFonts w:hAnsi="宋体"/>
          <w:color w:val="auto"/>
          <w:sz w:val="28"/>
          <w:szCs w:val="28"/>
        </w:rPr>
        <w:t>，统一收集后交当地环卫部门处理。</w:t>
      </w:r>
    </w:p>
    <w:p>
      <w:pPr>
        <w:pStyle w:val="83"/>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包装袋</w:t>
      </w:r>
    </w:p>
    <w:p>
      <w:pPr>
        <w:snapToGrid w:val="0"/>
        <w:spacing w:line="500" w:lineRule="exact"/>
        <w:ind w:firstLine="560" w:firstLineChars="200"/>
        <w:rPr>
          <w:rFonts w:hAnsi="宋体"/>
          <w:color w:val="auto"/>
          <w:sz w:val="28"/>
          <w:szCs w:val="28"/>
        </w:rPr>
      </w:pPr>
      <w:r>
        <w:rPr>
          <w:rFonts w:ascii="Times New Roman"/>
          <w:color w:val="auto"/>
          <w:sz w:val="28"/>
          <w:szCs w:val="28"/>
        </w:rPr>
        <w:t>本项目产生的废弃包装袋主要来自钻井过程产生的</w:t>
      </w:r>
      <w:r>
        <w:rPr>
          <w:rFonts w:hAnsi="宋体"/>
          <w:color w:val="auto"/>
          <w:sz w:val="28"/>
          <w:szCs w:val="28"/>
        </w:rPr>
        <w:t>膨润土、纯碱、</w:t>
      </w:r>
      <w:r>
        <w:rPr>
          <w:rFonts w:ascii="Times New Roman"/>
          <w:color w:val="auto"/>
          <w:sz w:val="28"/>
          <w:szCs w:val="28"/>
        </w:rPr>
        <w:t>等包装袋。</w:t>
      </w:r>
      <w:r>
        <w:rPr>
          <w:rFonts w:hint="eastAsia"/>
          <w:color w:val="auto"/>
          <w:sz w:val="28"/>
          <w:szCs w:val="28"/>
          <w:lang w:eastAsia="zh-CN"/>
        </w:rPr>
        <w:t>其中</w:t>
      </w:r>
      <w:r>
        <w:rPr>
          <w:rFonts w:hAnsi="宋体"/>
          <w:color w:val="auto"/>
          <w:sz w:val="28"/>
          <w:szCs w:val="28"/>
        </w:rPr>
        <w:t>纯碱（</w:t>
      </w:r>
      <w:r>
        <w:rPr>
          <w:color w:val="auto"/>
          <w:sz w:val="28"/>
          <w:szCs w:val="28"/>
        </w:rPr>
        <w:t>NaCO</w:t>
      </w:r>
      <w:r>
        <w:rPr>
          <w:color w:val="auto"/>
          <w:sz w:val="28"/>
          <w:szCs w:val="28"/>
          <w:vertAlign w:val="subscript"/>
        </w:rPr>
        <w:t>3</w:t>
      </w:r>
      <w:r>
        <w:rPr>
          <w:rFonts w:hAnsi="宋体"/>
          <w:color w:val="auto"/>
          <w:sz w:val="28"/>
          <w:szCs w:val="28"/>
        </w:rPr>
        <w:t>）、重晶石粉等材料的包装袋均属于一般废物，代码为</w:t>
      </w:r>
      <w:r>
        <w:rPr>
          <w:color w:val="auto"/>
          <w:sz w:val="28"/>
          <w:szCs w:val="28"/>
        </w:rPr>
        <w:t>071-001-</w:t>
      </w:r>
      <w:r>
        <w:rPr>
          <w:rFonts w:hint="eastAsia"/>
          <w:color w:val="auto"/>
          <w:sz w:val="28"/>
          <w:szCs w:val="28"/>
        </w:rPr>
        <w:t>99</w:t>
      </w:r>
      <w:r>
        <w:rPr>
          <w:rFonts w:hAnsi="宋体"/>
          <w:color w:val="auto"/>
          <w:sz w:val="28"/>
          <w:szCs w:val="28"/>
        </w:rPr>
        <w:t>。此类包装袋产生量约</w:t>
      </w:r>
      <w:r>
        <w:rPr>
          <w:rFonts w:hint="eastAsia"/>
          <w:color w:val="auto"/>
          <w:sz w:val="28"/>
          <w:szCs w:val="28"/>
          <w:lang w:val="en-US" w:eastAsia="zh-CN"/>
        </w:rPr>
        <w:t>0.045t</w:t>
      </w:r>
      <w:r>
        <w:rPr>
          <w:rFonts w:hAnsi="宋体"/>
          <w:color w:val="auto"/>
          <w:sz w:val="28"/>
          <w:szCs w:val="28"/>
        </w:rPr>
        <w:t>，统一收集后</w:t>
      </w:r>
      <w:r>
        <w:rPr>
          <w:rFonts w:hint="eastAsia" w:hAnsi="宋体"/>
          <w:color w:val="auto"/>
          <w:sz w:val="28"/>
          <w:szCs w:val="28"/>
        </w:rPr>
        <w:t>送大庆市岗源环保科技有限责任公司</w:t>
      </w:r>
      <w:r>
        <w:rPr>
          <w:rFonts w:hAnsi="宋体"/>
          <w:color w:val="auto"/>
          <w:sz w:val="28"/>
          <w:szCs w:val="28"/>
        </w:rPr>
        <w:t>工业</w:t>
      </w:r>
      <w:r>
        <w:rPr>
          <w:rFonts w:hint="eastAsia" w:hAnsi="宋体"/>
          <w:color w:val="auto"/>
          <w:sz w:val="28"/>
          <w:szCs w:val="28"/>
        </w:rPr>
        <w:t>废弃物处置中心</w:t>
      </w:r>
      <w:r>
        <w:rPr>
          <w:rFonts w:hAnsi="宋体"/>
          <w:color w:val="auto"/>
          <w:sz w:val="28"/>
          <w:szCs w:val="28"/>
        </w:rPr>
        <w:t>处置。</w:t>
      </w:r>
    </w:p>
    <w:p>
      <w:pPr>
        <w:pStyle w:val="21"/>
        <w:spacing w:line="480" w:lineRule="exact"/>
        <w:rPr>
          <w:rFonts w:ascii="Times New Roman"/>
          <w:color w:val="auto"/>
          <w:sz w:val="28"/>
          <w:szCs w:val="28"/>
        </w:rPr>
      </w:pPr>
      <w:r>
        <w:rPr>
          <w:rFonts w:ascii="Times New Roman"/>
          <w:color w:val="auto"/>
          <w:sz w:val="28"/>
          <w:szCs w:val="28"/>
        </w:rPr>
        <w:t>其中</w:t>
      </w:r>
      <w:r>
        <w:rPr>
          <w:rFonts w:hint="eastAsia" w:ascii="Times New Roman"/>
          <w:color w:val="auto"/>
          <w:sz w:val="28"/>
          <w:szCs w:val="28"/>
        </w:rPr>
        <w:t>氢氧化钾</w:t>
      </w:r>
      <w:r>
        <w:rPr>
          <w:rFonts w:ascii="Times New Roman"/>
          <w:color w:val="auto"/>
          <w:sz w:val="28"/>
          <w:szCs w:val="28"/>
        </w:rPr>
        <w:t>包装袋为危险废物，危险废物类别为HW49其他废物，代码为900-041-49。根据大庆油田多年统计数据，其包装袋产生量约0.00</w:t>
      </w:r>
      <w:r>
        <w:rPr>
          <w:rFonts w:hint="eastAsia" w:ascii="Times New Roman"/>
          <w:color w:val="auto"/>
          <w:sz w:val="28"/>
          <w:szCs w:val="28"/>
          <w:lang w:val="en-US" w:eastAsia="zh-CN"/>
        </w:rPr>
        <w:t>1</w:t>
      </w:r>
      <w:r>
        <w:rPr>
          <w:rFonts w:ascii="Times New Roman"/>
          <w:color w:val="auto"/>
          <w:sz w:val="28"/>
          <w:szCs w:val="28"/>
        </w:rPr>
        <w:t>t/井，共产生约0.</w:t>
      </w:r>
      <w:r>
        <w:rPr>
          <w:rFonts w:hint="eastAsia" w:ascii="Times New Roman"/>
          <w:color w:val="auto"/>
          <w:sz w:val="28"/>
          <w:szCs w:val="28"/>
          <w:lang w:val="en-US" w:eastAsia="zh-CN"/>
        </w:rPr>
        <w:t>03</w:t>
      </w:r>
      <w:r>
        <w:rPr>
          <w:rFonts w:ascii="Times New Roman"/>
          <w:color w:val="auto"/>
          <w:sz w:val="28"/>
          <w:szCs w:val="28"/>
        </w:rPr>
        <w:t>t，</w:t>
      </w:r>
      <w:r>
        <w:rPr>
          <w:rFonts w:hint="eastAsia" w:ascii="Times New Roman"/>
          <w:color w:val="auto"/>
          <w:sz w:val="28"/>
          <w:szCs w:val="28"/>
        </w:rPr>
        <w:t>不暂存，产生后及时拉运</w:t>
      </w:r>
      <w:r>
        <w:rPr>
          <w:rFonts w:ascii="Times New Roman"/>
          <w:color w:val="auto"/>
          <w:sz w:val="28"/>
          <w:szCs w:val="28"/>
        </w:rPr>
        <w:t>，送有资质的危废处理单位处理。</w:t>
      </w:r>
    </w:p>
    <w:p>
      <w:pPr>
        <w:pStyle w:val="83"/>
        <w:bidi w:val="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防渗布</w:t>
      </w:r>
    </w:p>
    <w:p>
      <w:pPr>
        <w:snapToGrid w:val="0"/>
        <w:spacing w:line="500" w:lineRule="exact"/>
        <w:ind w:firstLine="560" w:firstLineChars="200"/>
        <w:rPr>
          <w:color w:val="auto"/>
          <w:sz w:val="28"/>
          <w:szCs w:val="28"/>
        </w:rPr>
      </w:pPr>
      <w:r>
        <w:rPr>
          <w:rFonts w:hAnsi="宋体"/>
          <w:color w:val="auto"/>
          <w:sz w:val="28"/>
          <w:szCs w:val="28"/>
        </w:rPr>
        <w:t>为防止在钻井过程中钻井液、钻井污水污染地面，需在钻井平台附近铺设防渗布，类比油田现有施工经验，本工程单井钻井使用面积为井架下方，占地面积约</w:t>
      </w:r>
      <w:r>
        <w:rPr>
          <w:color w:val="auto"/>
          <w:sz w:val="28"/>
          <w:szCs w:val="28"/>
        </w:rPr>
        <w:t>50m</w:t>
      </w:r>
      <w:r>
        <w:rPr>
          <w:color w:val="auto"/>
          <w:sz w:val="28"/>
          <w:szCs w:val="28"/>
          <w:vertAlign w:val="superscript"/>
        </w:rPr>
        <w:t>2</w:t>
      </w:r>
      <w:r>
        <w:rPr>
          <w:rFonts w:hAnsi="宋体"/>
          <w:color w:val="auto"/>
          <w:sz w:val="28"/>
          <w:szCs w:val="28"/>
        </w:rPr>
        <w:t>，重量以</w:t>
      </w:r>
      <w:r>
        <w:rPr>
          <w:color w:val="auto"/>
          <w:sz w:val="28"/>
          <w:szCs w:val="28"/>
        </w:rPr>
        <w:t>500g/m</w:t>
      </w:r>
      <w:r>
        <w:rPr>
          <w:color w:val="auto"/>
          <w:sz w:val="28"/>
          <w:szCs w:val="28"/>
          <w:vertAlign w:val="superscript"/>
        </w:rPr>
        <w:t>2</w:t>
      </w:r>
      <w:r>
        <w:rPr>
          <w:rFonts w:hAnsi="宋体"/>
          <w:color w:val="auto"/>
          <w:sz w:val="28"/>
          <w:szCs w:val="28"/>
        </w:rPr>
        <w:t>计，废弃防渗布产生量约</w:t>
      </w:r>
      <w:r>
        <w:rPr>
          <w:rFonts w:hint="eastAsia"/>
          <w:color w:val="auto"/>
          <w:sz w:val="28"/>
          <w:szCs w:val="28"/>
          <w:lang w:val="en-US" w:eastAsia="zh-CN"/>
        </w:rPr>
        <w:t xml:space="preserve">0.765t </w:t>
      </w:r>
      <w:r>
        <w:rPr>
          <w:rFonts w:hAnsi="宋体"/>
          <w:color w:val="auto"/>
          <w:sz w:val="28"/>
          <w:szCs w:val="28"/>
        </w:rPr>
        <w:t>，</w:t>
      </w:r>
      <w:r>
        <w:rPr>
          <w:rFonts w:hint="eastAsia" w:hAnsi="宋体"/>
          <w:color w:val="auto"/>
          <w:sz w:val="28"/>
          <w:szCs w:val="28"/>
          <w:lang w:val="en-US" w:eastAsia="zh-CN"/>
        </w:rPr>
        <w:t>因本项目使用油基钻井液，所以本项目的钻井的井场废弃防渗布属于危险废物，根据《国家危险废物名录》（2021 版）这部分沾油废弃防渗布危险类别及代码为 HW49/900-041-49，委托有资质的危废处理单位处置</w:t>
      </w:r>
      <w:r>
        <w:rPr>
          <w:rFonts w:hAnsi="宋体"/>
          <w:color w:val="auto"/>
          <w:sz w:val="28"/>
          <w:szCs w:val="28"/>
        </w:rPr>
        <w:t>。</w:t>
      </w:r>
    </w:p>
    <w:p>
      <w:pPr>
        <w:snapToGrid w:val="0"/>
        <w:spacing w:line="500" w:lineRule="exact"/>
        <w:ind w:firstLine="560" w:firstLineChars="200"/>
        <w:rPr>
          <w:color w:val="auto"/>
          <w:sz w:val="28"/>
          <w:szCs w:val="28"/>
        </w:rPr>
      </w:pPr>
      <w:r>
        <w:rPr>
          <w:rFonts w:hAnsi="宋体"/>
          <w:color w:val="auto"/>
          <w:sz w:val="28"/>
          <w:szCs w:val="28"/>
        </w:rPr>
        <w:t>本工程固废产生及排放情况详见表</w:t>
      </w:r>
      <w:r>
        <w:rPr>
          <w:color w:val="auto"/>
          <w:sz w:val="28"/>
          <w:szCs w:val="28"/>
        </w:rPr>
        <w:t>3.</w:t>
      </w:r>
      <w:r>
        <w:rPr>
          <w:rFonts w:hint="eastAsia"/>
          <w:color w:val="auto"/>
          <w:sz w:val="28"/>
          <w:szCs w:val="28"/>
          <w:lang w:val="en-US" w:eastAsia="zh-CN"/>
        </w:rPr>
        <w:t>5</w:t>
      </w:r>
      <w:r>
        <w:rPr>
          <w:color w:val="auto"/>
          <w:sz w:val="28"/>
          <w:szCs w:val="28"/>
        </w:rPr>
        <w:t>-3</w:t>
      </w:r>
      <w:r>
        <w:rPr>
          <w:rFonts w:hAnsi="宋体"/>
          <w:color w:val="auto"/>
          <w:sz w:val="28"/>
          <w:szCs w:val="28"/>
        </w:rPr>
        <w:t>。</w:t>
      </w:r>
    </w:p>
    <w:p>
      <w:pPr>
        <w:pStyle w:val="7"/>
        <w:numPr>
          <w:ilvl w:val="4"/>
          <w:numId w:val="2"/>
        </w:numPr>
        <w:bidi w:val="0"/>
        <w:rPr>
          <w:rFonts w:hAnsi="宋体"/>
          <w:color w:val="auto"/>
          <w:kern w:val="0"/>
          <w:sz w:val="28"/>
          <w:szCs w:val="28"/>
        </w:rPr>
      </w:pPr>
      <w:r>
        <w:rPr>
          <w:rFonts w:hAnsi="宋体"/>
          <w:color w:val="auto"/>
          <w:kern w:val="0"/>
          <w:sz w:val="28"/>
          <w:szCs w:val="28"/>
        </w:rPr>
        <w:t>施工期固体废物排放量统计</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69"/>
        <w:gridCol w:w="1620"/>
        <w:gridCol w:w="1125"/>
        <w:gridCol w:w="1625"/>
        <w:gridCol w:w="1338"/>
        <w:gridCol w:w="3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tblHeader/>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序号</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污染物名称</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产生量</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废物类型</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主要污染物</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val="en-US" w:eastAsia="zh-CN"/>
              </w:rPr>
              <w:t>1</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废弃</w:t>
            </w:r>
            <w:r>
              <w:rPr>
                <w:rFonts w:hint="eastAsia"/>
                <w:color w:val="auto"/>
                <w:lang w:val="en-US" w:eastAsia="zh-CN"/>
              </w:rPr>
              <w:t>水基</w:t>
            </w:r>
            <w:r>
              <w:rPr>
                <w:rFonts w:hint="eastAsia"/>
                <w:color w:val="auto"/>
              </w:rPr>
              <w:t>钻井液</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24960</w:t>
            </w:r>
            <w:r>
              <w:rPr>
                <w:rFonts w:hint="default"/>
                <w:color w:val="auto"/>
              </w:rPr>
              <w:t>m</w:t>
            </w:r>
            <w:r>
              <w:rPr>
                <w:rFonts w:hint="default"/>
                <w:color w:val="auto"/>
                <w:vertAlign w:val="superscript"/>
              </w:rPr>
              <w:t>3</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一般工业固废</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rPr>
            </w:pPr>
            <w:r>
              <w:rPr>
                <w:rFonts w:hint="default"/>
                <w:color w:val="auto"/>
              </w:rPr>
              <w:t>COD</w:t>
            </w:r>
            <w:r>
              <w:rPr>
                <w:rFonts w:hint="eastAsia" w:eastAsia="宋体"/>
                <w:color w:val="auto"/>
              </w:rPr>
              <w:t>、SS</w:t>
            </w:r>
          </w:p>
        </w:tc>
        <w:tc>
          <w:tcPr>
            <w:tcW w:w="1670" w:type="pct"/>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拉运至大庆市采油八厂废弃钻井液集中处理站统一处理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val="en-US" w:eastAsia="zh-CN"/>
              </w:rPr>
              <w:t>2</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不含油</w:t>
            </w:r>
            <w:r>
              <w:rPr>
                <w:rFonts w:hint="eastAsia"/>
                <w:color w:val="auto"/>
              </w:rPr>
              <w:t>钻井岩屑</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1440.27</w:t>
            </w:r>
            <w:r>
              <w:rPr>
                <w:rFonts w:hint="default"/>
                <w:color w:val="auto"/>
              </w:rPr>
              <w:t>m</w:t>
            </w:r>
            <w:r>
              <w:rPr>
                <w:rFonts w:hint="default"/>
                <w:color w:val="auto"/>
                <w:vertAlign w:val="superscript"/>
              </w:rPr>
              <w:t>3</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一般工业固废</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670"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3</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废弃</w:t>
            </w:r>
            <w:r>
              <w:rPr>
                <w:rFonts w:hint="eastAsia"/>
                <w:color w:val="auto"/>
                <w:lang w:val="en-US" w:eastAsia="zh-CN"/>
              </w:rPr>
              <w:t>油基</w:t>
            </w:r>
            <w:r>
              <w:rPr>
                <w:rFonts w:hint="eastAsia"/>
                <w:color w:val="auto"/>
              </w:rPr>
              <w:t>钻井液</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25860</w:t>
            </w:r>
            <w:r>
              <w:rPr>
                <w:rFonts w:hint="default"/>
                <w:color w:val="auto"/>
              </w:rPr>
              <w:t>m</w:t>
            </w:r>
            <w:r>
              <w:rPr>
                <w:rFonts w:hint="default"/>
                <w:color w:val="auto"/>
                <w:vertAlign w:val="superscript"/>
              </w:rPr>
              <w:t>3</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危险废物</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石油类、COD、SS</w:t>
            </w:r>
          </w:p>
        </w:tc>
        <w:tc>
          <w:tcPr>
            <w:tcW w:w="1670" w:type="pct"/>
            <w:vMerge w:val="restart"/>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大庆中林绿源生物环保有限公司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4</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lang w:val="en-US" w:eastAsia="zh-CN"/>
              </w:rPr>
              <w:t>含油</w:t>
            </w:r>
            <w:r>
              <w:rPr>
                <w:rFonts w:hint="eastAsia"/>
                <w:color w:val="auto"/>
              </w:rPr>
              <w:t>钻井岩屑</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1080.21</w:t>
            </w:r>
            <w:r>
              <w:rPr>
                <w:rFonts w:hint="default"/>
                <w:color w:val="auto"/>
              </w:rPr>
              <w:t>m</w:t>
            </w:r>
            <w:r>
              <w:rPr>
                <w:rFonts w:hint="default"/>
                <w:color w:val="auto"/>
                <w:vertAlign w:val="superscript"/>
              </w:rPr>
              <w:t>3</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危险废物</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石油类</w:t>
            </w:r>
          </w:p>
        </w:tc>
        <w:tc>
          <w:tcPr>
            <w:tcW w:w="1670" w:type="pct"/>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val="en-US" w:eastAsia="zh-CN"/>
              </w:rPr>
              <w:t>5</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废弃防渗布</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 xml:space="preserve">0.765 </w:t>
            </w:r>
            <w:r>
              <w:rPr>
                <w:rFonts w:hint="default"/>
                <w:color w:val="auto"/>
              </w:rPr>
              <w:t>t</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危险废物</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石油类</w:t>
            </w:r>
          </w:p>
        </w:tc>
        <w:tc>
          <w:tcPr>
            <w:tcW w:w="1670" w:type="pct"/>
            <w:vMerge w:val="continue"/>
            <w:tcBorders>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val="en-US" w:eastAsia="zh-CN"/>
              </w:rPr>
              <w:t>6</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一般化学品废弃包装袋</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 xml:space="preserve">0.045 </w:t>
            </w:r>
            <w:r>
              <w:rPr>
                <w:rFonts w:hint="default"/>
                <w:color w:val="auto"/>
              </w:rPr>
              <w:t>t</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一般工业固废</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无机盐类</w:t>
            </w:r>
          </w:p>
        </w:tc>
        <w:tc>
          <w:tcPr>
            <w:tcW w:w="1670" w:type="pct"/>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大庆市岗源环保科技有限责任公司工业废弃物处置中心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7</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Arial"/>
                <w:color w:val="auto"/>
                <w:sz w:val="21"/>
                <w:szCs w:val="21"/>
                <w:lang w:val="en-US" w:eastAsia="zh-CN" w:bidi="ar-SA"/>
              </w:rPr>
            </w:pPr>
            <w:r>
              <w:rPr>
                <w:rFonts w:hint="eastAsia"/>
                <w:color w:val="auto"/>
              </w:rPr>
              <w:t>废弃氢氧化钾包装袋</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Arial"/>
                <w:color w:val="auto"/>
                <w:sz w:val="21"/>
                <w:szCs w:val="21"/>
                <w:lang w:val="en-US" w:eastAsia="zh-CN" w:bidi="ar-SA"/>
              </w:rPr>
            </w:pPr>
            <w:r>
              <w:rPr>
                <w:rFonts w:hint="default"/>
                <w:color w:val="auto"/>
              </w:rPr>
              <w:t>0.</w:t>
            </w:r>
            <w:r>
              <w:rPr>
                <w:rFonts w:hint="eastAsia"/>
                <w:color w:val="auto"/>
                <w:lang w:val="en-US" w:eastAsia="zh-CN"/>
              </w:rPr>
              <w:t>0</w:t>
            </w:r>
            <w:r>
              <w:rPr>
                <w:rFonts w:hint="default"/>
                <w:color w:val="auto"/>
              </w:rPr>
              <w:t>3t</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Arial"/>
                <w:color w:val="auto"/>
                <w:sz w:val="21"/>
                <w:szCs w:val="21"/>
                <w:lang w:val="en-US" w:eastAsia="zh-CN" w:bidi="ar-SA"/>
              </w:rPr>
            </w:pPr>
            <w:r>
              <w:rPr>
                <w:rFonts w:hint="eastAsia"/>
                <w:color w:val="auto"/>
              </w:rPr>
              <w:t>危险废物</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Arial"/>
                <w:color w:val="auto"/>
                <w:sz w:val="21"/>
                <w:szCs w:val="21"/>
                <w:lang w:val="en-US" w:eastAsia="zh-CN" w:bidi="ar-SA"/>
              </w:rPr>
            </w:pPr>
            <w:r>
              <w:rPr>
                <w:rFonts w:hint="eastAsia"/>
                <w:color w:val="auto"/>
              </w:rPr>
              <w:t>强碱</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委托资质的危废处理单位处理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2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val="en-US" w:eastAsia="zh-CN"/>
              </w:rPr>
              <w:t>8</w:t>
            </w:r>
          </w:p>
        </w:tc>
        <w:tc>
          <w:tcPr>
            <w:tcW w:w="88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生活垃圾</w:t>
            </w:r>
          </w:p>
        </w:tc>
        <w:tc>
          <w:tcPr>
            <w:tcW w:w="6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 xml:space="preserve">36.9 </w:t>
            </w:r>
            <w:r>
              <w:rPr>
                <w:rFonts w:hint="default"/>
                <w:color w:val="auto"/>
              </w:rPr>
              <w:t>t</w:t>
            </w:r>
          </w:p>
        </w:tc>
        <w:tc>
          <w:tcPr>
            <w:tcW w:w="8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生活垃圾</w:t>
            </w:r>
          </w:p>
        </w:tc>
        <w:tc>
          <w:tcPr>
            <w:tcW w:w="7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细菌、微生物</w:t>
            </w:r>
          </w:p>
        </w:tc>
        <w:tc>
          <w:tcPr>
            <w:tcW w:w="16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统一收集后交当地环卫部门处理</w:t>
            </w:r>
          </w:p>
        </w:tc>
      </w:tr>
    </w:tbl>
    <w:p>
      <w:pPr>
        <w:pStyle w:val="6"/>
        <w:numPr>
          <w:ilvl w:val="3"/>
          <w:numId w:val="2"/>
        </w:numPr>
        <w:snapToGrid w:val="0"/>
        <w:spacing w:before="159" w:beforeLines="50" w:after="159" w:afterLines="50" w:line="500" w:lineRule="exact"/>
        <w:rPr>
          <w:rFonts w:ascii="Times New Roman" w:hAnsi="Times New Roman" w:eastAsia="宋体"/>
          <w:b w:val="0"/>
          <w:color w:val="auto"/>
          <w:lang w:bidi="ar"/>
        </w:rPr>
      </w:pPr>
      <w:r>
        <w:rPr>
          <w:rFonts w:ascii="Times New Roman" w:hAnsi="Times New Roman" w:eastAsia="宋体"/>
          <w:b w:val="0"/>
          <w:color w:val="auto"/>
          <w:lang w:bidi="ar"/>
        </w:rPr>
        <w:t>噪声</w:t>
      </w:r>
    </w:p>
    <w:p>
      <w:pPr>
        <w:pStyle w:val="21"/>
        <w:spacing w:line="480" w:lineRule="exact"/>
        <w:rPr>
          <w:rFonts w:ascii="Times New Roman"/>
          <w:color w:val="auto"/>
          <w:sz w:val="28"/>
          <w:szCs w:val="28"/>
        </w:rPr>
      </w:pPr>
      <w:r>
        <w:rPr>
          <w:rFonts w:ascii="Times New Roman"/>
          <w:color w:val="auto"/>
          <w:sz w:val="28"/>
          <w:szCs w:val="28"/>
        </w:rPr>
        <w:t>施工期产生的噪声主要施工机械和车辆运行噪声</w:t>
      </w:r>
      <w:r>
        <w:rPr>
          <w:rFonts w:hint="eastAsia" w:ascii="Times New Roman"/>
          <w:color w:val="auto"/>
          <w:sz w:val="28"/>
          <w:szCs w:val="28"/>
        </w:rPr>
        <w:t>，声源源强参考《环境噪声与振动控制工程技术导则》（HJ2034-2013）表A.2中实测数据</w:t>
      </w:r>
      <w:r>
        <w:rPr>
          <w:rFonts w:ascii="Times New Roman"/>
          <w:color w:val="auto"/>
          <w:sz w:val="28"/>
          <w:szCs w:val="28"/>
        </w:rPr>
        <w:t>。具体排放情况见表3.</w:t>
      </w:r>
      <w:r>
        <w:rPr>
          <w:rFonts w:hint="eastAsia"/>
          <w:color w:val="auto"/>
          <w:sz w:val="28"/>
          <w:szCs w:val="28"/>
          <w:lang w:val="en-US" w:eastAsia="zh-CN"/>
        </w:rPr>
        <w:t>5</w:t>
      </w:r>
      <w:r>
        <w:rPr>
          <w:rFonts w:ascii="Times New Roman"/>
          <w:color w:val="auto"/>
          <w:sz w:val="28"/>
          <w:szCs w:val="28"/>
        </w:rPr>
        <w:t>-</w:t>
      </w:r>
      <w:r>
        <w:rPr>
          <w:rFonts w:hint="eastAsia" w:ascii="Times New Roman"/>
          <w:color w:val="auto"/>
          <w:sz w:val="28"/>
          <w:szCs w:val="28"/>
        </w:rPr>
        <w:t>4</w:t>
      </w:r>
      <w:r>
        <w:rPr>
          <w:rFonts w:ascii="Times New Roman"/>
          <w:color w:val="auto"/>
          <w:sz w:val="28"/>
          <w:szCs w:val="28"/>
        </w:rPr>
        <w:t>。</w:t>
      </w:r>
    </w:p>
    <w:p>
      <w:pPr>
        <w:pStyle w:val="7"/>
        <w:numPr>
          <w:ilvl w:val="4"/>
          <w:numId w:val="2"/>
        </w:numPr>
        <w:bidi w:val="0"/>
        <w:rPr>
          <w:color w:val="auto"/>
        </w:rPr>
      </w:pPr>
      <w:r>
        <w:rPr>
          <w:color w:val="auto"/>
        </w:rPr>
        <w:t>施工期噪声排放情况</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4992"/>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06"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序号</w:t>
            </w:r>
          </w:p>
        </w:tc>
        <w:tc>
          <w:tcPr>
            <w:tcW w:w="4992"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噪声源</w:t>
            </w:r>
          </w:p>
        </w:tc>
        <w:tc>
          <w:tcPr>
            <w:tcW w:w="1989"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06"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1</w:t>
            </w:r>
          </w:p>
        </w:tc>
        <w:tc>
          <w:tcPr>
            <w:tcW w:w="4992"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柴油发电机</w:t>
            </w:r>
          </w:p>
        </w:tc>
        <w:tc>
          <w:tcPr>
            <w:tcW w:w="1989"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85~105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06"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2</w:t>
            </w:r>
          </w:p>
        </w:tc>
        <w:tc>
          <w:tcPr>
            <w:tcW w:w="4992"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钻机</w:t>
            </w:r>
          </w:p>
        </w:tc>
        <w:tc>
          <w:tcPr>
            <w:tcW w:w="1989"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06"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3</w:t>
            </w:r>
          </w:p>
        </w:tc>
        <w:tc>
          <w:tcPr>
            <w:tcW w:w="4992"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搅拌机</w:t>
            </w:r>
          </w:p>
        </w:tc>
        <w:tc>
          <w:tcPr>
            <w:tcW w:w="1989"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eastAsia" w:eastAsia="宋体"/>
                <w:color w:val="auto"/>
              </w:rPr>
              <w:t>60</w:t>
            </w:r>
            <w:r>
              <w:rPr>
                <w:rFonts w:hint="default" w:eastAsia="宋体"/>
                <w:color w:val="auto"/>
              </w:rPr>
              <w:t>~</w:t>
            </w:r>
            <w:r>
              <w:rPr>
                <w:rFonts w:hint="eastAsia" w:eastAsia="宋体"/>
                <w:color w:val="auto"/>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06"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4</w:t>
            </w:r>
          </w:p>
        </w:tc>
        <w:tc>
          <w:tcPr>
            <w:tcW w:w="4992"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推土机</w:t>
            </w:r>
          </w:p>
        </w:tc>
        <w:tc>
          <w:tcPr>
            <w:tcW w:w="1989"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85~92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06"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5</w:t>
            </w:r>
          </w:p>
        </w:tc>
        <w:tc>
          <w:tcPr>
            <w:tcW w:w="4992"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泥浆泵</w:t>
            </w:r>
          </w:p>
        </w:tc>
        <w:tc>
          <w:tcPr>
            <w:tcW w:w="1989"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06"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6</w:t>
            </w:r>
          </w:p>
        </w:tc>
        <w:tc>
          <w:tcPr>
            <w:tcW w:w="4992"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震动筛</w:t>
            </w:r>
          </w:p>
        </w:tc>
        <w:tc>
          <w:tcPr>
            <w:tcW w:w="1989"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70~85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306" w:type="dxa"/>
            <w:noWrap w:val="0"/>
            <w:vAlign w:val="center"/>
          </w:tcPr>
          <w:p>
            <w:pPr>
              <w:keepNext w:val="0"/>
              <w:keepLines w:val="0"/>
              <w:suppressLineNumbers w:val="0"/>
              <w:spacing w:before="0" w:beforeAutospacing="0" w:after="0" w:afterAutospacing="0"/>
              <w:ind w:left="0" w:right="0"/>
              <w:jc w:val="center"/>
              <w:rPr>
                <w:rFonts w:hint="eastAsia" w:eastAsia="宋体"/>
                <w:color w:val="auto"/>
              </w:rPr>
            </w:pPr>
            <w:r>
              <w:rPr>
                <w:rFonts w:hint="default" w:eastAsia="宋体"/>
                <w:color w:val="auto"/>
              </w:rPr>
              <w:t>7</w:t>
            </w:r>
          </w:p>
        </w:tc>
        <w:tc>
          <w:tcPr>
            <w:tcW w:w="4992"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运输车辆</w:t>
            </w:r>
          </w:p>
        </w:tc>
        <w:tc>
          <w:tcPr>
            <w:tcW w:w="1989" w:type="dxa"/>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default" w:eastAsia="宋体"/>
                <w:color w:val="auto"/>
              </w:rPr>
              <w:t>75~80</w:t>
            </w:r>
          </w:p>
        </w:tc>
      </w:tr>
    </w:tbl>
    <w:p>
      <w:pPr>
        <w:pStyle w:val="42"/>
        <w:rPr>
          <w:color w:val="auto"/>
        </w:rPr>
      </w:pPr>
    </w:p>
    <w:p>
      <w:pPr>
        <w:pStyle w:val="5"/>
        <w:bidi w:val="0"/>
        <w:rPr>
          <w:color w:val="auto"/>
        </w:rPr>
      </w:pPr>
      <w:bookmarkStart w:id="422" w:name="_Toc88146608"/>
      <w:r>
        <w:rPr>
          <w:color w:val="auto"/>
        </w:rPr>
        <w:t>危险废物分析</w:t>
      </w:r>
      <w:bookmarkEnd w:id="422"/>
    </w:p>
    <w:p>
      <w:pPr>
        <w:snapToGrid w:val="0"/>
        <w:spacing w:line="480" w:lineRule="exact"/>
        <w:ind w:firstLine="604" w:firstLineChars="216"/>
        <w:rPr>
          <w:color w:val="auto"/>
          <w:kern w:val="0"/>
          <w:sz w:val="28"/>
          <w:szCs w:val="28"/>
        </w:rPr>
      </w:pPr>
      <w:r>
        <w:rPr>
          <w:rFonts w:hint="eastAsia"/>
          <w:color w:val="auto"/>
          <w:kern w:val="0"/>
          <w:sz w:val="28"/>
          <w:szCs w:val="28"/>
        </w:rPr>
        <w:t>本工程产生的危险废物主要为废弃油基钻井液、含油钻井岩屑、氢氧化钾包装袋和沾油防渗布。其中废弃油钻井液、含油钻井岩屑排入井场钢制泥浆槽中由罐车及时拉运至大庆中林绿源生物环保有限公司处理，即产即运不在井场暂存，转运过程采取转运联单制；氢氧化钾包装袋和沾油防渗布施工现场不暂存，产生后及时由委托的有资质单位拉运处理。本工程产生的危险废物具体情况见表</w:t>
      </w:r>
      <w:r>
        <w:rPr>
          <w:color w:val="auto"/>
          <w:kern w:val="0"/>
          <w:sz w:val="28"/>
          <w:szCs w:val="28"/>
        </w:rPr>
        <w:t>3.</w:t>
      </w:r>
      <w:r>
        <w:rPr>
          <w:rFonts w:hint="eastAsia"/>
          <w:color w:val="auto"/>
          <w:kern w:val="0"/>
          <w:sz w:val="28"/>
          <w:szCs w:val="28"/>
          <w:lang w:val="en-US" w:eastAsia="zh-CN"/>
        </w:rPr>
        <w:t>5</w:t>
      </w:r>
      <w:r>
        <w:rPr>
          <w:color w:val="auto"/>
          <w:kern w:val="0"/>
          <w:sz w:val="28"/>
          <w:szCs w:val="28"/>
        </w:rPr>
        <w:t>-</w:t>
      </w:r>
      <w:r>
        <w:rPr>
          <w:rFonts w:hint="eastAsia"/>
          <w:color w:val="auto"/>
          <w:kern w:val="0"/>
          <w:sz w:val="28"/>
          <w:szCs w:val="28"/>
          <w:lang w:val="en-US" w:eastAsia="zh-CN"/>
        </w:rPr>
        <w:t>5</w:t>
      </w:r>
      <w:r>
        <w:rPr>
          <w:rFonts w:hint="eastAsia"/>
          <w:color w:val="auto"/>
          <w:kern w:val="0"/>
          <w:sz w:val="28"/>
          <w:szCs w:val="28"/>
        </w:rPr>
        <w:t>。</w:t>
      </w:r>
    </w:p>
    <w:p>
      <w:pPr>
        <w:pStyle w:val="7"/>
        <w:bidi w:val="0"/>
        <w:rPr>
          <w:color w:val="auto"/>
        </w:rPr>
      </w:pPr>
      <w:r>
        <w:rPr>
          <w:rFonts w:hint="eastAsia"/>
          <w:color w:val="auto"/>
        </w:rPr>
        <w:t>危险废物情况表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96"/>
        <w:gridCol w:w="839"/>
        <w:gridCol w:w="1134"/>
        <w:gridCol w:w="851"/>
        <w:gridCol w:w="838"/>
        <w:gridCol w:w="695"/>
        <w:gridCol w:w="580"/>
        <w:gridCol w:w="606"/>
        <w:gridCol w:w="863"/>
        <w:gridCol w:w="620"/>
        <w:gridCol w:w="617"/>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9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序号</w:t>
            </w:r>
          </w:p>
        </w:tc>
        <w:tc>
          <w:tcPr>
            <w:tcW w:w="83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危险废物名称</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危险废物类别</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危险废物代码</w:t>
            </w:r>
          </w:p>
        </w:tc>
        <w:tc>
          <w:tcPr>
            <w:tcW w:w="838"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产生量</w:t>
            </w:r>
          </w:p>
        </w:tc>
        <w:tc>
          <w:tcPr>
            <w:tcW w:w="695"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产生工序</w:t>
            </w:r>
          </w:p>
        </w:tc>
        <w:tc>
          <w:tcPr>
            <w:tcW w:w="580"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形态</w:t>
            </w:r>
          </w:p>
        </w:tc>
        <w:tc>
          <w:tcPr>
            <w:tcW w:w="60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主要成分</w:t>
            </w:r>
          </w:p>
        </w:tc>
        <w:tc>
          <w:tcPr>
            <w:tcW w:w="863"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有害成分</w:t>
            </w:r>
          </w:p>
        </w:tc>
        <w:tc>
          <w:tcPr>
            <w:tcW w:w="620"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产废周期</w:t>
            </w:r>
          </w:p>
        </w:tc>
        <w:tc>
          <w:tcPr>
            <w:tcW w:w="617"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危险</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特性</w:t>
            </w:r>
          </w:p>
        </w:tc>
        <w:tc>
          <w:tcPr>
            <w:tcW w:w="950"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jc w:val="center"/>
        </w:trPr>
        <w:tc>
          <w:tcPr>
            <w:tcW w:w="39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1</w:t>
            </w:r>
          </w:p>
        </w:tc>
        <w:tc>
          <w:tcPr>
            <w:tcW w:w="83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氢氧化钾包装袋</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rPr>
              <w:t>HW49</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其他废物</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rPr>
              <w:t>900-041-49</w:t>
            </w:r>
          </w:p>
        </w:tc>
        <w:tc>
          <w:tcPr>
            <w:tcW w:w="838"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rPr>
              <w:t>0.</w:t>
            </w:r>
            <w:r>
              <w:rPr>
                <w:rFonts w:hint="eastAsia"/>
                <w:color w:val="auto"/>
                <w:lang w:val="en-US" w:eastAsia="zh-CN"/>
              </w:rPr>
              <w:t>0</w:t>
            </w:r>
            <w:r>
              <w:rPr>
                <w:rFonts w:hint="default"/>
                <w:color w:val="auto"/>
              </w:rPr>
              <w:t>3t</w:t>
            </w:r>
          </w:p>
        </w:tc>
        <w:tc>
          <w:tcPr>
            <w:tcW w:w="695"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钻井液配制</w:t>
            </w:r>
          </w:p>
        </w:tc>
        <w:tc>
          <w:tcPr>
            <w:tcW w:w="580"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固态</w:t>
            </w:r>
          </w:p>
        </w:tc>
        <w:tc>
          <w:tcPr>
            <w:tcW w:w="60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氢氧化钾</w:t>
            </w:r>
          </w:p>
        </w:tc>
        <w:tc>
          <w:tcPr>
            <w:tcW w:w="863"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强碱</w:t>
            </w:r>
          </w:p>
        </w:tc>
        <w:tc>
          <w:tcPr>
            <w:tcW w:w="620" w:type="dxa"/>
            <w:vMerge w:val="restart"/>
            <w:tcBorders>
              <w:top w:val="single" w:color="auto" w:sz="4" w:space="0"/>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施工一次性产生</w:t>
            </w:r>
          </w:p>
        </w:tc>
        <w:tc>
          <w:tcPr>
            <w:tcW w:w="617"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rPr>
              <w:t>T</w:t>
            </w:r>
            <w:r>
              <w:rPr>
                <w:rFonts w:hint="eastAsia"/>
                <w:color w:val="auto"/>
              </w:rPr>
              <w:t>、</w:t>
            </w:r>
            <w:r>
              <w:rPr>
                <w:rFonts w:hint="default"/>
                <w:color w:val="auto"/>
              </w:rPr>
              <w:t>I</w:t>
            </w:r>
          </w:p>
        </w:tc>
        <w:tc>
          <w:tcPr>
            <w:tcW w:w="950" w:type="dxa"/>
            <w:tcBorders>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rPr>
              <w:t>委托有资</w:t>
            </w:r>
          </w:p>
          <w:p>
            <w:pPr>
              <w:pStyle w:val="79"/>
              <w:keepNext w:val="0"/>
              <w:keepLines w:val="0"/>
              <w:suppressLineNumbers w:val="0"/>
              <w:bidi w:val="0"/>
              <w:spacing w:before="0" w:beforeAutospacing="0" w:after="0" w:afterAutospacing="0"/>
              <w:ind w:left="0" w:right="0"/>
              <w:rPr>
                <w:rFonts w:hint="default"/>
                <w:color w:val="auto"/>
              </w:rPr>
            </w:pPr>
            <w:r>
              <w:rPr>
                <w:rFonts w:hint="default"/>
                <w:color w:val="auto"/>
              </w:rPr>
              <w:t>质单位处</w:t>
            </w:r>
          </w:p>
          <w:p>
            <w:pPr>
              <w:pStyle w:val="79"/>
              <w:keepNext w:val="0"/>
              <w:keepLines w:val="0"/>
              <w:suppressLineNumbers w:val="0"/>
              <w:bidi w:val="0"/>
              <w:spacing w:before="0" w:beforeAutospacing="0" w:after="0" w:afterAutospacing="0"/>
              <w:ind w:left="0" w:right="0"/>
              <w:rPr>
                <w:rFonts w:hint="default"/>
                <w:color w:val="auto"/>
              </w:rPr>
            </w:pPr>
            <w:r>
              <w:rPr>
                <w:rFonts w:hint="default"/>
                <w:color w:val="auto"/>
              </w:rP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jc w:val="center"/>
        </w:trPr>
        <w:tc>
          <w:tcPr>
            <w:tcW w:w="39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p>
        </w:tc>
        <w:tc>
          <w:tcPr>
            <w:tcW w:w="83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废弃油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基钻井 </w:t>
            </w:r>
          </w:p>
          <w:p>
            <w:pPr>
              <w:pStyle w:val="79"/>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液</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HW08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废矿物油与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含矿物油废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物</w:t>
            </w:r>
          </w:p>
          <w:p>
            <w:pPr>
              <w:pStyle w:val="79"/>
              <w:keepNext w:val="0"/>
              <w:keepLines w:val="0"/>
              <w:suppressLineNumbers w:val="0"/>
              <w:bidi w:val="0"/>
              <w:spacing w:before="0" w:beforeAutospacing="0" w:after="0" w:afterAutospacing="0"/>
              <w:ind w:left="0" w:right="0"/>
              <w:rPr>
                <w:rFonts w:hint="eastAsia"/>
                <w:color w:val="auto"/>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071-002- </w:t>
            </w:r>
          </w:p>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08 </w:t>
            </w:r>
          </w:p>
          <w:p>
            <w:pPr>
              <w:pStyle w:val="79"/>
              <w:keepNext w:val="0"/>
              <w:keepLines w:val="0"/>
              <w:suppressLineNumbers w:val="0"/>
              <w:bidi w:val="0"/>
              <w:spacing w:before="0" w:beforeAutospacing="0" w:after="0" w:afterAutospacing="0"/>
              <w:ind w:left="0" w:right="0"/>
              <w:rPr>
                <w:rFonts w:hint="default"/>
                <w:color w:val="auto"/>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25860</w:t>
            </w:r>
          </w:p>
        </w:tc>
        <w:tc>
          <w:tcPr>
            <w:tcW w:w="695"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钻进</w:t>
            </w:r>
          </w:p>
          <w:p>
            <w:pPr>
              <w:pStyle w:val="79"/>
              <w:keepNext w:val="0"/>
              <w:keepLines w:val="0"/>
              <w:suppressLineNumbers w:val="0"/>
              <w:bidi w:val="0"/>
              <w:spacing w:before="0" w:beforeAutospacing="0" w:after="0" w:afterAutospacing="0"/>
              <w:ind w:left="0" w:right="0"/>
              <w:rPr>
                <w:rFonts w:hint="eastAsia"/>
                <w:color w:val="auto"/>
              </w:rPr>
            </w:pPr>
          </w:p>
        </w:tc>
        <w:tc>
          <w:tcPr>
            <w:tcW w:w="580"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半固态</w:t>
            </w:r>
          </w:p>
        </w:tc>
        <w:tc>
          <w:tcPr>
            <w:tcW w:w="60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柴油</w:t>
            </w:r>
          </w:p>
        </w:tc>
        <w:tc>
          <w:tcPr>
            <w:tcW w:w="863"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石油类</w:t>
            </w:r>
          </w:p>
        </w:tc>
        <w:tc>
          <w:tcPr>
            <w:tcW w:w="620" w:type="dxa"/>
            <w:vMerge w:val="continue"/>
            <w:tcBorders>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p>
        </w:tc>
        <w:tc>
          <w:tcPr>
            <w:tcW w:w="617"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T</w:t>
            </w:r>
          </w:p>
        </w:tc>
        <w:tc>
          <w:tcPr>
            <w:tcW w:w="950" w:type="dxa"/>
            <w:vMerge w:val="restart"/>
            <w:tcBorders>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rPr>
              <w:t>大庆中林绿源生物环保有限公司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jc w:val="center"/>
        </w:trPr>
        <w:tc>
          <w:tcPr>
            <w:tcW w:w="39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w:t>
            </w:r>
          </w:p>
        </w:tc>
        <w:tc>
          <w:tcPr>
            <w:tcW w:w="83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含油钻 </w:t>
            </w:r>
          </w:p>
          <w:p>
            <w:pPr>
              <w:pStyle w:val="79"/>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井岩屑</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HW08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废矿物油与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含矿物油废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物</w:t>
            </w:r>
          </w:p>
          <w:p>
            <w:pPr>
              <w:pStyle w:val="79"/>
              <w:keepNext w:val="0"/>
              <w:keepLines w:val="0"/>
              <w:suppressLineNumbers w:val="0"/>
              <w:bidi w:val="0"/>
              <w:spacing w:before="0" w:beforeAutospacing="0" w:after="0" w:afterAutospacing="0"/>
              <w:ind w:left="0" w:right="0"/>
              <w:rPr>
                <w:rFonts w:hint="eastAsia"/>
                <w:color w:val="auto"/>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071-002- </w:t>
            </w:r>
          </w:p>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08 </w:t>
            </w:r>
          </w:p>
          <w:p>
            <w:pPr>
              <w:pStyle w:val="79"/>
              <w:keepNext w:val="0"/>
              <w:keepLines w:val="0"/>
              <w:suppressLineNumbers w:val="0"/>
              <w:bidi w:val="0"/>
              <w:spacing w:before="0" w:beforeAutospacing="0" w:after="0" w:afterAutospacing="0"/>
              <w:ind w:left="0" w:right="0"/>
              <w:rPr>
                <w:rFonts w:hint="default"/>
                <w:color w:val="auto"/>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1080.21</w:t>
            </w:r>
          </w:p>
        </w:tc>
        <w:tc>
          <w:tcPr>
            <w:tcW w:w="695"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钻进</w:t>
            </w:r>
          </w:p>
          <w:p>
            <w:pPr>
              <w:pStyle w:val="79"/>
              <w:keepNext w:val="0"/>
              <w:keepLines w:val="0"/>
              <w:suppressLineNumbers w:val="0"/>
              <w:bidi w:val="0"/>
              <w:spacing w:before="0" w:beforeAutospacing="0" w:after="0" w:afterAutospacing="0"/>
              <w:ind w:left="0" w:right="0"/>
              <w:rPr>
                <w:rFonts w:hint="eastAsia"/>
                <w:color w:val="auto"/>
              </w:rPr>
            </w:pPr>
          </w:p>
        </w:tc>
        <w:tc>
          <w:tcPr>
            <w:tcW w:w="580"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固态</w:t>
            </w:r>
          </w:p>
        </w:tc>
        <w:tc>
          <w:tcPr>
            <w:tcW w:w="60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柴油</w:t>
            </w:r>
          </w:p>
        </w:tc>
        <w:tc>
          <w:tcPr>
            <w:tcW w:w="863"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石油类</w:t>
            </w:r>
          </w:p>
        </w:tc>
        <w:tc>
          <w:tcPr>
            <w:tcW w:w="620" w:type="dxa"/>
            <w:vMerge w:val="continue"/>
            <w:tcBorders>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p>
        </w:tc>
        <w:tc>
          <w:tcPr>
            <w:tcW w:w="617"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T</w:t>
            </w:r>
          </w:p>
        </w:tc>
        <w:tc>
          <w:tcPr>
            <w:tcW w:w="950" w:type="dxa"/>
            <w:vMerge w:val="continue"/>
            <w:tcBorders>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1" w:hRule="atLeast"/>
          <w:jc w:val="center"/>
        </w:trPr>
        <w:tc>
          <w:tcPr>
            <w:tcW w:w="39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w:t>
            </w:r>
          </w:p>
        </w:tc>
        <w:tc>
          <w:tcPr>
            <w:tcW w:w="839"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沾油废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弃防渗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布 </w:t>
            </w:r>
          </w:p>
          <w:p>
            <w:pPr>
              <w:pStyle w:val="79"/>
              <w:keepNext w:val="0"/>
              <w:keepLines w:val="0"/>
              <w:suppressLineNumbers w:val="0"/>
              <w:bidi w:val="0"/>
              <w:spacing w:before="0" w:beforeAutospacing="0" w:after="0" w:afterAutospacing="0"/>
              <w:ind w:left="0" w:right="0"/>
              <w:rPr>
                <w:rFonts w:hint="eastAsia"/>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HW08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废矿物油与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含矿物油废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物</w:t>
            </w:r>
          </w:p>
          <w:p>
            <w:pPr>
              <w:pStyle w:val="79"/>
              <w:keepNext w:val="0"/>
              <w:keepLines w:val="0"/>
              <w:suppressLineNumbers w:val="0"/>
              <w:bidi w:val="0"/>
              <w:spacing w:before="0" w:beforeAutospacing="0" w:after="0" w:afterAutospacing="0"/>
              <w:ind w:left="0" w:right="0"/>
              <w:rPr>
                <w:rFonts w:hint="eastAsia"/>
                <w:color w:val="auto"/>
              </w:rPr>
            </w:pP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071-002- </w:t>
            </w:r>
          </w:p>
          <w:p>
            <w:pPr>
              <w:pStyle w:val="79"/>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 xml:space="preserve">08 </w:t>
            </w:r>
          </w:p>
          <w:p>
            <w:pPr>
              <w:pStyle w:val="79"/>
              <w:keepNext w:val="0"/>
              <w:keepLines w:val="0"/>
              <w:suppressLineNumbers w:val="0"/>
              <w:bidi w:val="0"/>
              <w:spacing w:before="0" w:beforeAutospacing="0" w:after="0" w:afterAutospacing="0"/>
              <w:ind w:left="0" w:right="0"/>
              <w:rPr>
                <w:rFonts w:hint="default"/>
                <w:color w:val="auto"/>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0.765</w:t>
            </w:r>
          </w:p>
        </w:tc>
        <w:tc>
          <w:tcPr>
            <w:tcW w:w="695"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井场分 </w:t>
            </w:r>
          </w:p>
          <w:p>
            <w:pPr>
              <w:pStyle w:val="79"/>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区防渗</w:t>
            </w:r>
          </w:p>
          <w:p>
            <w:pPr>
              <w:pStyle w:val="79"/>
              <w:keepNext w:val="0"/>
              <w:keepLines w:val="0"/>
              <w:suppressLineNumbers w:val="0"/>
              <w:bidi w:val="0"/>
              <w:spacing w:before="0" w:beforeAutospacing="0" w:after="0" w:afterAutospacing="0"/>
              <w:ind w:left="0" w:right="0"/>
              <w:rPr>
                <w:rFonts w:hint="eastAsia"/>
                <w:color w:val="auto"/>
              </w:rPr>
            </w:pPr>
          </w:p>
        </w:tc>
        <w:tc>
          <w:tcPr>
            <w:tcW w:w="580"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固态</w:t>
            </w:r>
          </w:p>
        </w:tc>
        <w:tc>
          <w:tcPr>
            <w:tcW w:w="606"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柴油</w:t>
            </w:r>
          </w:p>
        </w:tc>
        <w:tc>
          <w:tcPr>
            <w:tcW w:w="863"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石油类</w:t>
            </w:r>
          </w:p>
        </w:tc>
        <w:tc>
          <w:tcPr>
            <w:tcW w:w="620" w:type="dxa"/>
            <w:vMerge w:val="continue"/>
            <w:tcBorders>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p>
        </w:tc>
        <w:tc>
          <w:tcPr>
            <w:tcW w:w="617" w:type="dxa"/>
            <w:tcBorders>
              <w:top w:val="single" w:color="auto" w:sz="4" w:space="0"/>
              <w:left w:val="single" w:color="auto" w:sz="4" w:space="0"/>
              <w:bottom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T</w:t>
            </w:r>
          </w:p>
        </w:tc>
        <w:tc>
          <w:tcPr>
            <w:tcW w:w="950" w:type="dxa"/>
            <w:vMerge w:val="continue"/>
            <w:tcBorders>
              <w:left w:val="single" w:color="auto" w:sz="4" w:space="0"/>
              <w:right w:val="single" w:color="auto" w:sz="4" w:space="0"/>
            </w:tcBorders>
            <w:noWrap w:val="0"/>
            <w:vAlign w:val="center"/>
          </w:tcPr>
          <w:p>
            <w:pPr>
              <w:pStyle w:val="79"/>
              <w:keepNext w:val="0"/>
              <w:keepLines w:val="0"/>
              <w:suppressLineNumbers w:val="0"/>
              <w:bidi w:val="0"/>
              <w:spacing w:before="0" w:beforeAutospacing="0" w:after="0" w:afterAutospacing="0"/>
              <w:ind w:left="0" w:right="0"/>
              <w:rPr>
                <w:rFonts w:hint="default"/>
                <w:color w:val="auto"/>
              </w:rPr>
            </w:pPr>
          </w:p>
        </w:tc>
      </w:tr>
    </w:tbl>
    <w:p>
      <w:pPr>
        <w:pStyle w:val="21"/>
        <w:spacing w:line="480" w:lineRule="exact"/>
        <w:rPr>
          <w:rFonts w:ascii="Times New Roman"/>
          <w:color w:val="auto"/>
          <w:sz w:val="28"/>
          <w:szCs w:val="28"/>
        </w:rPr>
      </w:pPr>
    </w:p>
    <w:p>
      <w:pPr>
        <w:pStyle w:val="21"/>
        <w:spacing w:line="480" w:lineRule="exact"/>
        <w:rPr>
          <w:rFonts w:ascii="Times New Roman"/>
          <w:color w:val="auto"/>
          <w:sz w:val="28"/>
          <w:szCs w:val="28"/>
        </w:rPr>
      </w:pPr>
      <w:r>
        <w:rPr>
          <w:rFonts w:ascii="Times New Roman"/>
          <w:color w:val="auto"/>
          <w:sz w:val="28"/>
          <w:szCs w:val="28"/>
        </w:rPr>
        <w:t>本工程污染源源强核算结果及相关参数汇总见表3.</w:t>
      </w:r>
      <w:r>
        <w:rPr>
          <w:rFonts w:hint="eastAsia"/>
          <w:color w:val="auto"/>
          <w:sz w:val="28"/>
          <w:szCs w:val="28"/>
          <w:lang w:val="en-US" w:eastAsia="zh-CN"/>
        </w:rPr>
        <w:t>5</w:t>
      </w:r>
      <w:r>
        <w:rPr>
          <w:rFonts w:ascii="Times New Roman"/>
          <w:color w:val="auto"/>
          <w:sz w:val="28"/>
          <w:szCs w:val="28"/>
        </w:rPr>
        <w:t>-</w:t>
      </w:r>
      <w:r>
        <w:rPr>
          <w:rFonts w:hint="eastAsia"/>
          <w:color w:val="auto"/>
          <w:sz w:val="28"/>
          <w:szCs w:val="28"/>
          <w:lang w:val="en-US" w:eastAsia="zh-CN"/>
        </w:rPr>
        <w:t>6</w:t>
      </w:r>
      <w:r>
        <w:rPr>
          <w:rFonts w:ascii="Times New Roman"/>
          <w:color w:val="auto"/>
          <w:sz w:val="28"/>
          <w:szCs w:val="28"/>
        </w:rPr>
        <w:t>~</w:t>
      </w:r>
      <w:r>
        <w:rPr>
          <w:rFonts w:hint="eastAsia"/>
          <w:color w:val="auto"/>
          <w:sz w:val="28"/>
          <w:szCs w:val="28"/>
          <w:lang w:val="en-US" w:eastAsia="zh-CN"/>
        </w:rPr>
        <w:t>9</w:t>
      </w:r>
      <w:r>
        <w:rPr>
          <w:rFonts w:ascii="Times New Roman"/>
          <w:color w:val="auto"/>
          <w:sz w:val="28"/>
          <w:szCs w:val="28"/>
        </w:rPr>
        <w:t>。</w:t>
      </w:r>
    </w:p>
    <w:p>
      <w:pPr>
        <w:rPr>
          <w:color w:val="auto"/>
        </w:rPr>
      </w:pPr>
    </w:p>
    <w:p>
      <w:pPr>
        <w:rPr>
          <w:color w:val="auto"/>
        </w:rPr>
        <w:sectPr>
          <w:headerReference r:id="rId8" w:type="even"/>
          <w:type w:val="continuous"/>
          <w:pgSz w:w="11907" w:h="16840"/>
          <w:pgMar w:top="1418" w:right="1418" w:bottom="1418" w:left="1418" w:header="851" w:footer="992" w:gutter="0"/>
          <w:cols w:space="720" w:num="1"/>
          <w:docGrid w:type="lines" w:linePitch="319" w:charSpace="0"/>
        </w:sectPr>
      </w:pPr>
    </w:p>
    <w:p>
      <w:pPr>
        <w:pStyle w:val="7"/>
        <w:numPr>
          <w:ilvl w:val="4"/>
          <w:numId w:val="2"/>
        </w:numPr>
        <w:bidi w:val="0"/>
        <w:rPr>
          <w:color w:val="auto"/>
        </w:rPr>
      </w:pPr>
      <w:bookmarkStart w:id="423" w:name="_Toc26053"/>
      <w:r>
        <w:rPr>
          <w:color w:val="auto"/>
        </w:rPr>
        <w:t>废气污染源源强核算结果及相关参数一览表</w:t>
      </w:r>
      <w:bookmarkEnd w:id="423"/>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2"/>
        <w:gridCol w:w="931"/>
        <w:gridCol w:w="735"/>
        <w:gridCol w:w="1035"/>
        <w:gridCol w:w="662"/>
        <w:gridCol w:w="1198"/>
        <w:gridCol w:w="1114"/>
        <w:gridCol w:w="1192"/>
        <w:gridCol w:w="647"/>
        <w:gridCol w:w="844"/>
        <w:gridCol w:w="789"/>
        <w:gridCol w:w="1279"/>
        <w:gridCol w:w="1081"/>
        <w:gridCol w:w="1122"/>
        <w:gridCol w:w="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92"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工序</w:t>
            </w:r>
          </w:p>
        </w:tc>
        <w:tc>
          <w:tcPr>
            <w:tcW w:w="931"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装置</w:t>
            </w:r>
          </w:p>
        </w:tc>
        <w:tc>
          <w:tcPr>
            <w:tcW w:w="735"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污染源</w:t>
            </w:r>
          </w:p>
        </w:tc>
        <w:tc>
          <w:tcPr>
            <w:tcW w:w="1035"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污染物</w:t>
            </w:r>
          </w:p>
        </w:tc>
        <w:tc>
          <w:tcPr>
            <w:tcW w:w="4166" w:type="dxa"/>
            <w:gridSpan w:val="4"/>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污染物产生</w:t>
            </w:r>
          </w:p>
        </w:tc>
        <w:tc>
          <w:tcPr>
            <w:tcW w:w="1491" w:type="dxa"/>
            <w:gridSpan w:val="2"/>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治理措施</w:t>
            </w:r>
          </w:p>
        </w:tc>
        <w:tc>
          <w:tcPr>
            <w:tcW w:w="4271" w:type="dxa"/>
            <w:gridSpan w:val="4"/>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污染物排放</w:t>
            </w:r>
          </w:p>
        </w:tc>
        <w:tc>
          <w:tcPr>
            <w:tcW w:w="799"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排放时间（h）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931"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735"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35"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66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核算方法</w:t>
            </w:r>
          </w:p>
        </w:tc>
        <w:tc>
          <w:tcPr>
            <w:tcW w:w="1198"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废气产生量（m</w:t>
            </w:r>
            <w:r>
              <w:rPr>
                <w:rFonts w:hint="default" w:eastAsia="宋体"/>
                <w:color w:val="auto"/>
                <w:vertAlign w:val="superscript"/>
              </w:rPr>
              <w:t>3</w:t>
            </w:r>
            <w:r>
              <w:rPr>
                <w:rFonts w:hint="default" w:eastAsia="宋体"/>
                <w:color w:val="auto"/>
              </w:rPr>
              <w:t>）</w:t>
            </w:r>
          </w:p>
        </w:tc>
        <w:tc>
          <w:tcPr>
            <w:tcW w:w="1114"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产生浓度（mg/m</w:t>
            </w:r>
            <w:r>
              <w:rPr>
                <w:rFonts w:hint="default" w:eastAsia="宋体"/>
                <w:color w:val="auto"/>
                <w:vertAlign w:val="superscript"/>
              </w:rPr>
              <w:t>3</w:t>
            </w:r>
            <w:r>
              <w:rPr>
                <w:rFonts w:hint="default" w:eastAsia="宋体"/>
                <w:color w:val="auto"/>
              </w:rPr>
              <w:t>）</w:t>
            </w:r>
          </w:p>
        </w:tc>
        <w:tc>
          <w:tcPr>
            <w:tcW w:w="119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产生量（t）</w:t>
            </w:r>
          </w:p>
        </w:tc>
        <w:tc>
          <w:tcPr>
            <w:tcW w:w="647"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工艺</w:t>
            </w:r>
          </w:p>
        </w:tc>
        <w:tc>
          <w:tcPr>
            <w:tcW w:w="844"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效率%</w:t>
            </w:r>
          </w:p>
        </w:tc>
        <w:tc>
          <w:tcPr>
            <w:tcW w:w="789"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核算方法</w:t>
            </w:r>
          </w:p>
        </w:tc>
        <w:tc>
          <w:tcPr>
            <w:tcW w:w="1279"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废气排放量（m</w:t>
            </w:r>
            <w:r>
              <w:rPr>
                <w:rFonts w:hint="default" w:eastAsia="宋体"/>
                <w:color w:val="auto"/>
                <w:vertAlign w:val="superscript"/>
              </w:rPr>
              <w:t>3</w:t>
            </w:r>
            <w:r>
              <w:rPr>
                <w:rFonts w:hint="default" w:eastAsia="宋体"/>
                <w:color w:val="auto"/>
              </w:rPr>
              <w:t>）</w:t>
            </w:r>
          </w:p>
        </w:tc>
        <w:tc>
          <w:tcPr>
            <w:tcW w:w="1081"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排放浓度</w:t>
            </w:r>
            <w:r>
              <w:rPr>
                <w:rFonts w:hint="eastAsia" w:eastAsia="宋体"/>
                <w:color w:val="auto"/>
              </w:rPr>
              <w:t>(</w:t>
            </w:r>
            <w:r>
              <w:rPr>
                <w:rFonts w:hint="default" w:eastAsia="宋体"/>
                <w:color w:val="auto"/>
              </w:rPr>
              <w:t>mg/m</w:t>
            </w:r>
            <w:r>
              <w:rPr>
                <w:rFonts w:hint="default" w:eastAsia="宋体"/>
                <w:color w:val="auto"/>
                <w:vertAlign w:val="superscript"/>
              </w:rPr>
              <w:t>3</w:t>
            </w:r>
            <w:r>
              <w:rPr>
                <w:rFonts w:hint="eastAsia" w:eastAsia="宋体"/>
                <w:color w:val="auto"/>
              </w:rPr>
              <w:t>)</w:t>
            </w:r>
          </w:p>
        </w:tc>
        <w:tc>
          <w:tcPr>
            <w:tcW w:w="112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排放量（t）</w:t>
            </w:r>
          </w:p>
        </w:tc>
        <w:tc>
          <w:tcPr>
            <w:tcW w:w="79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2"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钻井</w:t>
            </w:r>
          </w:p>
        </w:tc>
        <w:tc>
          <w:tcPr>
            <w:tcW w:w="931"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钻机</w:t>
            </w:r>
          </w:p>
        </w:tc>
        <w:tc>
          <w:tcPr>
            <w:tcW w:w="735"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烟气</w:t>
            </w:r>
          </w:p>
        </w:tc>
        <w:tc>
          <w:tcPr>
            <w:tcW w:w="1035"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SO</w:t>
            </w:r>
            <w:r>
              <w:rPr>
                <w:rFonts w:hint="default" w:eastAsia="宋体"/>
                <w:color w:val="auto"/>
                <w:vertAlign w:val="subscript"/>
              </w:rPr>
              <w:t>2</w:t>
            </w:r>
          </w:p>
        </w:tc>
        <w:tc>
          <w:tcPr>
            <w:tcW w:w="662"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产污系数法</w:t>
            </w:r>
          </w:p>
        </w:tc>
        <w:tc>
          <w:tcPr>
            <w:tcW w:w="1198"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 w:val="18"/>
                <w:szCs w:val="18"/>
                <w:vertAlign w:val="superscript"/>
              </w:rPr>
            </w:pPr>
            <w:r>
              <w:rPr>
                <w:rFonts w:hint="eastAsia"/>
                <w:color w:val="auto"/>
                <w:sz w:val="18"/>
                <w:szCs w:val="18"/>
                <w:lang w:val="en-US" w:eastAsia="zh-CN"/>
              </w:rPr>
              <w:t>2520.48</w:t>
            </w:r>
            <w:r>
              <w:rPr>
                <w:rFonts w:hint="default" w:eastAsia="宋体"/>
                <w:color w:val="auto"/>
                <w:sz w:val="18"/>
                <w:szCs w:val="18"/>
              </w:rPr>
              <w:t>×10</w:t>
            </w:r>
            <w:r>
              <w:rPr>
                <w:rFonts w:hint="default" w:eastAsia="宋体"/>
                <w:color w:val="auto"/>
                <w:sz w:val="18"/>
                <w:szCs w:val="18"/>
                <w:vertAlign w:val="superscript"/>
              </w:rPr>
              <w:t>4</w:t>
            </w:r>
          </w:p>
        </w:tc>
        <w:tc>
          <w:tcPr>
            <w:tcW w:w="1114"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92" w:type="dxa"/>
            <w:noWrap w:val="0"/>
            <w:vAlign w:val="center"/>
          </w:tcPr>
          <w:p>
            <w:pPr>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9.8</w:t>
            </w:r>
          </w:p>
        </w:tc>
        <w:tc>
          <w:tcPr>
            <w:tcW w:w="647"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844"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789"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279"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 w:val="18"/>
                <w:szCs w:val="18"/>
              </w:rPr>
            </w:pPr>
            <w:r>
              <w:rPr>
                <w:rFonts w:hint="eastAsia"/>
                <w:color w:val="auto"/>
                <w:sz w:val="18"/>
                <w:szCs w:val="18"/>
                <w:lang w:val="en-US" w:eastAsia="zh-CN"/>
              </w:rPr>
              <w:t>2520.48</w:t>
            </w:r>
            <w:r>
              <w:rPr>
                <w:rFonts w:hint="default" w:eastAsia="宋体"/>
                <w:color w:val="auto"/>
                <w:sz w:val="18"/>
                <w:szCs w:val="18"/>
              </w:rPr>
              <w:t>×104</w:t>
            </w:r>
          </w:p>
        </w:tc>
        <w:tc>
          <w:tcPr>
            <w:tcW w:w="1081"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2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eastAsia"/>
                <w:color w:val="auto"/>
                <w:lang w:val="en-US" w:eastAsia="zh-CN"/>
              </w:rPr>
              <w:t>9.8</w:t>
            </w:r>
          </w:p>
        </w:tc>
        <w:tc>
          <w:tcPr>
            <w:tcW w:w="799" w:type="dxa"/>
            <w:vMerge w:val="restart"/>
            <w:noWrap w:val="0"/>
            <w:vAlign w:val="center"/>
          </w:tcPr>
          <w:p>
            <w:pPr>
              <w:keepNext w:val="0"/>
              <w:keepLines w:val="0"/>
              <w:suppressLineNumbers w:val="0"/>
              <w:spacing w:before="0" w:beforeAutospacing="0" w:after="0" w:afterAutospacing="0"/>
              <w:ind w:left="0" w:right="0"/>
              <w:rPr>
                <w:rFonts w:hint="eastAsia" w:eastAsia="宋体"/>
                <w:color w:val="auto"/>
              </w:rPr>
            </w:pPr>
            <w:r>
              <w:rPr>
                <w:rFonts w:hint="eastAsia" w:eastAsia="宋体"/>
                <w:color w:val="auto"/>
              </w:rPr>
              <w:t>钻进施工期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931"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735"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35" w:type="dxa"/>
            <w:noWrap w:val="0"/>
            <w:vAlign w:val="center"/>
          </w:tcPr>
          <w:p>
            <w:pPr>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烟尘</w:t>
            </w:r>
          </w:p>
        </w:tc>
        <w:tc>
          <w:tcPr>
            <w:tcW w:w="66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9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1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92" w:type="dxa"/>
            <w:noWrap w:val="0"/>
            <w:vAlign w:val="center"/>
          </w:tcPr>
          <w:p>
            <w:pPr>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1.7</w:t>
            </w:r>
          </w:p>
        </w:tc>
        <w:tc>
          <w:tcPr>
            <w:tcW w:w="647"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84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789"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27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81"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2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eastAsia"/>
                <w:color w:val="auto"/>
                <w:lang w:val="en-US" w:eastAsia="zh-CN"/>
              </w:rPr>
              <w:t>1.7</w:t>
            </w:r>
          </w:p>
        </w:tc>
        <w:tc>
          <w:tcPr>
            <w:tcW w:w="79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931"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735"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35"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NO</w:t>
            </w:r>
            <w:r>
              <w:rPr>
                <w:rFonts w:hint="default" w:eastAsia="宋体"/>
                <w:color w:val="auto"/>
                <w:vertAlign w:val="subscript"/>
              </w:rPr>
              <w:t>X</w:t>
            </w:r>
          </w:p>
        </w:tc>
        <w:tc>
          <w:tcPr>
            <w:tcW w:w="66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9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1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92" w:type="dxa"/>
            <w:noWrap w:val="0"/>
            <w:vAlign w:val="center"/>
          </w:tcPr>
          <w:p>
            <w:pPr>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6.2</w:t>
            </w:r>
          </w:p>
        </w:tc>
        <w:tc>
          <w:tcPr>
            <w:tcW w:w="647"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84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789"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27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81"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2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eastAsia"/>
                <w:color w:val="auto"/>
                <w:lang w:val="en-US" w:eastAsia="zh-CN"/>
              </w:rPr>
              <w:t>6.2</w:t>
            </w:r>
          </w:p>
        </w:tc>
        <w:tc>
          <w:tcPr>
            <w:tcW w:w="79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931"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735"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35"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HC</w:t>
            </w:r>
          </w:p>
        </w:tc>
        <w:tc>
          <w:tcPr>
            <w:tcW w:w="66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9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1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92" w:type="dxa"/>
            <w:noWrap w:val="0"/>
            <w:vAlign w:val="center"/>
          </w:tcPr>
          <w:p>
            <w:pPr>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3.6</w:t>
            </w:r>
          </w:p>
        </w:tc>
        <w:tc>
          <w:tcPr>
            <w:tcW w:w="647"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84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789"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27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81"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2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eastAsia"/>
                <w:color w:val="auto"/>
                <w:lang w:val="en-US" w:eastAsia="zh-CN"/>
              </w:rPr>
              <w:t>3.6</w:t>
            </w:r>
          </w:p>
        </w:tc>
        <w:tc>
          <w:tcPr>
            <w:tcW w:w="79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931"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735"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35"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HC+NO</w:t>
            </w:r>
            <w:r>
              <w:rPr>
                <w:rFonts w:hint="eastAsia" w:eastAsia="宋体"/>
                <w:color w:val="auto"/>
                <w:vertAlign w:val="subscript"/>
              </w:rPr>
              <w:t>X</w:t>
            </w:r>
          </w:p>
        </w:tc>
        <w:tc>
          <w:tcPr>
            <w:tcW w:w="66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9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1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92" w:type="dxa"/>
            <w:noWrap w:val="0"/>
            <w:vAlign w:val="center"/>
          </w:tcPr>
          <w:p>
            <w:pPr>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9.9</w:t>
            </w:r>
          </w:p>
        </w:tc>
        <w:tc>
          <w:tcPr>
            <w:tcW w:w="647"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84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789"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27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81"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2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eastAsia"/>
                <w:color w:val="auto"/>
                <w:lang w:val="en-US" w:eastAsia="zh-CN"/>
              </w:rPr>
              <w:t>9.9</w:t>
            </w:r>
          </w:p>
        </w:tc>
        <w:tc>
          <w:tcPr>
            <w:tcW w:w="79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931"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735"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35"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CO</w:t>
            </w:r>
          </w:p>
        </w:tc>
        <w:tc>
          <w:tcPr>
            <w:tcW w:w="662"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9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11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92" w:type="dxa"/>
            <w:noWrap w:val="0"/>
            <w:vAlign w:val="center"/>
          </w:tcPr>
          <w:p>
            <w:pPr>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3.7</w:t>
            </w:r>
          </w:p>
        </w:tc>
        <w:tc>
          <w:tcPr>
            <w:tcW w:w="647"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844"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789"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27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c>
          <w:tcPr>
            <w:tcW w:w="1081" w:type="dxa"/>
            <w:noWrap w:val="0"/>
            <w:vAlign w:val="top"/>
          </w:tcPr>
          <w:p>
            <w:pPr>
              <w:keepNext w:val="0"/>
              <w:keepLines w:val="0"/>
              <w:suppressLineNumbers w:val="0"/>
              <w:spacing w:before="0" w:beforeAutospacing="0" w:after="0" w:afterAutospacing="0"/>
              <w:ind w:left="0" w:right="0"/>
              <w:rPr>
                <w:rFonts w:hint="default" w:eastAsia="宋体"/>
                <w:color w:val="auto"/>
              </w:rPr>
            </w:pPr>
            <w:r>
              <w:rPr>
                <w:rFonts w:hint="default" w:eastAsia="宋体"/>
                <w:color w:val="auto"/>
              </w:rPr>
              <w:t>/</w:t>
            </w:r>
          </w:p>
        </w:tc>
        <w:tc>
          <w:tcPr>
            <w:tcW w:w="1122" w:type="dxa"/>
            <w:noWrap w:val="0"/>
            <w:vAlign w:val="center"/>
          </w:tcPr>
          <w:p>
            <w:pPr>
              <w:keepNext w:val="0"/>
              <w:keepLines w:val="0"/>
              <w:suppressLineNumbers w:val="0"/>
              <w:spacing w:before="0" w:beforeAutospacing="0" w:after="0" w:afterAutospacing="0"/>
              <w:ind w:left="0" w:right="0"/>
              <w:rPr>
                <w:rFonts w:hint="default" w:eastAsia="宋体"/>
                <w:color w:val="auto"/>
              </w:rPr>
            </w:pPr>
            <w:r>
              <w:rPr>
                <w:rFonts w:hint="eastAsia"/>
                <w:color w:val="auto"/>
                <w:lang w:val="en-US" w:eastAsia="zh-CN"/>
              </w:rPr>
              <w:t>3.7</w:t>
            </w:r>
          </w:p>
        </w:tc>
        <w:tc>
          <w:tcPr>
            <w:tcW w:w="79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rPr>
            </w:pPr>
          </w:p>
        </w:tc>
      </w:tr>
    </w:tbl>
    <w:p>
      <w:pPr>
        <w:pStyle w:val="7"/>
        <w:numPr>
          <w:ilvl w:val="4"/>
          <w:numId w:val="2"/>
        </w:numPr>
        <w:bidi w:val="0"/>
        <w:rPr>
          <w:color w:val="auto"/>
        </w:rPr>
      </w:pPr>
      <w:bookmarkStart w:id="424" w:name="_Toc14993"/>
      <w:bookmarkStart w:id="425" w:name="_Toc249"/>
      <w:r>
        <w:rPr>
          <w:color w:val="auto"/>
        </w:rPr>
        <w:t>废水污染源源强核算结果及相关参数一览表</w:t>
      </w:r>
      <w:bookmarkEnd w:id="424"/>
      <w:bookmarkEnd w:id="425"/>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582"/>
        <w:gridCol w:w="993"/>
        <w:gridCol w:w="850"/>
        <w:gridCol w:w="709"/>
        <w:gridCol w:w="1134"/>
        <w:gridCol w:w="1134"/>
        <w:gridCol w:w="1015"/>
        <w:gridCol w:w="2593"/>
        <w:gridCol w:w="507"/>
        <w:gridCol w:w="1130"/>
        <w:gridCol w:w="1134"/>
        <w:gridCol w:w="1134"/>
        <w:gridCol w:w="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工序</w:t>
            </w:r>
          </w:p>
        </w:tc>
        <w:tc>
          <w:tcPr>
            <w:tcW w:w="58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装置</w:t>
            </w:r>
          </w:p>
        </w:tc>
        <w:tc>
          <w:tcPr>
            <w:tcW w:w="99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污染源</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污染物</w:t>
            </w:r>
          </w:p>
        </w:tc>
        <w:tc>
          <w:tcPr>
            <w:tcW w:w="39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污染物产生</w:t>
            </w:r>
          </w:p>
        </w:tc>
        <w:tc>
          <w:tcPr>
            <w:tcW w:w="259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治理措施</w:t>
            </w:r>
          </w:p>
        </w:tc>
        <w:tc>
          <w:tcPr>
            <w:tcW w:w="3905"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污染物排放</w:t>
            </w:r>
          </w:p>
        </w:tc>
        <w:tc>
          <w:tcPr>
            <w:tcW w:w="6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排放时间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58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99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核算方法</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产生废水量（</w:t>
            </w:r>
            <w:r>
              <w:rPr>
                <w:rFonts w:hint="default"/>
                <w:color w:val="auto"/>
              </w:rPr>
              <w:t>t</w:t>
            </w:r>
            <w:r>
              <w:rPr>
                <w:rFonts w:hint="eastAsia"/>
                <w:color w:val="auto"/>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rPr>
            </w:pPr>
            <w:r>
              <w:rPr>
                <w:rFonts w:hint="eastAsia"/>
                <w:color w:val="auto"/>
              </w:rPr>
              <w:t>产生浓度</w:t>
            </w:r>
          </w:p>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r>
              <w:rPr>
                <w:rFonts w:hint="default"/>
                <w:color w:val="auto"/>
              </w:rPr>
              <w:t>mg/L</w:t>
            </w:r>
            <w:r>
              <w:rPr>
                <w:rFonts w:hint="eastAsia"/>
                <w:color w:val="auto"/>
              </w:rPr>
              <w:t>）</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产生量（</w:t>
            </w:r>
            <w:r>
              <w:rPr>
                <w:rFonts w:hint="default"/>
                <w:color w:val="auto"/>
              </w:rPr>
              <w:t>kg/h</w:t>
            </w:r>
            <w:r>
              <w:rPr>
                <w:rFonts w:hint="eastAsia"/>
                <w:color w:val="auto"/>
              </w:rPr>
              <w:t>）</w:t>
            </w:r>
          </w:p>
        </w:tc>
        <w:tc>
          <w:tcPr>
            <w:tcW w:w="259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5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核算方法</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rPr>
            </w:pPr>
            <w:r>
              <w:rPr>
                <w:rFonts w:hint="eastAsia"/>
                <w:color w:val="auto"/>
              </w:rPr>
              <w:t>排放废水量</w:t>
            </w:r>
          </w:p>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r>
              <w:rPr>
                <w:rFonts w:hint="default"/>
                <w:color w:val="auto"/>
              </w:rPr>
              <w:t>m</w:t>
            </w:r>
            <w:r>
              <w:rPr>
                <w:rFonts w:hint="default"/>
                <w:color w:val="auto"/>
                <w:vertAlign w:val="superscript"/>
              </w:rPr>
              <w:t>3</w:t>
            </w:r>
            <w:r>
              <w:rPr>
                <w:rFonts w:hint="default"/>
                <w:color w:val="auto"/>
              </w:rPr>
              <w:t>/h</w:t>
            </w:r>
            <w:r>
              <w:rPr>
                <w:rFonts w:hint="eastAsia"/>
                <w:color w:val="auto"/>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rPr>
            </w:pPr>
            <w:r>
              <w:rPr>
                <w:rFonts w:hint="eastAsia"/>
                <w:color w:val="auto"/>
              </w:rPr>
              <w:t>排放浓度</w:t>
            </w:r>
          </w:p>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r>
              <w:rPr>
                <w:rFonts w:hint="default"/>
                <w:color w:val="auto"/>
              </w:rPr>
              <w:t>mg/L</w:t>
            </w:r>
            <w:r>
              <w:rPr>
                <w:rFonts w:hint="eastAsia"/>
                <w:color w:val="auto"/>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rPr>
            </w:pPr>
            <w:r>
              <w:rPr>
                <w:rFonts w:hint="eastAsia"/>
                <w:color w:val="auto"/>
              </w:rPr>
              <w:t>排放量</w:t>
            </w:r>
          </w:p>
          <w:p>
            <w:pPr>
              <w:keepNext w:val="0"/>
              <w:keepLines w:val="0"/>
              <w:suppressLineNumbers w:val="0"/>
              <w:spacing w:before="0" w:beforeAutospacing="0" w:after="0" w:afterAutospacing="0"/>
              <w:ind w:left="0" w:right="0"/>
              <w:jc w:val="center"/>
              <w:rPr>
                <w:rFonts w:hint="default"/>
                <w:color w:val="auto"/>
              </w:rPr>
            </w:pPr>
            <w:r>
              <w:rPr>
                <w:rFonts w:hint="eastAsia"/>
                <w:color w:val="auto"/>
              </w:rPr>
              <w:t>（</w:t>
            </w:r>
            <w:r>
              <w:rPr>
                <w:rFonts w:hint="default"/>
                <w:color w:val="auto"/>
              </w:rPr>
              <w:t>kg/h</w:t>
            </w:r>
            <w:r>
              <w:rPr>
                <w:rFonts w:hint="eastAsia"/>
                <w:color w:val="auto"/>
              </w:rPr>
              <w:t>）</w:t>
            </w:r>
          </w:p>
        </w:tc>
        <w:tc>
          <w:tcPr>
            <w:tcW w:w="64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井台冲洗</w:t>
            </w:r>
          </w:p>
        </w:tc>
        <w:tc>
          <w:tcPr>
            <w:tcW w:w="582" w:type="dxa"/>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井台</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不含油</w:t>
            </w:r>
            <w:r>
              <w:rPr>
                <w:rFonts w:hint="eastAsia"/>
                <w:color w:val="auto"/>
              </w:rPr>
              <w:t>钻井废水</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SS</w:t>
            </w:r>
            <w:r>
              <w:rPr>
                <w:rFonts w:hint="eastAsia"/>
                <w:color w:val="auto"/>
              </w:rPr>
              <w:t>等</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类比</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1200</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2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随废弃水基钻井泥浆依托大庆市采油八厂废弃钻井液集中处理站处理。</w:t>
            </w:r>
          </w:p>
        </w:tc>
        <w:tc>
          <w:tcPr>
            <w:tcW w:w="5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p>
        </w:tc>
        <w:tc>
          <w:tcPr>
            <w:tcW w:w="582" w:type="dxa"/>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含油</w:t>
            </w:r>
            <w:r>
              <w:rPr>
                <w:rFonts w:hint="eastAsia"/>
                <w:color w:val="auto"/>
              </w:rPr>
              <w:t>钻井废水</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石油类等</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类比</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900.4</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2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rPr>
                <w:rFonts w:hint="eastAsia"/>
                <w:color w:val="auto"/>
              </w:rPr>
            </w:pPr>
            <w:r>
              <w:rPr>
                <w:rFonts w:hint="eastAsia" w:ascii="宋体" w:hAnsi="宋体" w:eastAsia="宋体" w:cs="宋体"/>
                <w:color w:val="auto"/>
                <w:kern w:val="0"/>
                <w:sz w:val="21"/>
                <w:szCs w:val="21"/>
                <w:lang w:val="en-US" w:eastAsia="zh-CN" w:bidi="ar"/>
              </w:rPr>
              <w:t>随废弃油基泥浆依托大庆中林绿源生物环保有限公司处理。</w:t>
            </w:r>
          </w:p>
        </w:tc>
        <w:tc>
          <w:tcPr>
            <w:tcW w:w="5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9" w:hRule="atLeast"/>
          <w:jc w:val="center"/>
        </w:trPr>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施工</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人员</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生活污水</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COD</w:t>
            </w:r>
            <w:r>
              <w:rPr>
                <w:rFonts w:hint="eastAsia"/>
                <w:color w:val="auto"/>
              </w:rPr>
              <w:t>、</w:t>
            </w:r>
            <w:r>
              <w:rPr>
                <w:rFonts w:hint="default"/>
                <w:color w:val="auto"/>
              </w:rPr>
              <w:t>NH</w:t>
            </w:r>
            <w:r>
              <w:rPr>
                <w:rFonts w:hint="default"/>
                <w:color w:val="auto"/>
                <w:vertAlign w:val="subscript"/>
              </w:rPr>
              <w:t>3</w:t>
            </w:r>
            <w:r>
              <w:rPr>
                <w:rFonts w:hint="default"/>
                <w:color w:val="auto"/>
              </w:rPr>
              <w:t>-N</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类比法</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4723.2</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2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施工期产生的生活污水进入井场生活污水防渗池，施工结束后进行清掏并卫生填埋，场地进行平整。。</w:t>
            </w:r>
          </w:p>
        </w:tc>
        <w:tc>
          <w:tcPr>
            <w:tcW w:w="5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9" w:hRule="atLeast"/>
          <w:jc w:val="center"/>
        </w:trPr>
        <w:tc>
          <w:tcPr>
            <w:tcW w:w="6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rPr>
                <w:rFonts w:hint="eastAsia"/>
                <w:color w:val="auto"/>
              </w:rPr>
            </w:pPr>
            <w:r>
              <w:rPr>
                <w:rFonts w:hint="eastAsia" w:hAnsi="宋体"/>
                <w:color w:val="auto"/>
                <w:sz w:val="18"/>
                <w:szCs w:val="18"/>
              </w:rPr>
              <w:t>试气</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color w:val="auto"/>
              </w:rPr>
            </w:pPr>
            <w:r>
              <w:rPr>
                <w:rFonts w:hint="eastAsia" w:hAnsi="宋体"/>
                <w:color w:val="auto"/>
                <w:sz w:val="18"/>
                <w:szCs w:val="18"/>
              </w:rPr>
              <w:t>试气</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color w:val="auto"/>
              </w:rPr>
            </w:pPr>
            <w:r>
              <w:rPr>
                <w:rFonts w:hint="eastAsia" w:hAnsi="宋体"/>
                <w:color w:val="auto"/>
                <w:sz w:val="18"/>
                <w:szCs w:val="18"/>
              </w:rPr>
              <w:t>试气产液</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snapToGrid w:val="0"/>
                <w:color w:val="auto"/>
                <w:sz w:val="18"/>
                <w:szCs w:val="18"/>
              </w:rPr>
              <w:t>COD</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color w:val="auto"/>
              </w:rPr>
            </w:pPr>
            <w:r>
              <w:rPr>
                <w:rFonts w:hint="default" w:hAnsi="宋体"/>
                <w:snapToGrid w:val="0"/>
                <w:color w:val="auto"/>
                <w:sz w:val="18"/>
                <w:szCs w:val="18"/>
              </w:rPr>
              <w:t>类比法</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color w:val="auto"/>
                <w:lang w:val="en-US" w:eastAsia="zh-CN"/>
              </w:rPr>
            </w:pPr>
            <w:r>
              <w:rPr>
                <w:rFonts w:hint="eastAsia"/>
                <w:snapToGrid w:val="0"/>
                <w:color w:val="auto"/>
                <w:sz w:val="18"/>
                <w:szCs w:val="18"/>
              </w:rPr>
              <w:t>少量</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eastAsia"/>
                <w:snapToGrid w:val="0"/>
                <w:color w:val="auto"/>
                <w:sz w:val="18"/>
                <w:szCs w:val="18"/>
              </w:rPr>
              <w:t>/</w:t>
            </w:r>
          </w:p>
        </w:tc>
        <w:tc>
          <w:tcPr>
            <w:tcW w:w="10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eastAsia"/>
                <w:snapToGrid w:val="0"/>
                <w:color w:val="auto"/>
                <w:sz w:val="18"/>
                <w:szCs w:val="18"/>
              </w:rPr>
              <w:t>/</w:t>
            </w:r>
          </w:p>
        </w:tc>
        <w:tc>
          <w:tcPr>
            <w:tcW w:w="25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eastAsia"/>
                <w:color w:val="auto"/>
              </w:rPr>
            </w:pPr>
            <w:r>
              <w:rPr>
                <w:rFonts w:hint="eastAsia" w:hAnsi="宋体"/>
                <w:color w:val="auto"/>
                <w:sz w:val="18"/>
                <w:szCs w:val="18"/>
              </w:rPr>
              <w:t>送升一联气田污水预处理站处理</w:t>
            </w:r>
          </w:p>
        </w:tc>
        <w:tc>
          <w:tcPr>
            <w:tcW w:w="5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color w:val="auto"/>
                <w:sz w:val="18"/>
                <w:szCs w:val="18"/>
              </w:rPr>
              <w:t>/</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color w:val="auto"/>
                <w:sz w:val="18"/>
                <w:szCs w:val="18"/>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color w:val="auto"/>
                <w:sz w:val="18"/>
                <w:szCs w:val="18"/>
              </w:rPr>
              <w:t>/</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color w:val="auto"/>
                <w:sz w:val="18"/>
                <w:szCs w:val="18"/>
              </w:rPr>
              <w:t>/</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left"/>
              <w:rPr>
                <w:rFonts w:hint="default"/>
                <w:color w:val="auto"/>
              </w:rPr>
            </w:pPr>
            <w:r>
              <w:rPr>
                <w:rFonts w:hint="eastAsia" w:hAnsi="宋体"/>
                <w:color w:val="auto"/>
                <w:sz w:val="18"/>
                <w:szCs w:val="18"/>
              </w:rPr>
              <w:t>试气</w:t>
            </w:r>
          </w:p>
        </w:tc>
      </w:tr>
    </w:tbl>
    <w:p>
      <w:pPr>
        <w:pStyle w:val="7"/>
        <w:numPr>
          <w:ilvl w:val="4"/>
          <w:numId w:val="2"/>
        </w:numPr>
        <w:bidi w:val="0"/>
        <w:rPr>
          <w:color w:val="auto"/>
        </w:rPr>
      </w:pPr>
      <w:bookmarkStart w:id="426" w:name="_Toc26823"/>
      <w:bookmarkStart w:id="427" w:name="_Toc8093"/>
      <w:r>
        <w:rPr>
          <w:color w:val="auto"/>
        </w:rPr>
        <w:t>噪声污染源源强核算结果及相关参数一览表</w:t>
      </w:r>
      <w:bookmarkEnd w:id="426"/>
      <w:bookmarkEnd w:id="427"/>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749"/>
        <w:gridCol w:w="1134"/>
        <w:gridCol w:w="1417"/>
        <w:gridCol w:w="1314"/>
        <w:gridCol w:w="2023"/>
        <w:gridCol w:w="1665"/>
        <w:gridCol w:w="1665"/>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工序</w:t>
            </w:r>
          </w:p>
        </w:tc>
        <w:tc>
          <w:tcPr>
            <w:tcW w:w="1127"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装置</w:t>
            </w:r>
          </w:p>
        </w:tc>
        <w:tc>
          <w:tcPr>
            <w:tcW w:w="1749"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噪声源</w:t>
            </w:r>
          </w:p>
        </w:tc>
        <w:tc>
          <w:tcPr>
            <w:tcW w:w="1134"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声源类型</w:t>
            </w:r>
          </w:p>
        </w:tc>
        <w:tc>
          <w:tcPr>
            <w:tcW w:w="2731" w:type="dxa"/>
            <w:gridSpan w:val="2"/>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噪声源强</w:t>
            </w:r>
          </w:p>
        </w:tc>
        <w:tc>
          <w:tcPr>
            <w:tcW w:w="2023"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降噪措施</w:t>
            </w:r>
          </w:p>
        </w:tc>
        <w:tc>
          <w:tcPr>
            <w:tcW w:w="3330" w:type="dxa"/>
            <w:gridSpan w:val="2"/>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噪声排放值</w:t>
            </w:r>
          </w:p>
        </w:tc>
        <w:tc>
          <w:tcPr>
            <w:tcW w:w="1208"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27"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749"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34"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核算方法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噪声值</w:t>
            </w:r>
          </w:p>
        </w:tc>
        <w:tc>
          <w:tcPr>
            <w:tcW w:w="2023"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核算方法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噪声值</w:t>
            </w:r>
          </w:p>
        </w:tc>
        <w:tc>
          <w:tcPr>
            <w:tcW w:w="1208" w:type="dxa"/>
            <w:vMerge w:val="restart"/>
            <w:noWrap w:val="0"/>
            <w:vAlign w:val="center"/>
          </w:tcPr>
          <w:p>
            <w:pPr>
              <w:keepNext w:val="0"/>
              <w:keepLines w:val="0"/>
              <w:suppressLineNumbers w:val="0"/>
              <w:spacing w:before="0" w:beforeAutospacing="0" w:after="0" w:afterAutospacing="0"/>
              <w:ind w:left="0" w:right="0"/>
              <w:rPr>
                <w:rFonts w:hint="eastAsia" w:eastAsia="宋体"/>
                <w:color w:val="auto"/>
                <w:szCs w:val="21"/>
              </w:rPr>
            </w:pPr>
            <w:r>
              <w:rPr>
                <w:rFonts w:hint="eastAsia" w:eastAsia="宋体"/>
                <w:color w:val="auto"/>
                <w:szCs w:val="21"/>
              </w:rPr>
              <w:t xml:space="preserve"> 钻井期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18"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钻井</w:t>
            </w:r>
          </w:p>
        </w:tc>
        <w:tc>
          <w:tcPr>
            <w:tcW w:w="1127"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施工设备</w:t>
            </w:r>
          </w:p>
        </w:tc>
        <w:tc>
          <w:tcPr>
            <w:tcW w:w="1749"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挖掘机</w:t>
            </w:r>
          </w:p>
        </w:tc>
        <w:tc>
          <w:tcPr>
            <w:tcW w:w="113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机械噪声</w:t>
            </w: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80~85</w:t>
            </w:r>
          </w:p>
        </w:tc>
        <w:tc>
          <w:tcPr>
            <w:tcW w:w="2023" w:type="dxa"/>
            <w:vMerge w:val="restart"/>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采取合理安排施工进度，调整同时作业的施工机械数量，注意对设备的维护和保养，合理操作，保证施工机械保</w:t>
            </w:r>
          </w:p>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持在最佳状态，合理布局施工场地等措施</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80~85</w:t>
            </w:r>
          </w:p>
        </w:tc>
        <w:tc>
          <w:tcPr>
            <w:tcW w:w="120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27"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749"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推土机</w:t>
            </w:r>
          </w:p>
        </w:tc>
        <w:tc>
          <w:tcPr>
            <w:tcW w:w="113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机械噪声</w:t>
            </w: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85~92</w:t>
            </w:r>
          </w:p>
        </w:tc>
        <w:tc>
          <w:tcPr>
            <w:tcW w:w="2023"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85~92</w:t>
            </w:r>
          </w:p>
        </w:tc>
        <w:tc>
          <w:tcPr>
            <w:tcW w:w="120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27"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749"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运输车辆</w:t>
            </w:r>
          </w:p>
        </w:tc>
        <w:tc>
          <w:tcPr>
            <w:tcW w:w="1134" w:type="dxa"/>
            <w:noWrap w:val="0"/>
            <w:vAlign w:val="top"/>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机械噪声</w:t>
            </w: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75~80</w:t>
            </w:r>
          </w:p>
        </w:tc>
        <w:tc>
          <w:tcPr>
            <w:tcW w:w="2023"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75~80</w:t>
            </w:r>
          </w:p>
        </w:tc>
        <w:tc>
          <w:tcPr>
            <w:tcW w:w="120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27"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749"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柴油发电机</w:t>
            </w:r>
          </w:p>
        </w:tc>
        <w:tc>
          <w:tcPr>
            <w:tcW w:w="1134" w:type="dxa"/>
            <w:noWrap w:val="0"/>
            <w:vAlign w:val="top"/>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机械噪声</w:t>
            </w: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85~105</w:t>
            </w:r>
          </w:p>
        </w:tc>
        <w:tc>
          <w:tcPr>
            <w:tcW w:w="2023"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85~105</w:t>
            </w:r>
          </w:p>
        </w:tc>
        <w:tc>
          <w:tcPr>
            <w:tcW w:w="120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27"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749"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钻机</w:t>
            </w:r>
          </w:p>
        </w:tc>
        <w:tc>
          <w:tcPr>
            <w:tcW w:w="1134" w:type="dxa"/>
            <w:noWrap w:val="0"/>
            <w:vAlign w:val="top"/>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机械噪声</w:t>
            </w: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85~90</w:t>
            </w:r>
          </w:p>
        </w:tc>
        <w:tc>
          <w:tcPr>
            <w:tcW w:w="2023"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85~90</w:t>
            </w:r>
          </w:p>
        </w:tc>
        <w:tc>
          <w:tcPr>
            <w:tcW w:w="120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27"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749"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泥浆泵</w:t>
            </w:r>
          </w:p>
        </w:tc>
        <w:tc>
          <w:tcPr>
            <w:tcW w:w="113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机械噪声</w:t>
            </w: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75~85</w:t>
            </w:r>
          </w:p>
        </w:tc>
        <w:tc>
          <w:tcPr>
            <w:tcW w:w="2023"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75~85</w:t>
            </w:r>
          </w:p>
        </w:tc>
        <w:tc>
          <w:tcPr>
            <w:tcW w:w="120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27"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749"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震动筛</w:t>
            </w:r>
          </w:p>
        </w:tc>
        <w:tc>
          <w:tcPr>
            <w:tcW w:w="113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机械噪声</w:t>
            </w: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70~85</w:t>
            </w:r>
          </w:p>
        </w:tc>
        <w:tc>
          <w:tcPr>
            <w:tcW w:w="2023"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70~85</w:t>
            </w:r>
          </w:p>
        </w:tc>
        <w:tc>
          <w:tcPr>
            <w:tcW w:w="120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1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127"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749"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eastAsia"/>
                <w:color w:val="auto"/>
              </w:rPr>
              <w:t>搅拌机</w:t>
            </w:r>
          </w:p>
        </w:tc>
        <w:tc>
          <w:tcPr>
            <w:tcW w:w="1134"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机械噪声</w:t>
            </w:r>
          </w:p>
        </w:tc>
        <w:tc>
          <w:tcPr>
            <w:tcW w:w="1417"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314" w:type="dxa"/>
            <w:noWrap w:val="0"/>
            <w:vAlign w:val="center"/>
          </w:tcPr>
          <w:p>
            <w:pPr>
              <w:keepNext w:val="0"/>
              <w:keepLines w:val="0"/>
              <w:suppressLineNumbers w:val="0"/>
              <w:spacing w:before="0" w:beforeAutospacing="0" w:after="0" w:afterAutospacing="0"/>
              <w:ind w:left="0" w:right="0"/>
              <w:rPr>
                <w:rFonts w:hint="default" w:eastAsia="宋体"/>
                <w:color w:val="auto"/>
                <w:szCs w:val="21"/>
                <w:lang w:val="en-US" w:eastAsia="zh-CN"/>
              </w:rPr>
            </w:pPr>
            <w:r>
              <w:rPr>
                <w:rFonts w:hint="eastAsia"/>
                <w:color w:val="auto"/>
                <w:szCs w:val="21"/>
                <w:lang w:val="en-US" w:eastAsia="zh-CN"/>
              </w:rPr>
              <w:t>60~70</w:t>
            </w:r>
          </w:p>
        </w:tc>
        <w:tc>
          <w:tcPr>
            <w:tcW w:w="2023"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实测法</w:t>
            </w:r>
          </w:p>
        </w:tc>
        <w:tc>
          <w:tcPr>
            <w:tcW w:w="1665" w:type="dxa"/>
            <w:noWrap w:val="0"/>
            <w:vAlign w:val="center"/>
          </w:tcPr>
          <w:p>
            <w:pPr>
              <w:keepNext w:val="0"/>
              <w:keepLines w:val="0"/>
              <w:suppressLineNumbers w:val="0"/>
              <w:spacing w:before="0" w:beforeAutospacing="0" w:after="0" w:afterAutospacing="0"/>
              <w:ind w:left="0" w:right="0"/>
              <w:rPr>
                <w:rFonts w:hint="default" w:eastAsia="宋体"/>
                <w:color w:val="auto"/>
                <w:szCs w:val="21"/>
              </w:rPr>
            </w:pPr>
            <w:r>
              <w:rPr>
                <w:rFonts w:hint="default" w:eastAsia="宋体"/>
                <w:color w:val="auto"/>
                <w:szCs w:val="21"/>
              </w:rPr>
              <w:t>70~85</w:t>
            </w:r>
          </w:p>
        </w:tc>
        <w:tc>
          <w:tcPr>
            <w:tcW w:w="1208" w:type="dxa"/>
            <w:vMerge w:val="continue"/>
            <w:noWrap w:val="0"/>
            <w:vAlign w:val="center"/>
          </w:tcPr>
          <w:p>
            <w:pPr>
              <w:keepNext w:val="0"/>
              <w:keepLines w:val="0"/>
              <w:suppressLineNumbers w:val="0"/>
              <w:spacing w:before="0" w:beforeAutospacing="0" w:after="0" w:afterAutospacing="0"/>
              <w:ind w:left="0" w:right="0"/>
              <w:rPr>
                <w:rFonts w:hint="default" w:eastAsia="宋体"/>
                <w:color w:val="auto"/>
                <w:szCs w:val="21"/>
              </w:rPr>
            </w:pPr>
          </w:p>
        </w:tc>
      </w:tr>
    </w:tbl>
    <w:p>
      <w:pPr>
        <w:pStyle w:val="21"/>
        <w:spacing w:line="480" w:lineRule="exact"/>
        <w:jc w:val="center"/>
        <w:rPr>
          <w:rFonts w:hint="eastAsia" w:ascii="Times New Roman"/>
          <w:color w:val="auto"/>
          <w:sz w:val="28"/>
          <w:szCs w:val="28"/>
        </w:rPr>
      </w:pPr>
      <w:bookmarkStart w:id="428" w:name="_Toc24913"/>
      <w:bookmarkStart w:id="429" w:name="_Toc25298"/>
    </w:p>
    <w:p>
      <w:pPr>
        <w:pStyle w:val="21"/>
        <w:spacing w:line="480" w:lineRule="exact"/>
        <w:jc w:val="center"/>
        <w:rPr>
          <w:rFonts w:hint="eastAsia" w:ascii="Times New Roman"/>
          <w:color w:val="auto"/>
          <w:sz w:val="28"/>
          <w:szCs w:val="28"/>
        </w:rPr>
      </w:pPr>
    </w:p>
    <w:p>
      <w:pPr>
        <w:pStyle w:val="21"/>
        <w:spacing w:line="480" w:lineRule="exact"/>
        <w:jc w:val="center"/>
        <w:rPr>
          <w:rFonts w:hint="eastAsia" w:ascii="Times New Roman"/>
          <w:color w:val="auto"/>
          <w:sz w:val="28"/>
          <w:szCs w:val="28"/>
        </w:rPr>
      </w:pPr>
    </w:p>
    <w:p>
      <w:pPr>
        <w:pStyle w:val="21"/>
        <w:spacing w:line="480" w:lineRule="exact"/>
        <w:jc w:val="center"/>
        <w:rPr>
          <w:rFonts w:hint="eastAsia" w:ascii="Times New Roman"/>
          <w:color w:val="auto"/>
          <w:sz w:val="28"/>
          <w:szCs w:val="28"/>
        </w:rPr>
      </w:pPr>
    </w:p>
    <w:p>
      <w:pPr>
        <w:pStyle w:val="21"/>
        <w:spacing w:line="480" w:lineRule="exact"/>
        <w:jc w:val="center"/>
        <w:rPr>
          <w:rFonts w:hint="eastAsia" w:ascii="Times New Roman"/>
          <w:color w:val="auto"/>
          <w:sz w:val="28"/>
          <w:szCs w:val="28"/>
        </w:rPr>
      </w:pPr>
    </w:p>
    <w:p>
      <w:pPr>
        <w:pStyle w:val="21"/>
        <w:spacing w:line="480" w:lineRule="exact"/>
        <w:jc w:val="center"/>
        <w:rPr>
          <w:rFonts w:hint="eastAsia" w:ascii="Times New Roman"/>
          <w:color w:val="auto"/>
          <w:sz w:val="28"/>
          <w:szCs w:val="28"/>
        </w:rPr>
      </w:pPr>
    </w:p>
    <w:p>
      <w:pPr>
        <w:pStyle w:val="21"/>
        <w:spacing w:line="480" w:lineRule="exact"/>
        <w:jc w:val="center"/>
        <w:rPr>
          <w:rFonts w:hint="eastAsia" w:ascii="Times New Roman"/>
          <w:color w:val="auto"/>
          <w:sz w:val="28"/>
          <w:szCs w:val="28"/>
        </w:rPr>
      </w:pPr>
    </w:p>
    <w:p>
      <w:pPr>
        <w:pStyle w:val="21"/>
        <w:spacing w:line="480" w:lineRule="exact"/>
        <w:jc w:val="center"/>
        <w:rPr>
          <w:rFonts w:hint="eastAsia" w:ascii="Times New Roman"/>
          <w:color w:val="auto"/>
          <w:sz w:val="28"/>
          <w:szCs w:val="28"/>
        </w:rPr>
      </w:pPr>
    </w:p>
    <w:p>
      <w:pPr>
        <w:pStyle w:val="7"/>
        <w:numPr>
          <w:ilvl w:val="4"/>
          <w:numId w:val="2"/>
        </w:numPr>
        <w:bidi w:val="0"/>
        <w:rPr>
          <w:color w:val="auto"/>
        </w:rPr>
      </w:pPr>
      <w:r>
        <w:rPr>
          <w:color w:val="auto"/>
        </w:rPr>
        <w:t>固体废物污染源源强核算结果及相关参数一览表</w:t>
      </w:r>
      <w:bookmarkEnd w:id="428"/>
      <w:bookmarkEnd w:id="429"/>
    </w:p>
    <w:tbl>
      <w:tblPr>
        <w:tblStyle w:val="34"/>
        <w:tblW w:w="14174"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1"/>
        <w:gridCol w:w="978"/>
        <w:gridCol w:w="2127"/>
        <w:gridCol w:w="1559"/>
        <w:gridCol w:w="1134"/>
        <w:gridCol w:w="1417"/>
        <w:gridCol w:w="709"/>
        <w:gridCol w:w="1418"/>
        <w:gridCol w:w="40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831" w:type="dxa"/>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工序</w:t>
            </w:r>
          </w:p>
        </w:tc>
        <w:tc>
          <w:tcPr>
            <w:tcW w:w="978" w:type="dxa"/>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装置</w:t>
            </w:r>
          </w:p>
        </w:tc>
        <w:tc>
          <w:tcPr>
            <w:tcW w:w="212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固体废物名称</w:t>
            </w:r>
          </w:p>
        </w:tc>
        <w:tc>
          <w:tcPr>
            <w:tcW w:w="155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固废属性</w:t>
            </w:r>
          </w:p>
        </w:tc>
        <w:tc>
          <w:tcPr>
            <w:tcW w:w="255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产生情况</w:t>
            </w:r>
          </w:p>
        </w:tc>
        <w:tc>
          <w:tcPr>
            <w:tcW w:w="212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处置措施</w:t>
            </w:r>
          </w:p>
        </w:tc>
        <w:tc>
          <w:tcPr>
            <w:tcW w:w="40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最终去向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831" w:type="dxa"/>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978" w:type="dxa"/>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212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155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核算方法</w:t>
            </w:r>
          </w:p>
        </w:tc>
        <w:tc>
          <w:tcPr>
            <w:tcW w:w="141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产生量</w:t>
            </w:r>
          </w:p>
        </w:tc>
        <w:tc>
          <w:tcPr>
            <w:tcW w:w="70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工艺</w:t>
            </w:r>
          </w:p>
        </w:tc>
        <w:tc>
          <w:tcPr>
            <w:tcW w:w="141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处置量</w:t>
            </w:r>
          </w:p>
        </w:tc>
        <w:tc>
          <w:tcPr>
            <w:tcW w:w="40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31" w:type="dxa"/>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钻井</w:t>
            </w:r>
          </w:p>
        </w:tc>
        <w:tc>
          <w:tcPr>
            <w:tcW w:w="978" w:type="dxa"/>
            <w:vMerge w:val="restart"/>
            <w:tcBorders>
              <w:top w:val="single" w:color="000000" w:sz="4" w:space="0"/>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color w:val="auto"/>
                <w:lang w:eastAsia="zh-CN"/>
              </w:rPr>
              <w:t>钻井井场</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废弃</w:t>
            </w:r>
            <w:r>
              <w:rPr>
                <w:rFonts w:hint="eastAsia"/>
                <w:color w:val="auto"/>
                <w:lang w:val="en-US" w:eastAsia="zh-CN"/>
              </w:rPr>
              <w:t>水基</w:t>
            </w:r>
            <w:r>
              <w:rPr>
                <w:rFonts w:hint="eastAsia"/>
                <w:color w:val="auto"/>
              </w:rPr>
              <w:t>钻井液</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一般工业固废</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类比法</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24960</w:t>
            </w:r>
            <w:r>
              <w:rPr>
                <w:rFonts w:hint="default"/>
                <w:color w:val="auto"/>
              </w:rPr>
              <w:t xml:space="preserve"> m</w:t>
            </w:r>
            <w:r>
              <w:rPr>
                <w:rFonts w:hint="default"/>
                <w:color w:val="auto"/>
                <w:vertAlign w:val="superscript"/>
              </w:rPr>
              <w:t>3</w:t>
            </w:r>
          </w:p>
        </w:tc>
        <w:tc>
          <w:tcPr>
            <w:tcW w:w="70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24960</w:t>
            </w:r>
            <w:r>
              <w:rPr>
                <w:rFonts w:hint="default"/>
                <w:color w:val="auto"/>
              </w:rPr>
              <w:t xml:space="preserve"> m</w:t>
            </w:r>
            <w:r>
              <w:rPr>
                <w:rFonts w:hint="default"/>
                <w:color w:val="auto"/>
                <w:vertAlign w:val="superscript"/>
              </w:rPr>
              <w:t>3</w:t>
            </w:r>
          </w:p>
        </w:tc>
        <w:tc>
          <w:tcPr>
            <w:tcW w:w="4001"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依托大庆市采油八厂废弃钻井液集中处理站处理。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31"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lang w:eastAsia="zh-CN"/>
              </w:rPr>
            </w:pPr>
          </w:p>
        </w:tc>
        <w:tc>
          <w:tcPr>
            <w:tcW w:w="978"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lang w:eastAsia="zh-CN"/>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废弃油基钻井液</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危险废物</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类比法</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25860</w:t>
            </w:r>
          </w:p>
        </w:tc>
        <w:tc>
          <w:tcPr>
            <w:tcW w:w="70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p>
        </w:tc>
        <w:tc>
          <w:tcPr>
            <w:tcW w:w="4001"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lang w:val="en-US" w:eastAsia="zh-CN"/>
              </w:rPr>
              <w:t>依托大庆中林绿源生物环保有限公司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31"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978"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含油</w:t>
            </w:r>
            <w:r>
              <w:rPr>
                <w:rFonts w:hint="eastAsia"/>
                <w:color w:val="auto"/>
              </w:rPr>
              <w:t>钻井岩屑</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一般工业固废</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类比法</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1080.21</w:t>
            </w:r>
            <w:r>
              <w:rPr>
                <w:rFonts w:hint="default"/>
                <w:color w:val="auto"/>
              </w:rPr>
              <w:t xml:space="preserve"> m</w:t>
            </w:r>
            <w:r>
              <w:rPr>
                <w:rFonts w:hint="default"/>
                <w:color w:val="auto"/>
                <w:vertAlign w:val="superscript"/>
              </w:rPr>
              <w:t>3</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2520.48</w:t>
            </w:r>
            <w:r>
              <w:rPr>
                <w:rFonts w:hint="default"/>
                <w:color w:val="auto"/>
              </w:rPr>
              <w:t xml:space="preserve"> m</w:t>
            </w:r>
            <w:r>
              <w:rPr>
                <w:rFonts w:hint="default"/>
                <w:color w:val="auto"/>
                <w:vertAlign w:val="superscript"/>
              </w:rPr>
              <w:t>3</w:t>
            </w:r>
          </w:p>
        </w:tc>
        <w:tc>
          <w:tcPr>
            <w:tcW w:w="40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rPr>
            </w:pPr>
            <w:r>
              <w:rPr>
                <w:rFonts w:hint="eastAsia"/>
                <w:color w:val="auto"/>
              </w:rPr>
              <w:t>依托大庆市采油八厂废弃钻井液集中处理站处理理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31"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978"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不含油钻井岩屑</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危险废物</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类比法</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1440.27</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p>
        </w:tc>
        <w:tc>
          <w:tcPr>
            <w:tcW w:w="40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lang w:val="en-US" w:eastAsia="zh-CN"/>
              </w:rPr>
              <w:t>依托大庆中林绿源生物环保有限公司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31"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rPr>
            </w:pPr>
          </w:p>
        </w:tc>
        <w:tc>
          <w:tcPr>
            <w:tcW w:w="978"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2127"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废弃防渗布</w:t>
            </w:r>
          </w:p>
        </w:tc>
        <w:tc>
          <w:tcPr>
            <w:tcW w:w="155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危险废物</w:t>
            </w:r>
          </w:p>
        </w:tc>
        <w:tc>
          <w:tcPr>
            <w:tcW w:w="113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类比法</w:t>
            </w:r>
          </w:p>
        </w:tc>
        <w:tc>
          <w:tcPr>
            <w:tcW w:w="1417"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0.765</w:t>
            </w:r>
            <w:r>
              <w:rPr>
                <w:rFonts w:hint="default"/>
                <w:color w:val="auto"/>
              </w:rPr>
              <w:t>t</w:t>
            </w:r>
          </w:p>
        </w:tc>
        <w:tc>
          <w:tcPr>
            <w:tcW w:w="70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41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0.765</w:t>
            </w:r>
            <w:r>
              <w:rPr>
                <w:rFonts w:hint="default"/>
                <w:color w:val="auto"/>
              </w:rPr>
              <w:t>t</w:t>
            </w:r>
          </w:p>
        </w:tc>
        <w:tc>
          <w:tcPr>
            <w:tcW w:w="4001"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依托大庆中林绿源生物环保有限公司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31"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978" w:type="dxa"/>
            <w:vMerge w:val="continue"/>
            <w:tcBorders>
              <w:left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一般化学品废弃包装袋</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一般工业固废</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类比法</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0.045</w:t>
            </w:r>
            <w:r>
              <w:rPr>
                <w:rFonts w:hint="default"/>
                <w:color w:val="auto"/>
              </w:rPr>
              <w:t>t</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0.045</w:t>
            </w:r>
            <w:r>
              <w:rPr>
                <w:rFonts w:hint="default"/>
                <w:color w:val="auto"/>
              </w:rPr>
              <w:t>t</w:t>
            </w:r>
          </w:p>
        </w:tc>
        <w:tc>
          <w:tcPr>
            <w:tcW w:w="40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大庆市岗源环保科技有限责任公司工业废弃物处置中心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31" w:type="dxa"/>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978" w:type="dxa"/>
            <w:vMerge w:val="continue"/>
            <w:tcBorders>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氢氧化钾包装袋</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危险废物</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类比法</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rPr>
              <w:t>0.05</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rPr>
              <w:t>0.0</w:t>
            </w:r>
            <w:r>
              <w:rPr>
                <w:rFonts w:hint="eastAsia"/>
                <w:color w:val="auto"/>
                <w:lang w:val="en-US" w:eastAsia="zh-CN"/>
              </w:rPr>
              <w:t>3</w:t>
            </w:r>
          </w:p>
        </w:tc>
        <w:tc>
          <w:tcPr>
            <w:tcW w:w="40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color w:val="auto"/>
              </w:rPr>
            </w:pPr>
            <w:r>
              <w:rPr>
                <w:rFonts w:hint="eastAsia"/>
                <w:color w:val="auto"/>
              </w:rPr>
              <w:t>委托有资质单位处理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8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ascii="宋体" w:hAnsi="宋体" w:eastAsia="宋体" w:cs="宋体"/>
                <w:color w:val="auto"/>
              </w:rPr>
              <w:t>施工人员</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2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生活垃圾</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生活垃圾</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类比法</w:t>
            </w:r>
          </w:p>
        </w:tc>
        <w:tc>
          <w:tcPr>
            <w:tcW w:w="14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36.9</w:t>
            </w:r>
            <w:r>
              <w:rPr>
                <w:rFonts w:hint="default"/>
                <w:color w:val="auto"/>
              </w:rPr>
              <w:t>t</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36.9</w:t>
            </w:r>
            <w:r>
              <w:rPr>
                <w:rFonts w:hint="default"/>
                <w:color w:val="auto"/>
              </w:rPr>
              <w:t>t</w:t>
            </w:r>
          </w:p>
        </w:tc>
        <w:tc>
          <w:tcPr>
            <w:tcW w:w="40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施工人员产生的生活垃圾统一收集后交当地环卫部门处理。</w:t>
            </w:r>
          </w:p>
        </w:tc>
      </w:tr>
    </w:tbl>
    <w:p>
      <w:pPr>
        <w:rPr>
          <w:color w:val="auto"/>
        </w:rPr>
      </w:pPr>
    </w:p>
    <w:p>
      <w:pPr>
        <w:rPr>
          <w:rFonts w:hint="eastAsia"/>
          <w:color w:val="auto"/>
        </w:rPr>
      </w:pPr>
    </w:p>
    <w:p>
      <w:pPr>
        <w:rPr>
          <w:rFonts w:hint="eastAsia"/>
          <w:color w:val="auto"/>
        </w:rPr>
        <w:sectPr>
          <w:pgSz w:w="16840" w:h="11907" w:orient="landscape"/>
          <w:pgMar w:top="1418" w:right="1418" w:bottom="1418" w:left="1418" w:header="851" w:footer="992" w:gutter="0"/>
          <w:cols w:space="720" w:num="1"/>
          <w:docGrid w:type="linesAndChars" w:linePitch="319" w:charSpace="0"/>
        </w:sectPr>
      </w:pPr>
    </w:p>
    <w:bookmarkEnd w:id="421"/>
    <w:p>
      <w:pPr>
        <w:pStyle w:val="3"/>
        <w:numPr>
          <w:ilvl w:val="0"/>
          <w:numId w:val="2"/>
        </w:numPr>
        <w:spacing w:before="312" w:after="312"/>
        <w:rPr>
          <w:color w:val="auto"/>
        </w:rPr>
      </w:pPr>
      <w:bookmarkStart w:id="430" w:name="_Toc1509"/>
      <w:bookmarkStart w:id="431" w:name="_Toc49174481"/>
      <w:bookmarkStart w:id="432" w:name="_Toc49174403"/>
      <w:bookmarkStart w:id="433" w:name="_Toc49174998"/>
      <w:bookmarkStart w:id="434" w:name="_Toc49174613"/>
      <w:bookmarkStart w:id="435" w:name="_Toc49174445"/>
      <w:bookmarkStart w:id="436" w:name="_Toc49174823"/>
      <w:bookmarkStart w:id="437" w:name="_Toc49174722"/>
      <w:bookmarkStart w:id="438" w:name="_Toc4323"/>
      <w:r>
        <w:rPr>
          <w:color w:val="auto"/>
        </w:rPr>
        <w:t>环境现状调查与评价</w:t>
      </w:r>
      <w:bookmarkEnd w:id="430"/>
      <w:bookmarkEnd w:id="431"/>
      <w:bookmarkEnd w:id="432"/>
      <w:bookmarkEnd w:id="433"/>
      <w:bookmarkEnd w:id="434"/>
      <w:bookmarkEnd w:id="435"/>
      <w:bookmarkEnd w:id="436"/>
      <w:bookmarkEnd w:id="437"/>
    </w:p>
    <w:bookmarkEnd w:id="438"/>
    <w:p>
      <w:pPr>
        <w:pStyle w:val="4"/>
        <w:numPr>
          <w:ilvl w:val="1"/>
          <w:numId w:val="2"/>
        </w:numPr>
        <w:spacing w:before="156" w:after="156"/>
        <w:rPr>
          <w:color w:val="auto"/>
        </w:rPr>
      </w:pPr>
      <w:bookmarkStart w:id="439" w:name="_Toc49174404"/>
      <w:bookmarkStart w:id="440" w:name="_Toc49174824"/>
      <w:bookmarkStart w:id="441" w:name="_Toc49174723"/>
      <w:bookmarkStart w:id="442" w:name="_Toc49174999"/>
      <w:bookmarkStart w:id="443" w:name="_Toc49174614"/>
      <w:bookmarkStart w:id="444" w:name="_Toc12446"/>
      <w:bookmarkStart w:id="445" w:name="_Toc8271"/>
      <w:r>
        <w:rPr>
          <w:color w:val="auto"/>
        </w:rPr>
        <w:t>自然环境现状调查</w:t>
      </w:r>
      <w:bookmarkEnd w:id="439"/>
      <w:bookmarkEnd w:id="440"/>
      <w:bookmarkEnd w:id="441"/>
      <w:bookmarkEnd w:id="442"/>
      <w:bookmarkEnd w:id="443"/>
      <w:bookmarkEnd w:id="444"/>
      <w:bookmarkEnd w:id="445"/>
    </w:p>
    <w:p>
      <w:pPr>
        <w:pStyle w:val="5"/>
        <w:numPr>
          <w:ilvl w:val="2"/>
          <w:numId w:val="2"/>
        </w:numPr>
        <w:spacing w:before="156" w:after="156"/>
        <w:rPr>
          <w:color w:val="auto"/>
        </w:rPr>
      </w:pPr>
      <w:r>
        <w:rPr>
          <w:rFonts w:hint="eastAsia"/>
          <w:color w:val="auto"/>
        </w:rPr>
        <w:t>地理</w:t>
      </w:r>
      <w:r>
        <w:rPr>
          <w:color w:val="auto"/>
        </w:rPr>
        <w:t xml:space="preserve">位置 </w:t>
      </w:r>
    </w:p>
    <w:p>
      <w:pPr>
        <w:pStyle w:val="33"/>
        <w:rPr>
          <w:color w:val="auto"/>
        </w:rPr>
      </w:pPr>
      <w:r>
        <w:rPr>
          <w:rFonts w:hint="eastAsia"/>
          <w:color w:val="auto"/>
        </w:rPr>
        <w:t>本</w:t>
      </w:r>
      <w:r>
        <w:rPr>
          <w:color w:val="auto"/>
        </w:rPr>
        <w:t>项目位</w:t>
      </w:r>
      <w:r>
        <w:rPr>
          <w:rFonts w:hint="eastAsia"/>
          <w:color w:val="auto"/>
        </w:rPr>
        <w:t>于</w:t>
      </w:r>
      <w:r>
        <w:rPr>
          <w:rFonts w:hint="eastAsia"/>
          <w:color w:val="auto"/>
          <w:lang w:eastAsia="zh-CN"/>
        </w:rPr>
        <w:t>黑龙江省</w:t>
      </w:r>
      <w:r>
        <w:rPr>
          <w:rFonts w:hint="eastAsia"/>
          <w:color w:val="auto"/>
          <w:lang w:val="en-US" w:eastAsia="zh-CN"/>
        </w:rPr>
        <w:t>绥化市</w:t>
      </w:r>
      <w:r>
        <w:rPr>
          <w:rFonts w:hint="eastAsia"/>
          <w:color w:val="auto"/>
          <w:lang w:eastAsia="zh-CN"/>
        </w:rPr>
        <w:t>安达市升平镇境内，地面主要为农田，地理坐标为</w:t>
      </w:r>
      <w:r>
        <w:rPr>
          <w:rFonts w:hint="default" w:ascii="Times New Roman" w:hAnsi="Times New Roman" w:cs="Times New Roman"/>
          <w:snapToGrid w:val="0"/>
          <w:color w:val="auto"/>
          <w:sz w:val="28"/>
          <w:szCs w:val="28"/>
        </w:rPr>
        <w:t>E125°17′34.22″，N46°12′26.16″</w:t>
      </w:r>
      <w:r>
        <w:rPr>
          <w:rFonts w:hint="eastAsia"/>
          <w:color w:val="auto"/>
          <w:lang w:val="en-US" w:eastAsia="zh-CN"/>
        </w:rPr>
        <w:t>，交通便利，具有较优越的自然地理和经济条件</w:t>
      </w:r>
      <w:r>
        <w:rPr>
          <w:snapToGrid w:val="0"/>
          <w:color w:val="auto"/>
        </w:rPr>
        <w:t>，具体地理位置见</w:t>
      </w:r>
      <w:r>
        <w:rPr>
          <w:rFonts w:hint="eastAsia"/>
          <w:snapToGrid w:val="0"/>
          <w:color w:val="auto"/>
        </w:rPr>
        <w:t>附</w:t>
      </w:r>
      <w:r>
        <w:rPr>
          <w:snapToGrid w:val="0"/>
          <w:color w:val="auto"/>
        </w:rPr>
        <w:t>图</w:t>
      </w:r>
      <w:r>
        <w:rPr>
          <w:rFonts w:hint="eastAsia"/>
          <w:snapToGrid w:val="0"/>
          <w:color w:val="auto"/>
          <w:lang w:val="en-US" w:eastAsia="zh-CN"/>
        </w:rPr>
        <w:t>4.1-1</w:t>
      </w:r>
      <w:r>
        <w:rPr>
          <w:snapToGrid w:val="0"/>
          <w:color w:val="auto"/>
        </w:rPr>
        <w:t>。</w:t>
      </w:r>
    </w:p>
    <w:p>
      <w:pPr>
        <w:pStyle w:val="5"/>
        <w:numPr>
          <w:ilvl w:val="2"/>
          <w:numId w:val="2"/>
        </w:numPr>
        <w:spacing w:before="156" w:after="156"/>
        <w:rPr>
          <w:color w:val="auto"/>
        </w:rPr>
      </w:pPr>
      <w:bookmarkStart w:id="446" w:name="_Toc23551"/>
      <w:bookmarkStart w:id="447" w:name="_Toc49175000"/>
      <w:bookmarkStart w:id="448" w:name="_Toc21774"/>
      <w:bookmarkStart w:id="449" w:name="_Toc31074"/>
      <w:bookmarkStart w:id="450" w:name="_Toc2945"/>
      <w:bookmarkStart w:id="451" w:name="_Toc49174825"/>
      <w:bookmarkStart w:id="452" w:name="_Toc3654"/>
      <w:r>
        <w:rPr>
          <w:color w:val="auto"/>
        </w:rPr>
        <w:t>地形、地貌</w:t>
      </w:r>
      <w:bookmarkEnd w:id="446"/>
      <w:bookmarkEnd w:id="447"/>
      <w:bookmarkEnd w:id="448"/>
      <w:bookmarkEnd w:id="449"/>
      <w:bookmarkEnd w:id="450"/>
      <w:bookmarkEnd w:id="451"/>
      <w:bookmarkEnd w:id="452"/>
    </w:p>
    <w:p>
      <w:pPr>
        <w:pStyle w:val="33"/>
        <w:rPr>
          <w:color w:val="auto"/>
        </w:rPr>
      </w:pPr>
      <w:r>
        <w:rPr>
          <w:rFonts w:hint="eastAsia"/>
          <w:color w:val="auto"/>
        </w:rPr>
        <w:t>本工程所在区域地表普遍被第四系覆盖。地表为缓波状起伏的低平原地貌景观。地势西高东低。地面海拔高程在144.61-186.09m之间，相对高差41.48m。区内分布着大面积农田，局部分布有村庄、季节性泡泽。</w:t>
      </w:r>
    </w:p>
    <w:p>
      <w:pPr>
        <w:pStyle w:val="5"/>
        <w:numPr>
          <w:ilvl w:val="2"/>
          <w:numId w:val="2"/>
        </w:numPr>
        <w:spacing w:before="156" w:after="156"/>
        <w:rPr>
          <w:color w:val="auto"/>
        </w:rPr>
      </w:pPr>
      <w:bookmarkStart w:id="453" w:name="_Toc6598"/>
      <w:bookmarkStart w:id="454" w:name="_Toc49174826"/>
      <w:bookmarkStart w:id="455" w:name="_Toc32477"/>
      <w:bookmarkStart w:id="456" w:name="_Toc7938"/>
      <w:bookmarkStart w:id="457" w:name="_Toc14394"/>
      <w:bookmarkStart w:id="458" w:name="_Toc2512"/>
      <w:bookmarkStart w:id="459" w:name="_Toc32016"/>
      <w:bookmarkStart w:id="460" w:name="_Toc29213"/>
      <w:bookmarkStart w:id="461" w:name="_Toc49175001"/>
      <w:bookmarkStart w:id="462" w:name="_Toc16056"/>
      <w:bookmarkStart w:id="463" w:name="_Toc3134"/>
      <w:bookmarkStart w:id="464" w:name="_Toc5202"/>
      <w:r>
        <w:rPr>
          <w:color w:val="auto"/>
        </w:rPr>
        <w:t>气候气象</w:t>
      </w:r>
      <w:bookmarkEnd w:id="453"/>
      <w:bookmarkEnd w:id="454"/>
      <w:bookmarkEnd w:id="455"/>
      <w:bookmarkEnd w:id="456"/>
      <w:bookmarkEnd w:id="457"/>
      <w:bookmarkEnd w:id="458"/>
      <w:bookmarkEnd w:id="459"/>
      <w:bookmarkEnd w:id="460"/>
      <w:bookmarkEnd w:id="461"/>
      <w:bookmarkEnd w:id="462"/>
      <w:bookmarkEnd w:id="463"/>
      <w:bookmarkEnd w:id="464"/>
    </w:p>
    <w:p>
      <w:pPr>
        <w:snapToGrid w:val="0"/>
        <w:spacing w:line="500" w:lineRule="exact"/>
        <w:ind w:firstLine="560" w:firstLineChars="200"/>
        <w:rPr>
          <w:color w:val="auto"/>
          <w:kern w:val="0"/>
          <w:sz w:val="28"/>
          <w:szCs w:val="28"/>
        </w:rPr>
      </w:pPr>
      <w:r>
        <w:rPr>
          <w:color w:val="auto"/>
          <w:kern w:val="0"/>
          <w:sz w:val="28"/>
          <w:szCs w:val="28"/>
        </w:rPr>
        <w:t>该地区属大陆性季风气候，冬季长，寒冷干燥，夏季短，温热多雨，春秋季短且多风沙，春秋季风交替，气温变化大，冰封期长，无霜期短，冻土深达 2.0m～2.2m。气象资料统计数据如下：</w:t>
      </w:r>
    </w:p>
    <w:p>
      <w:pPr>
        <w:snapToGrid w:val="0"/>
        <w:spacing w:line="500" w:lineRule="exact"/>
        <w:ind w:firstLine="560" w:firstLineChars="200"/>
        <w:rPr>
          <w:color w:val="auto"/>
          <w:kern w:val="0"/>
          <w:sz w:val="28"/>
          <w:szCs w:val="28"/>
        </w:rPr>
      </w:pPr>
      <w:r>
        <w:rPr>
          <w:color w:val="auto"/>
          <w:kern w:val="0"/>
          <w:sz w:val="28"/>
          <w:szCs w:val="28"/>
        </w:rPr>
        <w:t>气温：年平均气温3.4</w:t>
      </w:r>
      <w:r>
        <w:rPr>
          <w:rFonts w:hint="eastAsia"/>
          <w:color w:val="auto"/>
          <w:kern w:val="0"/>
          <w:sz w:val="28"/>
          <w:szCs w:val="28"/>
        </w:rPr>
        <w:t>℃</w:t>
      </w:r>
      <w:r>
        <w:rPr>
          <w:color w:val="auto"/>
          <w:kern w:val="0"/>
          <w:sz w:val="28"/>
          <w:szCs w:val="28"/>
        </w:rPr>
        <w:t>，月平均最低气温-19.3</w:t>
      </w:r>
      <w:r>
        <w:rPr>
          <w:rFonts w:hint="eastAsia"/>
          <w:color w:val="auto"/>
          <w:kern w:val="0"/>
          <w:sz w:val="28"/>
          <w:szCs w:val="28"/>
        </w:rPr>
        <w:t>℃</w:t>
      </w:r>
      <w:r>
        <w:rPr>
          <w:color w:val="auto"/>
          <w:kern w:val="0"/>
          <w:sz w:val="28"/>
          <w:szCs w:val="28"/>
        </w:rPr>
        <w:t>，极端最低气温-36.0</w:t>
      </w:r>
      <w:r>
        <w:rPr>
          <w:rFonts w:hint="eastAsia"/>
          <w:color w:val="auto"/>
          <w:kern w:val="0"/>
          <w:sz w:val="28"/>
          <w:szCs w:val="28"/>
        </w:rPr>
        <w:t>℃</w:t>
      </w:r>
      <w:r>
        <w:rPr>
          <w:color w:val="auto"/>
          <w:kern w:val="0"/>
          <w:sz w:val="28"/>
          <w:szCs w:val="28"/>
        </w:rPr>
        <w:t>，月平均最高气温25</w:t>
      </w:r>
      <w:r>
        <w:rPr>
          <w:rFonts w:hint="eastAsia"/>
          <w:color w:val="auto"/>
          <w:kern w:val="0"/>
          <w:sz w:val="28"/>
          <w:szCs w:val="28"/>
        </w:rPr>
        <w:t>℃</w:t>
      </w:r>
      <w:r>
        <w:rPr>
          <w:color w:val="auto"/>
          <w:kern w:val="0"/>
          <w:sz w:val="28"/>
          <w:szCs w:val="28"/>
        </w:rPr>
        <w:t>，极端最高气温36.2</w:t>
      </w:r>
      <w:r>
        <w:rPr>
          <w:rFonts w:hint="eastAsia"/>
          <w:color w:val="auto"/>
          <w:kern w:val="0"/>
          <w:sz w:val="28"/>
          <w:szCs w:val="28"/>
        </w:rPr>
        <w:t>℃</w:t>
      </w:r>
      <w:r>
        <w:rPr>
          <w:color w:val="auto"/>
          <w:kern w:val="0"/>
          <w:sz w:val="28"/>
          <w:szCs w:val="28"/>
        </w:rPr>
        <w:t>。</w:t>
      </w:r>
    </w:p>
    <w:p>
      <w:pPr>
        <w:snapToGrid w:val="0"/>
        <w:spacing w:line="500" w:lineRule="exact"/>
        <w:ind w:firstLine="560" w:firstLineChars="200"/>
        <w:rPr>
          <w:color w:val="auto"/>
          <w:kern w:val="0"/>
          <w:sz w:val="28"/>
          <w:szCs w:val="28"/>
        </w:rPr>
      </w:pPr>
      <w:r>
        <w:rPr>
          <w:color w:val="auto"/>
          <w:kern w:val="0"/>
          <w:sz w:val="28"/>
          <w:szCs w:val="28"/>
        </w:rPr>
        <w:t>风向：全年主导风向为西北风（NW）。</w:t>
      </w:r>
    </w:p>
    <w:p>
      <w:pPr>
        <w:snapToGrid w:val="0"/>
        <w:spacing w:line="500" w:lineRule="exact"/>
        <w:ind w:firstLine="560" w:firstLineChars="200"/>
        <w:rPr>
          <w:color w:val="auto"/>
          <w:kern w:val="0"/>
          <w:sz w:val="28"/>
          <w:szCs w:val="28"/>
        </w:rPr>
      </w:pPr>
      <w:r>
        <w:rPr>
          <w:color w:val="auto"/>
          <w:kern w:val="0"/>
          <w:sz w:val="28"/>
          <w:szCs w:val="28"/>
        </w:rPr>
        <w:t>风速：平均风速3.0m/s，年最大风速为23.7m/s。</w:t>
      </w:r>
    </w:p>
    <w:p>
      <w:pPr>
        <w:snapToGrid w:val="0"/>
        <w:spacing w:line="500" w:lineRule="exact"/>
        <w:ind w:firstLine="560" w:firstLineChars="200"/>
        <w:rPr>
          <w:color w:val="auto"/>
          <w:kern w:val="0"/>
          <w:sz w:val="28"/>
          <w:szCs w:val="28"/>
        </w:rPr>
      </w:pPr>
      <w:r>
        <w:rPr>
          <w:color w:val="auto"/>
          <w:kern w:val="0"/>
          <w:sz w:val="28"/>
          <w:szCs w:val="28"/>
        </w:rPr>
        <w:t>湿度：年平均相对湿度66%。</w:t>
      </w:r>
    </w:p>
    <w:p>
      <w:pPr>
        <w:snapToGrid w:val="0"/>
        <w:spacing w:line="500" w:lineRule="exact"/>
        <w:ind w:firstLine="560" w:firstLineChars="200"/>
        <w:rPr>
          <w:color w:val="auto"/>
          <w:kern w:val="0"/>
          <w:sz w:val="28"/>
          <w:szCs w:val="28"/>
        </w:rPr>
      </w:pPr>
      <w:r>
        <w:rPr>
          <w:color w:val="auto"/>
          <w:kern w:val="0"/>
          <w:sz w:val="28"/>
          <w:szCs w:val="28"/>
        </w:rPr>
        <w:t>降雨量：年降雨量440mm。</w:t>
      </w:r>
    </w:p>
    <w:p>
      <w:pPr>
        <w:snapToGrid w:val="0"/>
        <w:spacing w:line="500" w:lineRule="exact"/>
        <w:ind w:firstLine="560" w:firstLineChars="200"/>
        <w:rPr>
          <w:color w:val="auto"/>
          <w:kern w:val="0"/>
          <w:sz w:val="28"/>
          <w:szCs w:val="28"/>
        </w:rPr>
      </w:pPr>
      <w:r>
        <w:rPr>
          <w:color w:val="auto"/>
          <w:kern w:val="0"/>
          <w:sz w:val="28"/>
          <w:szCs w:val="28"/>
        </w:rPr>
        <w:t>降雪量：平均积雪158天，最大积雪深度220.0mm。</w:t>
      </w:r>
    </w:p>
    <w:p>
      <w:pPr>
        <w:snapToGrid w:val="0"/>
        <w:spacing w:line="500" w:lineRule="exact"/>
        <w:ind w:firstLine="560" w:firstLineChars="200"/>
        <w:rPr>
          <w:color w:val="auto"/>
          <w:kern w:val="0"/>
          <w:sz w:val="28"/>
          <w:szCs w:val="28"/>
        </w:rPr>
      </w:pPr>
      <w:r>
        <w:rPr>
          <w:color w:val="auto"/>
          <w:kern w:val="0"/>
          <w:sz w:val="28"/>
          <w:szCs w:val="28"/>
        </w:rPr>
        <w:t>蒸发量：年蒸发量1531.4mm。</w:t>
      </w:r>
    </w:p>
    <w:p>
      <w:pPr>
        <w:pStyle w:val="33"/>
        <w:rPr>
          <w:color w:val="auto"/>
        </w:rPr>
      </w:pPr>
      <w:r>
        <w:rPr>
          <w:color w:val="auto"/>
          <w:kern w:val="0"/>
          <w:sz w:val="28"/>
          <w:szCs w:val="28"/>
        </w:rPr>
        <w:t>气压：年平均气压997.0hpa</w:t>
      </w:r>
      <w:r>
        <w:rPr>
          <w:rFonts w:ascii="宋体" w:hAnsi="宋体"/>
          <w:color w:val="auto"/>
          <w:kern w:val="0"/>
          <w:sz w:val="28"/>
          <w:szCs w:val="28"/>
        </w:rPr>
        <w:t>。</w:t>
      </w:r>
    </w:p>
    <w:p>
      <w:pPr>
        <w:pStyle w:val="5"/>
        <w:numPr>
          <w:ilvl w:val="2"/>
          <w:numId w:val="2"/>
        </w:numPr>
        <w:spacing w:before="156" w:after="156"/>
        <w:rPr>
          <w:color w:val="auto"/>
        </w:rPr>
      </w:pPr>
      <w:bookmarkStart w:id="465" w:name="_Toc24321"/>
      <w:bookmarkStart w:id="466" w:name="_Toc27219"/>
      <w:bookmarkStart w:id="467" w:name="_Toc15039"/>
      <w:bookmarkStart w:id="468" w:name="_Toc49175002"/>
      <w:bookmarkStart w:id="469" w:name="_Toc5337"/>
      <w:bookmarkStart w:id="470" w:name="_Toc11497"/>
      <w:bookmarkStart w:id="471" w:name="_Toc49174827"/>
      <w:r>
        <w:rPr>
          <w:rFonts w:hint="eastAsia"/>
          <w:color w:val="auto"/>
        </w:rPr>
        <w:t>区域</w:t>
      </w:r>
      <w:r>
        <w:rPr>
          <w:color w:val="auto"/>
        </w:rPr>
        <w:t>地质概况及水文地质</w:t>
      </w:r>
      <w:bookmarkEnd w:id="465"/>
      <w:bookmarkEnd w:id="466"/>
      <w:bookmarkEnd w:id="467"/>
      <w:bookmarkEnd w:id="468"/>
      <w:bookmarkEnd w:id="469"/>
      <w:bookmarkEnd w:id="470"/>
      <w:bookmarkEnd w:id="471"/>
    </w:p>
    <w:p>
      <w:pPr>
        <w:pStyle w:val="6"/>
        <w:numPr>
          <w:ilvl w:val="3"/>
          <w:numId w:val="2"/>
        </w:numPr>
        <w:spacing w:before="156" w:after="156"/>
        <w:rPr>
          <w:color w:val="auto"/>
        </w:rPr>
      </w:pPr>
      <w:r>
        <w:rPr>
          <w:color w:val="auto"/>
        </w:rPr>
        <w:t>区域地质概况</w:t>
      </w:r>
    </w:p>
    <w:p>
      <w:pPr>
        <w:pStyle w:val="33"/>
        <w:rPr>
          <w:color w:val="auto"/>
        </w:rPr>
      </w:pPr>
      <w:r>
        <w:rPr>
          <w:rFonts w:hint="eastAsia"/>
          <w:color w:val="auto"/>
        </w:rPr>
        <w:t>调查区内浅部地层从老到新依次为白垩系明水组（K2m）、古近系依安组（E2+3y）和第四系（Q）。白垩系明水组（K2m）地层在调查区内广泛分布，发育良好。地层厚度一般为76.0-166.0m。岩性：上部为砖红色、灰、灰绿色泥岩，砂质泥岩，泥质粉砂岩。下部为灰、灰绿色泥岩，泥质粉砂岩，中粗砂岩及含砾砂岩互层。古近系依安组仅在调查区西北部分布，自西北向东南逐渐变薄、缺失，其厚度一般为0-55.0m。依安组上部为灰绿色、黄绿色泥岩、泥质粉砂岩，泥岩质纯，下部为灰及深灰色、黑色泥岩、页岩，局部夹褐煤层，偶夹红色泥岩；底部为砂岩或砂砾岩（局部为泥砾岩）组成。依安组为湖相沉积层，含有钙质团块或结核及铁锈。成岩性较差。第四系(Q)厚度一般15.0-19.0m。上部为黄色粉质黏土局部夹黄色粉砂，下部为灰色粉质黏土，底部灰白色砂砾石缺失。</w:t>
      </w:r>
    </w:p>
    <w:p>
      <w:pPr>
        <w:pStyle w:val="6"/>
        <w:numPr>
          <w:ilvl w:val="3"/>
          <w:numId w:val="2"/>
        </w:numPr>
        <w:spacing w:before="156" w:after="156"/>
        <w:rPr>
          <w:color w:val="auto"/>
        </w:rPr>
      </w:pPr>
      <w:bookmarkStart w:id="472" w:name="_Toc520729436"/>
      <w:r>
        <w:rPr>
          <w:rFonts w:hint="eastAsia"/>
          <w:color w:val="auto"/>
        </w:rPr>
        <w:t>水文地质</w:t>
      </w:r>
      <w:r>
        <w:rPr>
          <w:color w:val="auto"/>
        </w:rPr>
        <w:t>条件</w:t>
      </w:r>
    </w:p>
    <w:p>
      <w:pPr>
        <w:pStyle w:val="33"/>
        <w:rPr>
          <w:color w:val="auto"/>
        </w:rPr>
      </w:pPr>
      <w:r>
        <w:rPr>
          <w:color w:val="auto"/>
        </w:rPr>
        <w:t>本项目所在区域位于松辽盆地北侧，根据地下水的埋藏条件及含水层介质、水力性质并结合</w:t>
      </w:r>
      <w:r>
        <w:rPr>
          <w:rFonts w:hint="eastAsia"/>
          <w:color w:val="auto"/>
        </w:rPr>
        <w:t>大庆油田水务工程技术有限公司</w:t>
      </w:r>
      <w:r>
        <w:rPr>
          <w:color w:val="auto"/>
        </w:rPr>
        <w:t>提供的资料可知，本项目区域内地下水类型可划分为第四系潜水</w:t>
      </w:r>
      <w:r>
        <w:rPr>
          <w:rFonts w:hint="eastAsia"/>
          <w:color w:val="auto"/>
        </w:rPr>
        <w:t>以及</w:t>
      </w:r>
      <w:r>
        <w:rPr>
          <w:color w:val="auto"/>
        </w:rPr>
        <w:t>新近泰康组孔隙裂隙承压水。</w:t>
      </w:r>
    </w:p>
    <w:p>
      <w:pPr>
        <w:pStyle w:val="33"/>
        <w:rPr>
          <w:color w:val="auto"/>
        </w:rPr>
      </w:pPr>
      <w:r>
        <w:rPr>
          <w:color w:val="auto"/>
        </w:rPr>
        <w:t>1</w:t>
      </w:r>
      <w:r>
        <w:rPr>
          <w:rFonts w:hint="eastAsia"/>
          <w:color w:val="auto"/>
        </w:rPr>
        <w:t>、</w:t>
      </w:r>
      <w:r>
        <w:rPr>
          <w:color w:val="auto"/>
        </w:rPr>
        <w:t>第四系含水层</w:t>
      </w:r>
    </w:p>
    <w:p>
      <w:pPr>
        <w:pStyle w:val="33"/>
        <w:rPr>
          <w:color w:val="auto"/>
        </w:rPr>
      </w:pPr>
      <w:r>
        <w:rPr>
          <w:rFonts w:hint="eastAsia"/>
          <w:color w:val="auto"/>
        </w:rPr>
        <w:t>第四系潜水含水层岩性主要是粉质粘土。第四系承压含水层缺失。</w:t>
      </w:r>
    </w:p>
    <w:p>
      <w:pPr>
        <w:pStyle w:val="33"/>
        <w:rPr>
          <w:color w:val="auto"/>
        </w:rPr>
      </w:pPr>
      <w:r>
        <w:rPr>
          <w:color w:val="auto"/>
        </w:rPr>
        <w:t>2</w:t>
      </w:r>
      <w:r>
        <w:rPr>
          <w:rFonts w:hint="eastAsia"/>
          <w:color w:val="auto"/>
        </w:rPr>
        <w:t>、古近系依安组承压含水层</w:t>
      </w:r>
    </w:p>
    <w:p>
      <w:pPr>
        <w:pStyle w:val="33"/>
        <w:rPr>
          <w:color w:val="auto"/>
        </w:rPr>
      </w:pPr>
      <w:r>
        <w:rPr>
          <w:rFonts w:hint="eastAsia"/>
          <w:color w:val="auto"/>
        </w:rPr>
        <w:t>依安组含水层仅在调查区西北部分布，东南部缺失，为承压含水层，厚度为0-5.0m。含水层岩性为灰及深灰色、黑色砂岩，连通性一般，渗透性差，富水性差</w:t>
      </w:r>
      <w:r>
        <w:rPr>
          <w:color w:val="auto"/>
        </w:rPr>
        <w:t>。</w:t>
      </w:r>
    </w:p>
    <w:p>
      <w:pPr>
        <w:pStyle w:val="33"/>
        <w:numPr>
          <w:ilvl w:val="0"/>
          <w:numId w:val="3"/>
        </w:numPr>
        <w:rPr>
          <w:rFonts w:hint="eastAsia"/>
          <w:color w:val="auto"/>
          <w:sz w:val="28"/>
          <w:szCs w:val="28"/>
        </w:rPr>
      </w:pPr>
      <w:r>
        <w:rPr>
          <w:rFonts w:hint="eastAsia"/>
          <w:color w:val="auto"/>
          <w:sz w:val="28"/>
          <w:szCs w:val="28"/>
        </w:rPr>
        <w:t>白垩系明水组承压含水层</w:t>
      </w:r>
    </w:p>
    <w:p>
      <w:pPr>
        <w:pStyle w:val="83"/>
        <w:bidi w:val="0"/>
        <w:rPr>
          <w:rFonts w:hint="eastAsia"/>
          <w:color w:val="auto"/>
          <w:lang w:val="en-US" w:eastAsia="zh-CN"/>
        </w:rPr>
      </w:pPr>
      <w:r>
        <w:rPr>
          <w:rFonts w:hint="eastAsia"/>
          <w:color w:val="auto"/>
          <w:lang w:val="en-US" w:eastAsia="zh-CN"/>
        </w:rPr>
        <w:t>白垩系明水组含水层分布在调查区广泛分布，为承压含水层。单层厚度不大，层数一般为4层。累计厚度17.0-31.0m。含水层岩性为灰、灰绿色泥质粉砂岩、中粗砂岩，连通性一般，渗透性一般，富水性中等。</w:t>
      </w:r>
    </w:p>
    <w:bookmarkEnd w:id="472"/>
    <w:p>
      <w:pPr>
        <w:pStyle w:val="6"/>
        <w:numPr>
          <w:ilvl w:val="3"/>
          <w:numId w:val="2"/>
        </w:numPr>
        <w:spacing w:before="156" w:after="156"/>
        <w:rPr>
          <w:color w:val="auto"/>
        </w:rPr>
      </w:pPr>
      <w:r>
        <w:rPr>
          <w:color w:val="auto"/>
        </w:rPr>
        <w:t>地下水的补给、径流和排泄条件</w:t>
      </w:r>
    </w:p>
    <w:p>
      <w:pPr>
        <w:pStyle w:val="33"/>
        <w:rPr>
          <w:color w:val="auto"/>
        </w:rPr>
      </w:pPr>
      <w:r>
        <w:rPr>
          <w:color w:val="auto"/>
        </w:rPr>
        <w:t>地质环境决定了地下水的补给、径流、排泄规律。而其补给、径流和排泄构成了含水层地下水流系统的形成条件。</w:t>
      </w:r>
    </w:p>
    <w:p>
      <w:pPr>
        <w:pStyle w:val="33"/>
        <w:rPr>
          <w:color w:val="auto"/>
        </w:rPr>
      </w:pPr>
      <w:r>
        <w:rPr>
          <w:color w:val="auto"/>
        </w:rPr>
        <w:t>1</w:t>
      </w:r>
      <w:r>
        <w:rPr>
          <w:rFonts w:hint="eastAsia"/>
          <w:color w:val="auto"/>
        </w:rPr>
        <w:t>、</w:t>
      </w:r>
      <w:r>
        <w:rPr>
          <w:color w:val="auto"/>
        </w:rPr>
        <w:t>地下水补给</w:t>
      </w:r>
    </w:p>
    <w:p>
      <w:pPr>
        <w:pStyle w:val="33"/>
        <w:rPr>
          <w:rFonts w:hint="eastAsia"/>
          <w:color w:val="auto"/>
        </w:rPr>
      </w:pPr>
      <w:r>
        <w:rPr>
          <w:rFonts w:hint="eastAsia"/>
          <w:color w:val="auto"/>
        </w:rPr>
        <w:t>第四系潜水含水层地下水补给主要为大气降水入渗补给。</w:t>
      </w:r>
    </w:p>
    <w:p>
      <w:pPr>
        <w:pStyle w:val="33"/>
        <w:rPr>
          <w:color w:val="auto"/>
        </w:rPr>
      </w:pPr>
      <w:r>
        <w:rPr>
          <w:rFonts w:hint="eastAsia"/>
          <w:color w:val="auto"/>
        </w:rPr>
        <w:t>白垩系明水组承压含水层地下水补给主要为地下水径流补给、上覆地层垂向渗透补给。</w:t>
      </w:r>
    </w:p>
    <w:p>
      <w:pPr>
        <w:pStyle w:val="33"/>
        <w:rPr>
          <w:color w:val="auto"/>
        </w:rPr>
      </w:pPr>
      <w:r>
        <w:rPr>
          <w:color w:val="auto"/>
        </w:rPr>
        <w:t>2</w:t>
      </w:r>
      <w:r>
        <w:rPr>
          <w:rFonts w:hint="eastAsia"/>
          <w:color w:val="auto"/>
        </w:rPr>
        <w:t>、</w:t>
      </w:r>
      <w:r>
        <w:rPr>
          <w:color w:val="auto"/>
        </w:rPr>
        <w:t>地下水径流</w:t>
      </w:r>
    </w:p>
    <w:p>
      <w:pPr>
        <w:pStyle w:val="33"/>
        <w:rPr>
          <w:rFonts w:hint="eastAsia" w:eastAsia="宋体"/>
          <w:color w:val="auto"/>
          <w:lang w:eastAsia="zh-CN"/>
        </w:rPr>
      </w:pPr>
      <w:r>
        <w:rPr>
          <w:rFonts w:hint="eastAsia"/>
          <w:color w:val="auto"/>
        </w:rPr>
        <w:t>从潜水地下水等水位线图可看出，地下水的径流方向为由东向西，局部流向受地形影响。调查区内白垩系明水组承压地下水自喷，因此，地下水流向只能根据区域情况判断，整体流向由南向北。潜水和承压水等水位线图见</w:t>
      </w:r>
      <w:r>
        <w:rPr>
          <w:rFonts w:hint="eastAsia"/>
          <w:color w:val="auto"/>
          <w:lang w:eastAsia="zh-CN"/>
        </w:rPr>
        <w:t>下图。</w:t>
      </w:r>
    </w:p>
    <w:p>
      <w:pPr>
        <w:pStyle w:val="33"/>
        <w:rPr>
          <w:color w:val="auto"/>
        </w:rPr>
      </w:pPr>
      <w:r>
        <w:rPr>
          <w:color w:val="auto"/>
        </w:rPr>
        <w:t>3</w:t>
      </w:r>
      <w:r>
        <w:rPr>
          <w:rFonts w:hint="eastAsia"/>
          <w:color w:val="auto"/>
        </w:rPr>
        <w:t>、</w:t>
      </w:r>
      <w:r>
        <w:rPr>
          <w:color w:val="auto"/>
        </w:rPr>
        <w:t>地下水的排泄</w:t>
      </w:r>
    </w:p>
    <w:p>
      <w:pPr>
        <w:pStyle w:val="33"/>
        <w:rPr>
          <w:rFonts w:hint="eastAsia" w:ascii="宋体" w:hAnsi="宋体" w:cs="宋体"/>
          <w:color w:val="auto"/>
        </w:rPr>
      </w:pPr>
      <w:r>
        <w:rPr>
          <w:rFonts w:hint="eastAsia" w:ascii="宋体" w:hAnsi="宋体" w:cs="宋体"/>
          <w:color w:val="auto"/>
        </w:rPr>
        <w:t>根据调查区的地质及水文地质条件和地下水开采情况分析，地下水的排泄方式主要有三种：蒸发排泄、地下水的径流排泄、地下水人工开采排泄。</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1" w:hRule="atLeast"/>
        </w:trPr>
        <w:tc>
          <w:tcPr>
            <w:tcW w:w="9287" w:type="dxa"/>
          </w:tcPr>
          <w:p>
            <w:pPr>
              <w:pStyle w:val="33"/>
              <w:keepNext w:val="0"/>
              <w:keepLines w:val="0"/>
              <w:suppressLineNumbers w:val="0"/>
              <w:spacing w:before="0" w:beforeAutospacing="0" w:after="0" w:afterAutospacing="0"/>
              <w:ind w:left="0" w:right="0"/>
              <w:jc w:val="center"/>
              <w:rPr>
                <w:rFonts w:hint="default" w:ascii="宋体" w:hAnsi="宋体" w:eastAsia="宋体" w:cs="宋体"/>
                <w:color w:val="auto"/>
                <w:vertAlign w:val="baseline"/>
                <w:lang w:val="en-US" w:eastAsia="zh-CN"/>
              </w:rPr>
            </w:pPr>
            <w:r>
              <w:rPr>
                <w:rFonts w:hint="eastAsia" w:ascii="宋体" w:hAnsi="宋体" w:eastAsia="宋体" w:cs="宋体"/>
                <w:color w:val="auto"/>
                <w:vertAlign w:val="baseline"/>
                <w:lang w:eastAsia="zh-CN"/>
              </w:rPr>
              <w:drawing>
                <wp:anchor distT="0" distB="0" distL="114300" distR="114300" simplePos="0" relativeHeight="251680768" behindDoc="0" locked="0" layoutInCell="1" allowOverlap="1">
                  <wp:simplePos x="0" y="0"/>
                  <wp:positionH relativeFrom="column">
                    <wp:posOffset>2868295</wp:posOffset>
                  </wp:positionH>
                  <wp:positionV relativeFrom="paragraph">
                    <wp:posOffset>0</wp:posOffset>
                  </wp:positionV>
                  <wp:extent cx="2924810" cy="4134485"/>
                  <wp:effectExtent l="0" t="0" r="8890" b="18415"/>
                  <wp:wrapTopAndBottom/>
                  <wp:docPr id="17" name="图片 17" descr="附图6 承压水等水位线图（A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图6 承压水等水位线图（A3图）"/>
                          <pic:cNvPicPr>
                            <a:picLocks noChangeAspect="1"/>
                          </pic:cNvPicPr>
                        </pic:nvPicPr>
                        <pic:blipFill>
                          <a:blip r:embed="rId21"/>
                          <a:stretch>
                            <a:fillRect/>
                          </a:stretch>
                        </pic:blipFill>
                        <pic:spPr>
                          <a:xfrm>
                            <a:off x="0" y="0"/>
                            <a:ext cx="2924810" cy="4134485"/>
                          </a:xfrm>
                          <a:prstGeom prst="rect">
                            <a:avLst/>
                          </a:prstGeom>
                        </pic:spPr>
                      </pic:pic>
                    </a:graphicData>
                  </a:graphic>
                </wp:anchor>
              </w:drawing>
            </w:r>
            <w:r>
              <w:rPr>
                <w:rFonts w:hint="eastAsia" w:ascii="宋体" w:hAnsi="宋体" w:eastAsia="宋体" w:cs="宋体"/>
                <w:color w:val="auto"/>
                <w:vertAlign w:val="baseline"/>
                <w:lang w:eastAsia="zh-CN"/>
              </w:rPr>
              <w:drawing>
                <wp:anchor distT="0" distB="0" distL="114300" distR="114300" simplePos="0" relativeHeight="251679744" behindDoc="0" locked="0" layoutInCell="1" allowOverlap="1">
                  <wp:simplePos x="0" y="0"/>
                  <wp:positionH relativeFrom="column">
                    <wp:posOffset>-73660</wp:posOffset>
                  </wp:positionH>
                  <wp:positionV relativeFrom="paragraph">
                    <wp:posOffset>0</wp:posOffset>
                  </wp:positionV>
                  <wp:extent cx="2936240" cy="4150360"/>
                  <wp:effectExtent l="0" t="0" r="16510" b="2540"/>
                  <wp:wrapSquare wrapText="bothSides"/>
                  <wp:docPr id="16" name="图片 16" descr="附图5 调查区潜水等水位线图（A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图5 调查区潜水等水位线图（A3图）"/>
                          <pic:cNvPicPr>
                            <a:picLocks noChangeAspect="1"/>
                          </pic:cNvPicPr>
                        </pic:nvPicPr>
                        <pic:blipFill>
                          <a:blip r:embed="rId22"/>
                          <a:stretch>
                            <a:fillRect/>
                          </a:stretch>
                        </pic:blipFill>
                        <pic:spPr>
                          <a:xfrm>
                            <a:off x="0" y="0"/>
                            <a:ext cx="2936240" cy="4150360"/>
                          </a:xfrm>
                          <a:prstGeom prst="rect">
                            <a:avLst/>
                          </a:prstGeom>
                        </pic:spPr>
                      </pic:pic>
                    </a:graphicData>
                  </a:graphic>
                </wp:anchor>
              </w:drawing>
            </w:r>
            <w:r>
              <w:rPr>
                <w:rFonts w:hint="eastAsia" w:ascii="宋体" w:hAnsi="宋体" w:cs="宋体"/>
                <w:color w:val="auto"/>
                <w:vertAlign w:val="baseline"/>
                <w:lang w:eastAsia="zh-CN"/>
              </w:rPr>
              <w:t>图</w:t>
            </w:r>
            <w:r>
              <w:rPr>
                <w:rFonts w:hint="default" w:ascii="Times New Roman" w:hAnsi="Times New Roman" w:cs="Times New Roman"/>
                <w:color w:val="auto"/>
                <w:vertAlign w:val="baseline"/>
                <w:lang w:val="en-US" w:eastAsia="zh-CN"/>
              </w:rPr>
              <w:t>4.1-1</w:t>
            </w:r>
            <w:r>
              <w:rPr>
                <w:rFonts w:hint="eastAsia" w:ascii="宋体" w:hAnsi="宋体" w:cs="宋体"/>
                <w:color w:val="auto"/>
                <w:vertAlign w:val="baseline"/>
                <w:lang w:val="en-US" w:eastAsia="zh-CN"/>
              </w:rPr>
              <w:t xml:space="preserve">  调查区潜水及承压水等水位线</w:t>
            </w:r>
          </w:p>
        </w:tc>
      </w:tr>
    </w:tbl>
    <w:p>
      <w:pPr>
        <w:pStyle w:val="6"/>
        <w:numPr>
          <w:ilvl w:val="3"/>
          <w:numId w:val="2"/>
        </w:numPr>
        <w:bidi w:val="0"/>
        <w:rPr>
          <w:color w:val="auto"/>
        </w:rPr>
      </w:pPr>
      <w:r>
        <w:rPr>
          <w:rFonts w:hint="eastAsia"/>
          <w:color w:val="auto"/>
        </w:rPr>
        <w:t>包</w:t>
      </w:r>
      <w:r>
        <w:rPr>
          <w:color w:val="auto"/>
        </w:rPr>
        <w:t xml:space="preserve">气带 </w:t>
      </w:r>
    </w:p>
    <w:p>
      <w:pPr>
        <w:pStyle w:val="33"/>
        <w:rPr>
          <w:rFonts w:hint="eastAsia"/>
          <w:color w:val="auto"/>
        </w:rPr>
      </w:pPr>
      <w:r>
        <w:rPr>
          <w:rFonts w:hint="eastAsia"/>
          <w:color w:val="auto"/>
        </w:rPr>
        <w:t>根据本次勘察地下水及浅部地层特征，调查区包气带厚度最大值为9.7m，主要为粉质黏土，垂向渗透系数取0.02m/d。</w:t>
      </w:r>
    </w:p>
    <w:p>
      <w:pPr>
        <w:pStyle w:val="6"/>
        <w:numPr>
          <w:ilvl w:val="3"/>
          <w:numId w:val="2"/>
        </w:numPr>
        <w:bidi w:val="0"/>
        <w:rPr>
          <w:color w:val="auto"/>
        </w:rPr>
      </w:pPr>
      <w:r>
        <w:rPr>
          <w:color w:val="auto"/>
        </w:rPr>
        <w:t>地下水动态变化特征</w:t>
      </w:r>
    </w:p>
    <w:p>
      <w:pPr>
        <w:adjustRightInd w:val="0"/>
        <w:snapToGrid w:val="0"/>
        <w:spacing w:line="480" w:lineRule="exact"/>
        <w:ind w:firstLine="560"/>
        <w:rPr>
          <w:rFonts w:hint="eastAsia"/>
          <w:color w:val="auto"/>
          <w:sz w:val="28"/>
          <w:szCs w:val="28"/>
        </w:rPr>
      </w:pPr>
      <w:r>
        <w:rPr>
          <w:rFonts w:hint="eastAsia"/>
          <w:color w:val="auto"/>
          <w:sz w:val="28"/>
          <w:szCs w:val="28"/>
        </w:rPr>
        <w:t>区域潜水含水层埋深较浅，水位变化主要受大气降水补给和人工开采影响较大。根据已有资料，地下水枯水期为1-3月份，丰水期为4～9月份。调查期间（2022年3月）潜水埋深2.4-9.7m之间，潜水水位变化差7.3m左右。</w:t>
      </w:r>
    </w:p>
    <w:p>
      <w:pPr>
        <w:adjustRightInd w:val="0"/>
        <w:snapToGrid w:val="0"/>
        <w:spacing w:line="480" w:lineRule="exact"/>
        <w:ind w:firstLine="560"/>
        <w:rPr>
          <w:color w:val="auto"/>
          <w:sz w:val="28"/>
          <w:szCs w:val="28"/>
        </w:rPr>
      </w:pPr>
      <w:r>
        <w:rPr>
          <w:rFonts w:hint="eastAsia"/>
          <w:color w:val="auto"/>
          <w:sz w:val="28"/>
          <w:szCs w:val="28"/>
        </w:rPr>
        <w:t>调查区内白垩系明水组承压含水层水位随周边工业用水水量影响，枯水期为7～9月份，丰水期为1～3月份。</w:t>
      </w:r>
    </w:p>
    <w:p>
      <w:pPr>
        <w:pStyle w:val="5"/>
        <w:numPr>
          <w:ilvl w:val="2"/>
          <w:numId w:val="2"/>
        </w:numPr>
        <w:spacing w:before="156" w:after="156"/>
        <w:rPr>
          <w:color w:val="auto"/>
        </w:rPr>
      </w:pPr>
      <w:bookmarkStart w:id="473" w:name="_Toc49175004"/>
      <w:bookmarkStart w:id="474" w:name="_Toc9363"/>
      <w:bookmarkStart w:id="475" w:name="_Toc14403"/>
      <w:bookmarkStart w:id="476" w:name="_Toc31450"/>
      <w:bookmarkStart w:id="477" w:name="_Toc1292"/>
      <w:bookmarkStart w:id="478" w:name="_Toc23610"/>
      <w:bookmarkStart w:id="479" w:name="_Toc49174829"/>
      <w:bookmarkStart w:id="480" w:name="_Toc31682"/>
      <w:bookmarkStart w:id="481" w:name="_Toc21676"/>
      <w:bookmarkStart w:id="482" w:name="_Toc14433"/>
      <w:bookmarkStart w:id="483" w:name="_Toc27611"/>
      <w:bookmarkStart w:id="484" w:name="_Toc12523"/>
      <w:r>
        <w:rPr>
          <w:color w:val="auto"/>
        </w:rPr>
        <w:t>动植物分布</w:t>
      </w:r>
      <w:bookmarkEnd w:id="473"/>
      <w:bookmarkEnd w:id="474"/>
      <w:bookmarkEnd w:id="475"/>
      <w:bookmarkEnd w:id="476"/>
      <w:bookmarkEnd w:id="477"/>
      <w:bookmarkEnd w:id="478"/>
      <w:bookmarkEnd w:id="479"/>
      <w:bookmarkEnd w:id="480"/>
      <w:bookmarkEnd w:id="481"/>
      <w:bookmarkEnd w:id="482"/>
      <w:bookmarkEnd w:id="483"/>
      <w:bookmarkEnd w:id="484"/>
    </w:p>
    <w:p>
      <w:pPr>
        <w:pStyle w:val="33"/>
        <w:rPr>
          <w:rFonts w:hint="eastAsia"/>
          <w:color w:val="auto"/>
        </w:rPr>
      </w:pPr>
      <w:r>
        <w:rPr>
          <w:rFonts w:hint="eastAsia"/>
          <w:color w:val="auto"/>
        </w:rPr>
        <w:t>区域内天然植被以针茅草为主，兼有碱蓬草、星星草等，但由于人类不断外扩开垦，项目区域内土地已全部开垦为耕地，耕地上种植玉米、黄豆、白菜等农作物。</w:t>
      </w:r>
    </w:p>
    <w:p>
      <w:pPr>
        <w:pStyle w:val="33"/>
        <w:rPr>
          <w:rFonts w:hint="eastAsia"/>
          <w:color w:val="auto"/>
        </w:rPr>
      </w:pPr>
      <w:r>
        <w:rPr>
          <w:rFonts w:hint="eastAsia"/>
          <w:color w:val="auto"/>
        </w:rPr>
        <w:t>区域内野生动物种类和数量均较少，伴随人类生存的农田小型鼠类、麻雀、家燕等种群数量较多，使陆生动物区系具有典型的农田动物群色彩。</w:t>
      </w:r>
    </w:p>
    <w:p>
      <w:pPr>
        <w:pStyle w:val="4"/>
        <w:numPr>
          <w:ilvl w:val="1"/>
          <w:numId w:val="2"/>
        </w:numPr>
        <w:snapToGrid w:val="0"/>
        <w:spacing w:before="159" w:beforeLines="50" w:after="159" w:afterLines="50" w:line="600" w:lineRule="exact"/>
        <w:rPr>
          <w:rFonts w:ascii="Times New Roman" w:hAnsi="Times New Roman" w:eastAsia="宋体"/>
          <w:b w:val="0"/>
          <w:snapToGrid w:val="0"/>
          <w:color w:val="auto"/>
          <w:kern w:val="0"/>
          <w:sz w:val="30"/>
          <w:szCs w:val="30"/>
        </w:rPr>
      </w:pPr>
      <w:bookmarkStart w:id="485" w:name="_Toc10162"/>
      <w:bookmarkStart w:id="486" w:name="_Toc96083865"/>
      <w:r>
        <w:rPr>
          <w:rFonts w:ascii="Times New Roman" w:hAnsi="宋体" w:eastAsia="宋体"/>
          <w:b w:val="0"/>
          <w:snapToGrid w:val="0"/>
          <w:color w:val="auto"/>
          <w:kern w:val="0"/>
          <w:sz w:val="30"/>
          <w:szCs w:val="30"/>
        </w:rPr>
        <w:t>环境保护目标调查</w:t>
      </w:r>
      <w:bookmarkEnd w:id="485"/>
      <w:bookmarkEnd w:id="486"/>
    </w:p>
    <w:p>
      <w:pPr>
        <w:spacing w:line="480" w:lineRule="exact"/>
        <w:ind w:firstLine="560" w:firstLineChars="200"/>
        <w:rPr>
          <w:rFonts w:hint="eastAsia"/>
          <w:color w:val="auto"/>
        </w:rPr>
      </w:pPr>
      <w:r>
        <w:rPr>
          <w:rFonts w:hAnsi="宋体"/>
          <w:color w:val="auto"/>
          <w:sz w:val="28"/>
          <w:szCs w:val="28"/>
        </w:rPr>
        <w:t>根据调查，</w:t>
      </w:r>
      <w:r>
        <w:rPr>
          <w:rFonts w:hAnsi="宋体"/>
          <w:bCs/>
          <w:color w:val="auto"/>
          <w:spacing w:val="-4"/>
          <w:sz w:val="28"/>
          <w:szCs w:val="28"/>
        </w:rPr>
        <w:t>本工程</w:t>
      </w:r>
      <w:r>
        <w:rPr>
          <w:rFonts w:hAnsi="宋体"/>
          <w:snapToGrid w:val="0"/>
          <w:color w:val="auto"/>
          <w:sz w:val="28"/>
          <w:szCs w:val="28"/>
        </w:rPr>
        <w:t>占用永久基本农田（</w:t>
      </w:r>
      <w:r>
        <w:rPr>
          <w:rFonts w:hint="eastAsia" w:hAnsi="宋体"/>
          <w:snapToGrid w:val="0"/>
          <w:color w:val="auto"/>
          <w:sz w:val="28"/>
          <w:szCs w:val="28"/>
        </w:rPr>
        <w:t>涉及</w:t>
      </w:r>
      <w:r>
        <w:rPr>
          <w:rFonts w:hAnsi="宋体"/>
          <w:snapToGrid w:val="0"/>
          <w:color w:val="auto"/>
          <w:sz w:val="28"/>
          <w:szCs w:val="28"/>
        </w:rPr>
        <w:t>基本农田保护区），</w:t>
      </w:r>
      <w:r>
        <w:rPr>
          <w:rFonts w:hint="eastAsia" w:hAnsi="宋体"/>
          <w:color w:val="auto"/>
          <w:sz w:val="28"/>
          <w:szCs w:val="28"/>
        </w:rPr>
        <w:t>评价区无</w:t>
      </w:r>
      <w:r>
        <w:rPr>
          <w:rFonts w:hAnsi="宋体"/>
          <w:color w:val="auto"/>
          <w:sz w:val="28"/>
          <w:szCs w:val="28"/>
        </w:rPr>
        <w:t>自然保护区、风景名胜区、饮用</w:t>
      </w:r>
      <w:r>
        <w:rPr>
          <w:rFonts w:hAnsi="宋体"/>
          <w:color w:val="auto"/>
          <w:sz w:val="28"/>
          <w:szCs w:val="28"/>
          <w:shd w:val="clear" w:color="auto" w:fill="FFFFFF"/>
        </w:rPr>
        <w:t>水源</w:t>
      </w:r>
      <w:r>
        <w:rPr>
          <w:rFonts w:hint="eastAsia" w:hAnsi="宋体"/>
          <w:color w:val="auto"/>
          <w:sz w:val="28"/>
          <w:szCs w:val="28"/>
        </w:rPr>
        <w:t>保护区、</w:t>
      </w:r>
      <w:r>
        <w:rPr>
          <w:rFonts w:hAnsi="宋体"/>
          <w:color w:val="auto"/>
          <w:sz w:val="28"/>
          <w:szCs w:val="28"/>
        </w:rPr>
        <w:t>水土流失重点预防区和重点治理区等环境敏感区</w:t>
      </w:r>
      <w:r>
        <w:rPr>
          <w:rFonts w:hint="eastAsia" w:hAnsi="宋体"/>
          <w:color w:val="auto"/>
          <w:sz w:val="28"/>
          <w:szCs w:val="28"/>
        </w:rPr>
        <w:t>分布</w:t>
      </w:r>
      <w:r>
        <w:rPr>
          <w:rFonts w:hAnsi="宋体"/>
          <w:color w:val="auto"/>
          <w:sz w:val="28"/>
          <w:szCs w:val="28"/>
        </w:rPr>
        <w:t>，也不在生态红线内。本工程</w:t>
      </w:r>
      <w:r>
        <w:rPr>
          <w:rFonts w:hint="eastAsia" w:hAnsi="宋体"/>
          <w:color w:val="auto"/>
          <w:sz w:val="28"/>
          <w:szCs w:val="28"/>
        </w:rPr>
        <w:t>所在区域分布</w:t>
      </w:r>
      <w:r>
        <w:rPr>
          <w:rFonts w:hAnsi="宋体"/>
          <w:color w:val="auto"/>
          <w:sz w:val="28"/>
          <w:szCs w:val="28"/>
        </w:rPr>
        <w:t>有</w:t>
      </w:r>
      <w:r>
        <w:rPr>
          <w:rFonts w:hint="eastAsia" w:hAnsi="宋体"/>
          <w:color w:val="auto"/>
          <w:sz w:val="28"/>
          <w:szCs w:val="28"/>
          <w:lang w:eastAsia="zh-CN"/>
        </w:rPr>
        <w:t>升平镇、拥护村</w:t>
      </w:r>
      <w:r>
        <w:rPr>
          <w:rFonts w:hAnsi="宋体"/>
          <w:snapToGrid w:val="0"/>
          <w:color w:val="auto"/>
          <w:sz w:val="28"/>
          <w:szCs w:val="28"/>
        </w:rPr>
        <w:t>等农村居住区</w:t>
      </w:r>
      <w:r>
        <w:rPr>
          <w:rFonts w:hint="eastAsia" w:hAnsi="宋体"/>
          <w:color w:val="auto"/>
          <w:sz w:val="28"/>
          <w:szCs w:val="28"/>
        </w:rPr>
        <w:t>。</w:t>
      </w:r>
    </w:p>
    <w:p>
      <w:pPr>
        <w:pStyle w:val="4"/>
        <w:numPr>
          <w:ilvl w:val="1"/>
          <w:numId w:val="2"/>
        </w:numPr>
        <w:spacing w:before="156" w:after="156"/>
        <w:rPr>
          <w:color w:val="auto"/>
        </w:rPr>
      </w:pPr>
      <w:bookmarkStart w:id="487" w:name="_Toc49175005"/>
      <w:bookmarkStart w:id="488" w:name="_Toc49174615"/>
      <w:bookmarkStart w:id="489" w:name="_Toc298"/>
      <w:bookmarkStart w:id="490" w:name="_Toc32581"/>
      <w:bookmarkStart w:id="491" w:name="_Toc49174405"/>
      <w:bookmarkStart w:id="492" w:name="_Toc49174830"/>
      <w:bookmarkStart w:id="493" w:name="_Toc49174724"/>
      <w:r>
        <w:rPr>
          <w:color w:val="auto"/>
        </w:rPr>
        <w:t>环境质量现状调查与评价</w:t>
      </w:r>
      <w:bookmarkEnd w:id="487"/>
      <w:bookmarkEnd w:id="488"/>
      <w:bookmarkEnd w:id="489"/>
      <w:bookmarkEnd w:id="490"/>
      <w:bookmarkEnd w:id="491"/>
      <w:bookmarkEnd w:id="492"/>
      <w:bookmarkEnd w:id="493"/>
    </w:p>
    <w:p>
      <w:pPr>
        <w:pStyle w:val="5"/>
        <w:numPr>
          <w:ilvl w:val="2"/>
          <w:numId w:val="2"/>
        </w:numPr>
        <w:spacing w:before="156" w:after="156"/>
        <w:rPr>
          <w:color w:val="auto"/>
        </w:rPr>
      </w:pPr>
      <w:bookmarkStart w:id="494" w:name="_Toc49175006"/>
      <w:bookmarkStart w:id="495" w:name="_Toc49174831"/>
      <w:bookmarkStart w:id="496" w:name="_Toc3485"/>
      <w:bookmarkStart w:id="497" w:name="_Toc3919"/>
      <w:bookmarkStart w:id="498" w:name="_Toc32445"/>
      <w:bookmarkStart w:id="499" w:name="_Toc21264"/>
      <w:bookmarkStart w:id="500" w:name="_Toc896"/>
      <w:bookmarkStart w:id="501" w:name="_Toc11477"/>
      <w:bookmarkStart w:id="502" w:name="_Toc18026"/>
      <w:r>
        <w:rPr>
          <w:color w:val="auto"/>
        </w:rPr>
        <w:t>环境空气现状调查与评价</w:t>
      </w:r>
      <w:bookmarkEnd w:id="494"/>
      <w:bookmarkEnd w:id="495"/>
      <w:bookmarkEnd w:id="496"/>
      <w:bookmarkEnd w:id="497"/>
      <w:bookmarkEnd w:id="498"/>
      <w:bookmarkEnd w:id="499"/>
      <w:bookmarkEnd w:id="500"/>
      <w:bookmarkEnd w:id="501"/>
      <w:bookmarkEnd w:id="502"/>
    </w:p>
    <w:p>
      <w:pPr>
        <w:pStyle w:val="6"/>
        <w:numPr>
          <w:ilvl w:val="3"/>
          <w:numId w:val="2"/>
        </w:numPr>
        <w:spacing w:before="156" w:after="156"/>
        <w:rPr>
          <w:color w:val="auto"/>
        </w:rPr>
      </w:pPr>
      <w:r>
        <w:rPr>
          <w:color w:val="auto"/>
        </w:rPr>
        <w:t>区域环境空气质量达标情况</w:t>
      </w:r>
      <w:r>
        <w:rPr>
          <w:rFonts w:hint="eastAsia"/>
          <w:color w:val="auto"/>
        </w:rPr>
        <w:t>分析</w:t>
      </w:r>
    </w:p>
    <w:p>
      <w:pPr>
        <w:pStyle w:val="83"/>
        <w:bidi w:val="0"/>
        <w:rPr>
          <w:color w:val="auto"/>
        </w:rPr>
      </w:pPr>
      <w:r>
        <w:rPr>
          <w:rFonts w:hint="eastAsia"/>
          <w:color w:val="auto"/>
        </w:rPr>
        <w:t>本项目建设地点位于绥化市安达市境内，根据《2020年绥化市环境质量状况》数据，绥化市为非达标区，环境空气中细颗粒物（PM</w:t>
      </w:r>
      <w:r>
        <w:rPr>
          <w:rFonts w:hint="eastAsia"/>
          <w:color w:val="auto"/>
          <w:vertAlign w:val="subscript"/>
        </w:rPr>
        <w:t>2.5</w:t>
      </w:r>
      <w:r>
        <w:rPr>
          <w:rFonts w:hint="eastAsia"/>
          <w:color w:val="auto"/>
        </w:rPr>
        <w:t>）年均值为41</w:t>
      </w:r>
      <w:r>
        <w:rPr>
          <w:rFonts w:hint="default"/>
          <w:color w:val="auto"/>
        </w:rPr>
        <w:t>μ</w:t>
      </w:r>
      <w:r>
        <w:rPr>
          <w:rFonts w:hint="eastAsia"/>
          <w:color w:val="auto"/>
        </w:rPr>
        <w:t>g/m</w:t>
      </w:r>
      <w:r>
        <w:rPr>
          <w:rFonts w:hint="eastAsia"/>
          <w:color w:val="auto"/>
          <w:vertAlign w:val="superscript"/>
        </w:rPr>
        <w:t>3</w:t>
      </w:r>
      <w:r>
        <w:rPr>
          <w:rFonts w:hint="eastAsia"/>
          <w:color w:val="auto"/>
        </w:rPr>
        <w:t>；可吸入颗粒物（PM</w:t>
      </w:r>
      <w:r>
        <w:rPr>
          <w:rFonts w:hint="eastAsia"/>
          <w:color w:val="auto"/>
          <w:vertAlign w:val="subscript"/>
        </w:rPr>
        <w:t>10</w:t>
      </w:r>
      <w:r>
        <w:rPr>
          <w:rFonts w:hint="eastAsia"/>
          <w:color w:val="auto"/>
        </w:rPr>
        <w:t>）年均值为57</w:t>
      </w:r>
      <w:r>
        <w:rPr>
          <w:rFonts w:hint="default"/>
          <w:color w:val="auto"/>
        </w:rPr>
        <w:t>μ</w:t>
      </w:r>
      <w:r>
        <w:rPr>
          <w:rFonts w:hint="eastAsia"/>
          <w:color w:val="auto"/>
        </w:rPr>
        <w:t>g/m</w:t>
      </w:r>
      <w:r>
        <w:rPr>
          <w:rFonts w:hint="eastAsia"/>
          <w:color w:val="auto"/>
          <w:vertAlign w:val="superscript"/>
        </w:rPr>
        <w:t>3</w:t>
      </w:r>
      <w:r>
        <w:rPr>
          <w:rFonts w:hint="eastAsia"/>
          <w:color w:val="auto"/>
        </w:rPr>
        <w:t>；二氧化硫年均值为10</w:t>
      </w:r>
      <w:r>
        <w:rPr>
          <w:rFonts w:hint="default"/>
          <w:color w:val="auto"/>
        </w:rPr>
        <w:t>μ</w:t>
      </w:r>
      <w:r>
        <w:rPr>
          <w:rFonts w:hint="eastAsia"/>
          <w:color w:val="auto"/>
        </w:rPr>
        <w:t>g/m</w:t>
      </w:r>
      <w:r>
        <w:rPr>
          <w:rFonts w:hint="eastAsia"/>
          <w:color w:val="auto"/>
          <w:vertAlign w:val="superscript"/>
        </w:rPr>
        <w:t>3</w:t>
      </w:r>
      <w:r>
        <w:rPr>
          <w:rFonts w:hint="eastAsia"/>
          <w:color w:val="auto"/>
        </w:rPr>
        <w:t>；二氧化氮年均值为19</w:t>
      </w:r>
      <w:r>
        <w:rPr>
          <w:rFonts w:hint="eastAsia"/>
          <w:color w:val="auto"/>
          <w:lang w:val="en-US" w:eastAsia="zh-CN"/>
        </w:rPr>
        <w:t xml:space="preserve"> </w:t>
      </w:r>
      <w:r>
        <w:rPr>
          <w:rFonts w:hint="default"/>
          <w:color w:val="auto"/>
        </w:rPr>
        <w:t>μ</w:t>
      </w:r>
      <w:r>
        <w:rPr>
          <w:rFonts w:hint="eastAsia"/>
          <w:color w:val="auto"/>
        </w:rPr>
        <w:t>g/m</w:t>
      </w:r>
      <w:r>
        <w:rPr>
          <w:rFonts w:hint="eastAsia"/>
          <w:color w:val="auto"/>
          <w:vertAlign w:val="superscript"/>
        </w:rPr>
        <w:t>3</w:t>
      </w:r>
      <w:r>
        <w:rPr>
          <w:rFonts w:hint="eastAsia"/>
          <w:color w:val="auto"/>
        </w:rPr>
        <w:t>；CO24小时平均第95百分位数为1.2mg/m</w:t>
      </w:r>
      <w:r>
        <w:rPr>
          <w:rFonts w:hint="eastAsia"/>
          <w:color w:val="auto"/>
          <w:vertAlign w:val="superscript"/>
        </w:rPr>
        <w:t>3</w:t>
      </w:r>
      <w:r>
        <w:rPr>
          <w:rFonts w:hint="eastAsia"/>
          <w:color w:val="auto"/>
        </w:rPr>
        <w:t>；O</w:t>
      </w:r>
      <w:r>
        <w:rPr>
          <w:rFonts w:hint="eastAsia"/>
          <w:color w:val="auto"/>
          <w:vertAlign w:val="subscript"/>
        </w:rPr>
        <w:t>3</w:t>
      </w:r>
      <w:r>
        <w:rPr>
          <w:rFonts w:hint="eastAsia"/>
          <w:color w:val="auto"/>
        </w:rPr>
        <w:t>日最大8小时平均第90百分位数为118</w:t>
      </w:r>
      <w:r>
        <w:rPr>
          <w:rFonts w:hint="default"/>
          <w:color w:val="auto"/>
        </w:rPr>
        <w:t>μ</w:t>
      </w:r>
      <w:r>
        <w:rPr>
          <w:rFonts w:hint="eastAsia"/>
          <w:color w:val="auto"/>
        </w:rPr>
        <w:t>g/m</w:t>
      </w:r>
      <w:r>
        <w:rPr>
          <w:rFonts w:hint="eastAsia"/>
          <w:color w:val="auto"/>
          <w:vertAlign w:val="superscript"/>
        </w:rPr>
        <w:t>3</w:t>
      </w:r>
      <w:r>
        <w:rPr>
          <w:rFonts w:hint="eastAsia"/>
          <w:color w:val="auto"/>
        </w:rPr>
        <w:t>，其中PM</w:t>
      </w:r>
      <w:r>
        <w:rPr>
          <w:rFonts w:hint="eastAsia"/>
          <w:color w:val="auto"/>
          <w:vertAlign w:val="subscript"/>
        </w:rPr>
        <w:t>10</w:t>
      </w:r>
      <w:r>
        <w:rPr>
          <w:rFonts w:hint="eastAsia"/>
          <w:color w:val="auto"/>
        </w:rPr>
        <w:t>、O</w:t>
      </w:r>
      <w:r>
        <w:rPr>
          <w:rFonts w:hint="eastAsia"/>
          <w:color w:val="auto"/>
          <w:vertAlign w:val="subscript"/>
        </w:rPr>
        <w:t>3</w:t>
      </w:r>
      <w:r>
        <w:rPr>
          <w:rFonts w:hint="eastAsia"/>
          <w:color w:val="auto"/>
        </w:rPr>
        <w:t>、二氧化硫、二氧化氮、CO满足《环境空气质量标准》（GB3095-2012）中二级标准。区域环境空气质量统计数据见表4.3-1</w:t>
      </w:r>
      <w:r>
        <w:rPr>
          <w:color w:val="auto"/>
        </w:rPr>
        <w:t>。</w:t>
      </w:r>
    </w:p>
    <w:p>
      <w:pPr>
        <w:pStyle w:val="7"/>
        <w:numPr>
          <w:ilvl w:val="4"/>
          <w:numId w:val="2"/>
        </w:numPr>
        <w:bidi w:val="0"/>
        <w:rPr>
          <w:rFonts w:hint="eastAsia"/>
          <w:color w:val="auto"/>
        </w:rPr>
      </w:pPr>
      <w:r>
        <w:rPr>
          <w:rFonts w:hint="eastAsia"/>
          <w:color w:val="auto"/>
        </w:rPr>
        <w:t>区域空质量现状评价表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2003"/>
        <w:gridCol w:w="1337"/>
        <w:gridCol w:w="1548"/>
        <w:gridCol w:w="1548"/>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污染物</w:t>
            </w:r>
          </w:p>
        </w:tc>
        <w:tc>
          <w:tcPr>
            <w:tcW w:w="10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年评价指标</w:t>
            </w:r>
          </w:p>
        </w:tc>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现状浓度</w:t>
            </w:r>
            <w:r>
              <w:rPr>
                <w:rFonts w:hint="default"/>
                <w:iCs/>
                <w:snapToGrid w:val="0"/>
                <w:color w:val="auto"/>
                <w:kern w:val="0"/>
                <w:szCs w:val="21"/>
              </w:rPr>
              <w:t>/</w:t>
            </w:r>
            <w:r>
              <w:rPr>
                <w:rFonts w:hint="default" w:hAnsi="宋体"/>
                <w:iCs/>
                <w:snapToGrid w:val="0"/>
                <w:color w:val="auto"/>
                <w:kern w:val="0"/>
                <w:szCs w:val="21"/>
              </w:rPr>
              <w:t>（</w:t>
            </w:r>
            <w:r>
              <w:rPr>
                <w:rFonts w:hint="default"/>
                <w:iCs/>
                <w:snapToGrid w:val="0"/>
                <w:color w:val="auto"/>
                <w:kern w:val="0"/>
                <w:szCs w:val="21"/>
              </w:rPr>
              <w:t>μg/m</w:t>
            </w:r>
            <w:r>
              <w:rPr>
                <w:rFonts w:hint="default"/>
                <w:iCs/>
                <w:snapToGrid w:val="0"/>
                <w:color w:val="auto"/>
                <w:kern w:val="0"/>
                <w:szCs w:val="21"/>
                <w:vertAlign w:val="superscript"/>
              </w:rPr>
              <w:t>3</w:t>
            </w:r>
            <w:r>
              <w:rPr>
                <w:rFonts w:hint="default" w:hAnsi="宋体"/>
                <w:iCs/>
                <w:snapToGrid w:val="0"/>
                <w:color w:val="auto"/>
                <w:kern w:val="0"/>
                <w:szCs w:val="21"/>
              </w:rPr>
              <w:t>）</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标准值</w:t>
            </w:r>
            <w:r>
              <w:rPr>
                <w:rFonts w:hint="default"/>
                <w:iCs/>
                <w:snapToGrid w:val="0"/>
                <w:color w:val="auto"/>
                <w:kern w:val="0"/>
                <w:szCs w:val="21"/>
              </w:rPr>
              <w:t>/</w:t>
            </w:r>
            <w:r>
              <w:rPr>
                <w:rFonts w:hint="default" w:hAnsi="宋体"/>
                <w:iCs/>
                <w:snapToGrid w:val="0"/>
                <w:color w:val="auto"/>
                <w:kern w:val="0"/>
                <w:szCs w:val="21"/>
              </w:rPr>
              <w:t>（</w:t>
            </w:r>
            <w:r>
              <w:rPr>
                <w:rFonts w:hint="default"/>
                <w:iCs/>
                <w:snapToGrid w:val="0"/>
                <w:color w:val="auto"/>
                <w:kern w:val="0"/>
                <w:szCs w:val="21"/>
              </w:rPr>
              <w:t>μg/m</w:t>
            </w:r>
            <w:r>
              <w:rPr>
                <w:rFonts w:hint="default"/>
                <w:iCs/>
                <w:snapToGrid w:val="0"/>
                <w:color w:val="auto"/>
                <w:kern w:val="0"/>
                <w:szCs w:val="21"/>
                <w:vertAlign w:val="superscript"/>
              </w:rPr>
              <w:t>3</w:t>
            </w:r>
            <w:r>
              <w:rPr>
                <w:rFonts w:hint="default" w:hAnsi="宋体"/>
                <w:iCs/>
                <w:snapToGrid w:val="0"/>
                <w:color w:val="auto"/>
                <w:kern w:val="0"/>
                <w:szCs w:val="21"/>
              </w:rPr>
              <w:t>）</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占标率</w:t>
            </w:r>
            <w:r>
              <w:rPr>
                <w:rFonts w:hint="default"/>
                <w:iCs/>
                <w:snapToGrid w:val="0"/>
                <w:color w:val="auto"/>
                <w:kern w:val="0"/>
                <w:szCs w:val="21"/>
              </w:rPr>
              <w:t>/%</w:t>
            </w:r>
          </w:p>
        </w:tc>
        <w:tc>
          <w:tcPr>
            <w:tcW w:w="8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SO</w:t>
            </w:r>
            <w:r>
              <w:rPr>
                <w:rFonts w:hint="default"/>
                <w:iCs/>
                <w:snapToGrid w:val="0"/>
                <w:color w:val="auto"/>
                <w:kern w:val="0"/>
                <w:szCs w:val="21"/>
                <w:vertAlign w:val="subscript"/>
              </w:rPr>
              <w:t>2</w:t>
            </w:r>
          </w:p>
        </w:tc>
        <w:tc>
          <w:tcPr>
            <w:tcW w:w="10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年平均质量浓度</w:t>
            </w:r>
          </w:p>
        </w:tc>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10</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60</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16.7</w:t>
            </w:r>
          </w:p>
        </w:tc>
        <w:tc>
          <w:tcPr>
            <w:tcW w:w="8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NO</w:t>
            </w:r>
            <w:r>
              <w:rPr>
                <w:rFonts w:hint="default"/>
                <w:iCs/>
                <w:snapToGrid w:val="0"/>
                <w:color w:val="auto"/>
                <w:kern w:val="0"/>
                <w:szCs w:val="21"/>
                <w:vertAlign w:val="subscript"/>
              </w:rPr>
              <w:t>2</w:t>
            </w:r>
          </w:p>
        </w:tc>
        <w:tc>
          <w:tcPr>
            <w:tcW w:w="10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年平均质量浓度</w:t>
            </w:r>
          </w:p>
        </w:tc>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19</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40</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47.5</w:t>
            </w:r>
          </w:p>
        </w:tc>
        <w:tc>
          <w:tcPr>
            <w:tcW w:w="8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PM</w:t>
            </w:r>
            <w:r>
              <w:rPr>
                <w:rFonts w:hint="default"/>
                <w:iCs/>
                <w:snapToGrid w:val="0"/>
                <w:color w:val="auto"/>
                <w:kern w:val="0"/>
                <w:szCs w:val="21"/>
                <w:vertAlign w:val="subscript"/>
              </w:rPr>
              <w:t>10</w:t>
            </w:r>
          </w:p>
        </w:tc>
        <w:tc>
          <w:tcPr>
            <w:tcW w:w="10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年平均质量浓度</w:t>
            </w:r>
          </w:p>
        </w:tc>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57</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70</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81.4</w:t>
            </w:r>
          </w:p>
        </w:tc>
        <w:tc>
          <w:tcPr>
            <w:tcW w:w="8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PM</w:t>
            </w:r>
            <w:r>
              <w:rPr>
                <w:rFonts w:hint="default"/>
                <w:iCs/>
                <w:snapToGrid w:val="0"/>
                <w:color w:val="auto"/>
                <w:kern w:val="0"/>
                <w:szCs w:val="21"/>
                <w:vertAlign w:val="subscript"/>
              </w:rPr>
              <w:t>2.5</w:t>
            </w:r>
          </w:p>
        </w:tc>
        <w:tc>
          <w:tcPr>
            <w:tcW w:w="10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年平均质量浓度</w:t>
            </w:r>
          </w:p>
        </w:tc>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default"/>
                <w:iCs/>
                <w:snapToGrid w:val="0"/>
                <w:color w:val="auto"/>
                <w:kern w:val="0"/>
                <w:szCs w:val="21"/>
              </w:rPr>
              <w:t>4</w:t>
            </w:r>
            <w:r>
              <w:rPr>
                <w:rFonts w:hint="eastAsia"/>
                <w:iCs/>
                <w:snapToGrid w:val="0"/>
                <w:color w:val="auto"/>
                <w:kern w:val="0"/>
                <w:szCs w:val="21"/>
              </w:rPr>
              <w:t>1</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35</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117.1</w:t>
            </w:r>
          </w:p>
        </w:tc>
        <w:tc>
          <w:tcPr>
            <w:tcW w:w="8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CO</w:t>
            </w:r>
          </w:p>
        </w:tc>
        <w:tc>
          <w:tcPr>
            <w:tcW w:w="10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24</w:t>
            </w:r>
            <w:r>
              <w:rPr>
                <w:rFonts w:hint="default" w:hAnsi="宋体"/>
                <w:iCs/>
                <w:snapToGrid w:val="0"/>
                <w:color w:val="auto"/>
                <w:kern w:val="0"/>
                <w:szCs w:val="21"/>
              </w:rPr>
              <w:t>小时平均第</w:t>
            </w:r>
            <w:r>
              <w:rPr>
                <w:rFonts w:hint="default"/>
                <w:iCs/>
                <w:snapToGrid w:val="0"/>
                <w:color w:val="auto"/>
                <w:kern w:val="0"/>
                <w:szCs w:val="21"/>
              </w:rPr>
              <w:t>95</w:t>
            </w:r>
            <w:r>
              <w:rPr>
                <w:rFonts w:hint="default" w:hAnsi="宋体"/>
                <w:iCs/>
                <w:snapToGrid w:val="0"/>
                <w:color w:val="auto"/>
                <w:kern w:val="0"/>
                <w:szCs w:val="21"/>
              </w:rPr>
              <w:t>百分位数质量浓度</w:t>
            </w:r>
          </w:p>
        </w:tc>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1200</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4000</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30</w:t>
            </w:r>
          </w:p>
        </w:tc>
        <w:tc>
          <w:tcPr>
            <w:tcW w:w="8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O</w:t>
            </w:r>
            <w:r>
              <w:rPr>
                <w:rFonts w:hint="default"/>
                <w:iCs/>
                <w:snapToGrid w:val="0"/>
                <w:color w:val="auto"/>
                <w:kern w:val="0"/>
                <w:szCs w:val="21"/>
                <w:vertAlign w:val="subscript"/>
              </w:rPr>
              <w:t>3</w:t>
            </w:r>
            <w:r>
              <w:rPr>
                <w:rFonts w:hint="default" w:hAnsi="宋体"/>
                <w:iCs/>
                <w:snapToGrid w:val="0"/>
                <w:color w:val="auto"/>
                <w:kern w:val="0"/>
                <w:szCs w:val="21"/>
              </w:rPr>
              <w:t>日最大</w:t>
            </w:r>
            <w:r>
              <w:rPr>
                <w:rFonts w:hint="default"/>
                <w:iCs/>
                <w:snapToGrid w:val="0"/>
                <w:color w:val="auto"/>
                <w:kern w:val="0"/>
                <w:szCs w:val="21"/>
              </w:rPr>
              <w:t>8</w:t>
            </w:r>
            <w:r>
              <w:rPr>
                <w:rFonts w:hint="default" w:hAnsi="宋体"/>
                <w:iCs/>
                <w:snapToGrid w:val="0"/>
                <w:color w:val="auto"/>
                <w:kern w:val="0"/>
                <w:szCs w:val="21"/>
              </w:rPr>
              <w:t>小时平均</w:t>
            </w:r>
          </w:p>
        </w:tc>
        <w:tc>
          <w:tcPr>
            <w:tcW w:w="107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第</w:t>
            </w:r>
            <w:r>
              <w:rPr>
                <w:rFonts w:hint="default"/>
                <w:iCs/>
                <w:snapToGrid w:val="0"/>
                <w:color w:val="auto"/>
                <w:kern w:val="0"/>
                <w:szCs w:val="21"/>
              </w:rPr>
              <w:t>90</w:t>
            </w:r>
            <w:r>
              <w:rPr>
                <w:rFonts w:hint="default" w:hAnsi="宋体"/>
                <w:iCs/>
                <w:snapToGrid w:val="0"/>
                <w:color w:val="auto"/>
                <w:kern w:val="0"/>
                <w:szCs w:val="21"/>
              </w:rPr>
              <w:t>百分位数平均质量浓度</w:t>
            </w:r>
          </w:p>
        </w:tc>
        <w:tc>
          <w:tcPr>
            <w:tcW w:w="720"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118</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iCs/>
                <w:snapToGrid w:val="0"/>
                <w:color w:val="auto"/>
                <w:kern w:val="0"/>
                <w:szCs w:val="21"/>
              </w:rPr>
              <w:t>160</w:t>
            </w:r>
          </w:p>
        </w:tc>
        <w:tc>
          <w:tcPr>
            <w:tcW w:w="83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iCs/>
                <w:snapToGrid w:val="0"/>
                <w:color w:val="auto"/>
                <w:kern w:val="0"/>
                <w:szCs w:val="21"/>
              </w:rPr>
            </w:pPr>
            <w:r>
              <w:rPr>
                <w:rFonts w:hint="eastAsia"/>
                <w:iCs/>
                <w:snapToGrid w:val="0"/>
                <w:color w:val="auto"/>
                <w:kern w:val="0"/>
                <w:szCs w:val="21"/>
              </w:rPr>
              <w:t>73.8</w:t>
            </w:r>
          </w:p>
        </w:tc>
        <w:tc>
          <w:tcPr>
            <w:tcW w:w="83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iCs/>
                <w:snapToGrid w:val="0"/>
                <w:color w:val="auto"/>
                <w:kern w:val="0"/>
                <w:szCs w:val="21"/>
              </w:rPr>
            </w:pPr>
            <w:r>
              <w:rPr>
                <w:rFonts w:hint="default" w:hAnsi="宋体"/>
                <w:iCs/>
                <w:snapToGrid w:val="0"/>
                <w:color w:val="auto"/>
                <w:kern w:val="0"/>
                <w:szCs w:val="21"/>
              </w:rPr>
              <w:t>达标</w:t>
            </w:r>
          </w:p>
        </w:tc>
      </w:tr>
    </w:tbl>
    <w:p>
      <w:pPr>
        <w:pStyle w:val="83"/>
        <w:bidi w:val="0"/>
        <w:rPr>
          <w:rFonts w:hint="eastAsia" w:eastAsia="宋体"/>
          <w:color w:val="auto"/>
          <w:lang w:eastAsia="zh-CN"/>
        </w:rPr>
      </w:pPr>
      <w:r>
        <w:rPr>
          <w:rFonts w:hint="eastAsia"/>
          <w:color w:val="auto"/>
        </w:rPr>
        <w:t>由表4.3-1可知，PM</w:t>
      </w:r>
      <w:r>
        <w:rPr>
          <w:rFonts w:hint="eastAsia"/>
          <w:color w:val="auto"/>
          <w:vertAlign w:val="subscript"/>
        </w:rPr>
        <w:t>2.5</w:t>
      </w:r>
      <w:r>
        <w:rPr>
          <w:rFonts w:hint="eastAsia"/>
          <w:color w:val="auto"/>
        </w:rPr>
        <w:t>不满足《环境空气质量标准》（GB3095-2012）中二级标准，绥化市属于环境空气质量不达标区。由于本工程不排放PM</w:t>
      </w:r>
      <w:r>
        <w:rPr>
          <w:rFonts w:hint="eastAsia"/>
          <w:color w:val="auto"/>
          <w:vertAlign w:val="subscript"/>
        </w:rPr>
        <w:t>2.5</w:t>
      </w:r>
      <w:r>
        <w:rPr>
          <w:rFonts w:hint="eastAsia"/>
          <w:color w:val="auto"/>
        </w:rPr>
        <w:t>，</w:t>
      </w:r>
      <w:r>
        <w:rPr>
          <w:rFonts w:hint="eastAsia"/>
          <w:color w:val="auto"/>
          <w:lang w:eastAsia="zh-CN"/>
        </w:rPr>
        <w:t>本</w:t>
      </w:r>
      <w:r>
        <w:rPr>
          <w:rFonts w:hint="eastAsia"/>
          <w:color w:val="auto"/>
        </w:rPr>
        <w:t>项目只包括施工期，施工结束环境空气影响即消失</w:t>
      </w:r>
      <w:r>
        <w:rPr>
          <w:rFonts w:hint="eastAsia"/>
          <w:color w:val="auto"/>
          <w:lang w:eastAsia="zh-CN"/>
        </w:rPr>
        <w:t>，</w:t>
      </w:r>
      <w:r>
        <w:rPr>
          <w:rFonts w:hint="eastAsia"/>
          <w:color w:val="auto"/>
        </w:rPr>
        <w:t>不会对空气环境质量造成不利影响</w:t>
      </w:r>
      <w:r>
        <w:rPr>
          <w:rFonts w:hint="eastAsia"/>
          <w:color w:val="auto"/>
          <w:lang w:eastAsia="zh-CN"/>
        </w:rPr>
        <w:t>。</w:t>
      </w:r>
    </w:p>
    <w:p>
      <w:pPr>
        <w:pStyle w:val="6"/>
        <w:numPr>
          <w:ilvl w:val="3"/>
          <w:numId w:val="2"/>
        </w:numPr>
        <w:spacing w:before="156" w:after="156"/>
        <w:rPr>
          <w:color w:val="auto"/>
        </w:rPr>
      </w:pPr>
      <w:r>
        <w:rPr>
          <w:color w:val="auto"/>
        </w:rPr>
        <w:t>环境空气质量现状补充监测</w:t>
      </w:r>
    </w:p>
    <w:p>
      <w:pPr>
        <w:pStyle w:val="33"/>
        <w:rPr>
          <w:color w:val="auto"/>
        </w:rPr>
      </w:pPr>
      <w:r>
        <w:rPr>
          <w:color w:val="auto"/>
        </w:rPr>
        <w:t>（1）监测布点</w:t>
      </w:r>
    </w:p>
    <w:p>
      <w:pPr>
        <w:pStyle w:val="33"/>
        <w:rPr>
          <w:color w:val="auto"/>
        </w:rPr>
      </w:pPr>
      <w:r>
        <w:rPr>
          <w:color w:val="auto"/>
        </w:rPr>
        <w:t>考虑地形、地貌、地面风场特征、项目地理位置和环境功能区的要求，根据项目情况和周围敏感点分布情况，本项目布设</w:t>
      </w:r>
      <w:r>
        <w:rPr>
          <w:rFonts w:hint="eastAsia"/>
          <w:color w:val="auto"/>
          <w:lang w:val="en-US" w:eastAsia="zh-CN"/>
        </w:rPr>
        <w:t>2</w:t>
      </w:r>
      <w:r>
        <w:rPr>
          <w:color w:val="auto"/>
        </w:rPr>
        <w:t>个环境空气质量现状监测点，其位置与本项目位置关系见</w:t>
      </w:r>
      <w:r>
        <w:rPr>
          <w:rFonts w:hint="eastAsia"/>
          <w:color w:val="auto"/>
        </w:rPr>
        <w:t>下</w:t>
      </w:r>
      <w:r>
        <w:rPr>
          <w:color w:val="auto"/>
        </w:rPr>
        <w:t>表，监测布点图见</w:t>
      </w:r>
      <w:r>
        <w:rPr>
          <w:rFonts w:hint="eastAsia"/>
          <w:color w:val="auto"/>
        </w:rPr>
        <w:t>附</w:t>
      </w:r>
      <w:r>
        <w:rPr>
          <w:color w:val="auto"/>
        </w:rPr>
        <w:t>图</w:t>
      </w:r>
      <w:r>
        <w:rPr>
          <w:rFonts w:hint="eastAsia"/>
          <w:color w:val="auto"/>
        </w:rPr>
        <w:t>4</w:t>
      </w:r>
      <w:r>
        <w:rPr>
          <w:rFonts w:hint="eastAsia"/>
          <w:color w:val="auto"/>
          <w:lang w:val="en-US" w:eastAsia="zh-CN"/>
        </w:rPr>
        <w:t>.3-1</w:t>
      </w:r>
      <w:r>
        <w:rPr>
          <w:color w:val="auto"/>
        </w:rPr>
        <w:t>。</w:t>
      </w:r>
    </w:p>
    <w:p>
      <w:pPr>
        <w:pStyle w:val="7"/>
        <w:numPr>
          <w:ilvl w:val="4"/>
          <w:numId w:val="2"/>
        </w:numPr>
        <w:bidi w:val="0"/>
        <w:rPr>
          <w:color w:val="auto"/>
        </w:rPr>
      </w:pPr>
      <w:r>
        <w:rPr>
          <w:rFonts w:hint="eastAsia"/>
          <w:color w:val="auto"/>
        </w:rPr>
        <w:t>空气环境现状监测点位表</w:t>
      </w:r>
    </w:p>
    <w:tbl>
      <w:tblPr>
        <w:tblStyle w:val="3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638"/>
        <w:gridCol w:w="1537"/>
        <w:gridCol w:w="1025"/>
        <w:gridCol w:w="925"/>
        <w:gridCol w:w="152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9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监测点名称</w:t>
            </w:r>
          </w:p>
        </w:tc>
        <w:tc>
          <w:tcPr>
            <w:tcW w:w="3175"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监测点坐标</w:t>
            </w:r>
          </w:p>
        </w:tc>
        <w:tc>
          <w:tcPr>
            <w:tcW w:w="10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监测因子</w:t>
            </w:r>
          </w:p>
        </w:tc>
        <w:tc>
          <w:tcPr>
            <w:tcW w:w="9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监测时段</w:t>
            </w:r>
          </w:p>
        </w:tc>
        <w:tc>
          <w:tcPr>
            <w:tcW w:w="15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相对方向</w:t>
            </w:r>
          </w:p>
        </w:tc>
        <w:tc>
          <w:tcPr>
            <w:tcW w:w="91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eastAsia"/>
                <w:color w:val="auto"/>
                <w:sz w:val="21"/>
                <w:szCs w:val="21"/>
              </w:rPr>
              <w:t>拟建钻井井</w:t>
            </w:r>
            <w:r>
              <w:rPr>
                <w:rFonts w:hint="default"/>
                <w:color w:val="auto"/>
                <w:sz w:val="21"/>
                <w:szCs w:val="21"/>
              </w:rPr>
              <w:t>场</w:t>
            </w:r>
          </w:p>
        </w:tc>
        <w:tc>
          <w:tcPr>
            <w:tcW w:w="163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color w:val="auto"/>
                <w:kern w:val="0"/>
                <w:sz w:val="21"/>
                <w:szCs w:val="21"/>
                <w:u w:val="none"/>
                <w:lang w:val="en-US" w:eastAsia="zh-CN" w:bidi="ar"/>
              </w:rPr>
              <w:t>125°16'51.9753"</w:t>
            </w:r>
          </w:p>
        </w:tc>
        <w:tc>
          <w:tcPr>
            <w:tcW w:w="153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color w:val="auto"/>
                <w:kern w:val="0"/>
                <w:sz w:val="21"/>
                <w:szCs w:val="21"/>
                <w:u w:val="none"/>
                <w:lang w:val="en-US" w:eastAsia="zh-CN" w:bidi="ar"/>
              </w:rPr>
              <w:t>46°13'24.0488"</w:t>
            </w:r>
          </w:p>
        </w:tc>
        <w:tc>
          <w:tcPr>
            <w:tcW w:w="1025"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color w:val="auto"/>
                <w:sz w:val="21"/>
                <w:szCs w:val="21"/>
              </w:rPr>
              <w:t>非甲烷总烃</w:t>
            </w:r>
          </w:p>
        </w:tc>
        <w:tc>
          <w:tcPr>
            <w:tcW w:w="925" w:type="dxa"/>
            <w:vMerge w:val="restart"/>
            <w:shd w:val="clear" w:color="auto" w:fill="auto"/>
            <w:vAlign w:val="center"/>
          </w:tcPr>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2：00、</w:t>
            </w:r>
          </w:p>
          <w:p>
            <w:pPr>
              <w:keepNext w:val="0"/>
              <w:keepLines w:val="0"/>
              <w:suppressLineNumbers w:val="0"/>
              <w:spacing w:before="0" w:beforeAutospacing="0" w:after="0" w:afterAutospacing="0"/>
              <w:ind w:left="0" w:right="0"/>
              <w:jc w:val="center"/>
              <w:rPr>
                <w:rFonts w:hint="eastAsia"/>
                <w:color w:val="auto"/>
                <w:sz w:val="21"/>
                <w:szCs w:val="21"/>
              </w:rPr>
            </w:pPr>
            <w:r>
              <w:rPr>
                <w:rFonts w:hint="eastAsia"/>
                <w:color w:val="auto"/>
                <w:sz w:val="21"/>
                <w:szCs w:val="21"/>
              </w:rPr>
              <w:t>8：00、</w:t>
            </w:r>
          </w:p>
          <w:p>
            <w:pPr>
              <w:keepNext w:val="0"/>
              <w:keepLines w:val="0"/>
              <w:suppressLineNumbers w:val="0"/>
              <w:spacing w:before="0" w:beforeAutospacing="0" w:after="0" w:afterAutospacing="0"/>
              <w:ind w:left="0" w:right="0"/>
              <w:jc w:val="center"/>
              <w:rPr>
                <w:rFonts w:hint="default"/>
                <w:color w:val="auto"/>
                <w:sz w:val="21"/>
                <w:szCs w:val="21"/>
              </w:rPr>
            </w:pPr>
            <w:r>
              <w:rPr>
                <w:rFonts w:hint="eastAsia"/>
                <w:color w:val="auto"/>
                <w:sz w:val="21"/>
                <w:szCs w:val="21"/>
              </w:rPr>
              <w:t>14：00、20：00</w:t>
            </w:r>
          </w:p>
        </w:tc>
        <w:tc>
          <w:tcPr>
            <w:tcW w:w="15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eastAsia"/>
                <w:color w:val="auto"/>
                <w:sz w:val="21"/>
                <w:szCs w:val="21"/>
              </w:rPr>
              <w:t>项目</w:t>
            </w:r>
            <w:r>
              <w:rPr>
                <w:rFonts w:hint="default"/>
                <w:color w:val="auto"/>
                <w:sz w:val="21"/>
                <w:szCs w:val="21"/>
              </w:rPr>
              <w:t>所在地</w:t>
            </w:r>
          </w:p>
        </w:tc>
        <w:tc>
          <w:tcPr>
            <w:tcW w:w="915" w:type="dxa"/>
            <w:shd w:val="clear" w:color="auto" w:fill="auto"/>
            <w:vAlign w:val="center"/>
          </w:tcPr>
          <w:p>
            <w:pPr>
              <w:keepNext w:val="0"/>
              <w:keepLines w:val="0"/>
              <w:suppressLineNumbers w:val="0"/>
              <w:spacing w:before="0" w:beforeAutospacing="0" w:after="0" w:afterAutospacing="0"/>
              <w:ind w:left="0" w:right="0"/>
              <w:jc w:val="center"/>
              <w:rPr>
                <w:rFonts w:hint="default"/>
                <w:b/>
                <w:bCs/>
                <w:color w:val="auto"/>
                <w:sz w:val="21"/>
                <w:szCs w:val="21"/>
              </w:rPr>
            </w:pPr>
            <w:r>
              <w:rPr>
                <w:rFonts w:hint="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拥护村</w:t>
            </w:r>
          </w:p>
        </w:tc>
        <w:tc>
          <w:tcPr>
            <w:tcW w:w="163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color w:val="auto"/>
                <w:kern w:val="0"/>
                <w:sz w:val="21"/>
                <w:szCs w:val="21"/>
                <w:u w:val="none"/>
                <w:lang w:val="en-US" w:eastAsia="zh-CN" w:bidi="ar"/>
              </w:rPr>
              <w:t>125°18'30.4310"</w:t>
            </w:r>
          </w:p>
        </w:tc>
        <w:tc>
          <w:tcPr>
            <w:tcW w:w="1537"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21"/>
                <w:szCs w:val="21"/>
              </w:rPr>
            </w:pPr>
            <w:r>
              <w:rPr>
                <w:rFonts w:hint="default" w:ascii="Times New Roman" w:hAnsi="Times New Roman" w:eastAsia="宋体" w:cs="Times New Roman"/>
                <w:i w:val="0"/>
                <w:color w:val="auto"/>
                <w:kern w:val="0"/>
                <w:sz w:val="21"/>
                <w:szCs w:val="21"/>
                <w:u w:val="none"/>
                <w:lang w:val="en-US" w:eastAsia="zh-CN" w:bidi="ar"/>
              </w:rPr>
              <w:t>46°12'54.1457"</w:t>
            </w:r>
          </w:p>
        </w:tc>
        <w:tc>
          <w:tcPr>
            <w:tcW w:w="1025"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p>
        </w:tc>
        <w:tc>
          <w:tcPr>
            <w:tcW w:w="925"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p>
        </w:tc>
        <w:tc>
          <w:tcPr>
            <w:tcW w:w="152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eastAsia" w:hAnsi="宋体"/>
                <w:color w:val="auto"/>
                <w:kern w:val="24"/>
                <w:sz w:val="21"/>
                <w:szCs w:val="21"/>
              </w:rPr>
              <w:t>项目</w:t>
            </w:r>
            <w:r>
              <w:rPr>
                <w:rFonts w:hint="default" w:hAnsi="宋体"/>
                <w:color w:val="auto"/>
                <w:kern w:val="24"/>
                <w:sz w:val="21"/>
                <w:szCs w:val="21"/>
              </w:rPr>
              <w:t>所在地</w:t>
            </w:r>
            <w:r>
              <w:rPr>
                <w:rFonts w:hint="eastAsia" w:hAnsi="宋体"/>
                <w:color w:val="auto"/>
                <w:kern w:val="24"/>
                <w:sz w:val="21"/>
                <w:szCs w:val="21"/>
                <w:lang w:eastAsia="zh-CN"/>
              </w:rPr>
              <w:t>下</w:t>
            </w:r>
            <w:r>
              <w:rPr>
                <w:rFonts w:hint="eastAsia" w:hAnsi="宋体"/>
                <w:color w:val="auto"/>
                <w:kern w:val="24"/>
                <w:sz w:val="21"/>
                <w:szCs w:val="21"/>
              </w:rPr>
              <w:t>风向</w:t>
            </w:r>
          </w:p>
        </w:tc>
        <w:tc>
          <w:tcPr>
            <w:tcW w:w="915" w:type="dxa"/>
            <w:shd w:val="clear" w:color="auto" w:fill="auto"/>
            <w:vAlign w:val="center"/>
          </w:tcPr>
          <w:p>
            <w:pPr>
              <w:keepNext w:val="0"/>
              <w:keepLines w:val="0"/>
              <w:suppressLineNumbers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289m</w:t>
            </w:r>
          </w:p>
        </w:tc>
      </w:tr>
    </w:tbl>
    <w:p>
      <w:pPr>
        <w:pStyle w:val="33"/>
        <w:rPr>
          <w:color w:val="auto"/>
        </w:rPr>
      </w:pPr>
      <w:r>
        <w:rPr>
          <w:color w:val="auto"/>
        </w:rPr>
        <w:t>（2）监测因子与监测方法</w:t>
      </w:r>
    </w:p>
    <w:p>
      <w:pPr>
        <w:pStyle w:val="33"/>
        <w:rPr>
          <w:color w:val="auto"/>
        </w:rPr>
      </w:pPr>
      <w:r>
        <w:rPr>
          <w:color w:val="auto"/>
        </w:rPr>
        <w:t>监测因子：非甲烷总烃</w:t>
      </w:r>
    </w:p>
    <w:p>
      <w:pPr>
        <w:pStyle w:val="33"/>
        <w:rPr>
          <w:color w:val="auto"/>
        </w:rPr>
      </w:pPr>
      <w:r>
        <w:rPr>
          <w:color w:val="auto"/>
        </w:rPr>
        <w:t>监测方法：采样与分析方法按《环境监测技术规范》和《空气和废气的监测方法》进行，监测项目分析方法具体见</w:t>
      </w:r>
      <w:r>
        <w:rPr>
          <w:rFonts w:hint="eastAsia"/>
          <w:color w:val="auto"/>
        </w:rPr>
        <w:t>下</w:t>
      </w:r>
      <w:r>
        <w:rPr>
          <w:color w:val="auto"/>
        </w:rPr>
        <w:t>表。</w:t>
      </w:r>
    </w:p>
    <w:p>
      <w:pPr>
        <w:pStyle w:val="7"/>
        <w:numPr>
          <w:ilvl w:val="4"/>
          <w:numId w:val="2"/>
        </w:numPr>
        <w:bidi w:val="0"/>
        <w:rPr>
          <w:color w:val="auto"/>
        </w:rPr>
      </w:pPr>
      <w:r>
        <w:rPr>
          <w:rFonts w:hint="eastAsia"/>
          <w:color w:val="auto"/>
        </w:rPr>
        <w:t>空气环境监测项目分析方法</w:t>
      </w:r>
    </w:p>
    <w:tbl>
      <w:tblPr>
        <w:tblStyle w:val="34"/>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128"/>
        <w:gridCol w:w="3405"/>
        <w:gridCol w:w="2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序号</w:t>
            </w:r>
          </w:p>
        </w:tc>
        <w:tc>
          <w:tcPr>
            <w:tcW w:w="2128"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分析项目</w:t>
            </w:r>
          </w:p>
        </w:tc>
        <w:tc>
          <w:tcPr>
            <w:tcW w:w="3405"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监测方法</w:t>
            </w:r>
          </w:p>
        </w:tc>
        <w:tc>
          <w:tcPr>
            <w:tcW w:w="2710"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1</w:t>
            </w:r>
          </w:p>
        </w:tc>
        <w:tc>
          <w:tcPr>
            <w:tcW w:w="2128"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非甲烷总烃</w:t>
            </w:r>
          </w:p>
        </w:tc>
        <w:tc>
          <w:tcPr>
            <w:tcW w:w="3405"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环境空气总烃、甲烷和非甲烷总烃的测定 直接进样-气相色谱法</w:t>
            </w:r>
          </w:p>
        </w:tc>
        <w:tc>
          <w:tcPr>
            <w:tcW w:w="2710" w:type="dxa"/>
            <w:shd w:val="clear" w:color="auto" w:fill="auto"/>
            <w:vAlign w:val="center"/>
          </w:tcPr>
          <w:p>
            <w:pPr>
              <w:keepNext w:val="0"/>
              <w:keepLines w:val="0"/>
              <w:suppressLineNumbers w:val="0"/>
              <w:spacing w:before="0" w:beforeAutospacing="0" w:after="0" w:afterAutospacing="0"/>
              <w:ind w:left="0" w:right="0"/>
              <w:rPr>
                <w:rFonts w:hint="default"/>
                <w:color w:val="auto"/>
              </w:rPr>
            </w:pPr>
            <w:r>
              <w:rPr>
                <w:rFonts w:hint="default"/>
                <w:color w:val="auto"/>
              </w:rPr>
              <w:t>HJ604-2017</w:t>
            </w:r>
          </w:p>
        </w:tc>
      </w:tr>
    </w:tbl>
    <w:p>
      <w:pPr>
        <w:pStyle w:val="33"/>
        <w:rPr>
          <w:color w:val="auto"/>
        </w:rPr>
      </w:pPr>
      <w:r>
        <w:rPr>
          <w:color w:val="auto"/>
        </w:rPr>
        <w:t>（3）监测时间和频率</w:t>
      </w:r>
    </w:p>
    <w:p>
      <w:pPr>
        <w:pStyle w:val="33"/>
        <w:rPr>
          <w:color w:val="auto"/>
          <w:kern w:val="2"/>
        </w:rPr>
      </w:pPr>
      <w:r>
        <w:rPr>
          <w:color w:val="auto"/>
        </w:rPr>
        <w:t>202</w:t>
      </w:r>
      <w:r>
        <w:rPr>
          <w:rFonts w:hint="eastAsia"/>
          <w:color w:val="auto"/>
          <w:lang w:val="en-US" w:eastAsia="zh-CN"/>
        </w:rPr>
        <w:t>2</w:t>
      </w:r>
      <w:r>
        <w:rPr>
          <w:color w:val="auto"/>
        </w:rPr>
        <w:t>年</w:t>
      </w:r>
      <w:r>
        <w:rPr>
          <w:rFonts w:hint="eastAsia"/>
          <w:color w:val="auto"/>
        </w:rPr>
        <w:t>3</w:t>
      </w:r>
      <w:r>
        <w:rPr>
          <w:color w:val="auto"/>
        </w:rPr>
        <w:t>月</w:t>
      </w:r>
      <w:r>
        <w:rPr>
          <w:rFonts w:hint="eastAsia"/>
          <w:color w:val="auto"/>
        </w:rPr>
        <w:t>2</w:t>
      </w:r>
      <w:r>
        <w:rPr>
          <w:rFonts w:hint="eastAsia"/>
          <w:color w:val="auto"/>
          <w:lang w:val="en-US" w:eastAsia="zh-CN"/>
        </w:rPr>
        <w:t>2</w:t>
      </w:r>
      <w:r>
        <w:rPr>
          <w:color w:val="auto"/>
        </w:rPr>
        <w:t>日~</w:t>
      </w:r>
      <w:r>
        <w:rPr>
          <w:rFonts w:hint="eastAsia"/>
          <w:color w:val="auto"/>
          <w:lang w:val="en-US" w:eastAsia="zh-CN"/>
        </w:rPr>
        <w:t>3</w:t>
      </w:r>
      <w:r>
        <w:rPr>
          <w:rFonts w:hint="eastAsia"/>
          <w:color w:val="auto"/>
        </w:rPr>
        <w:t>月</w:t>
      </w:r>
      <w:r>
        <w:rPr>
          <w:rFonts w:hint="eastAsia"/>
          <w:color w:val="auto"/>
          <w:lang w:val="en-US" w:eastAsia="zh-CN"/>
        </w:rPr>
        <w:t>28</w:t>
      </w:r>
      <w:r>
        <w:rPr>
          <w:color w:val="auto"/>
        </w:rPr>
        <w:t>日</w:t>
      </w:r>
      <w:r>
        <w:rPr>
          <w:rFonts w:hint="eastAsia"/>
          <w:color w:val="auto"/>
        </w:rPr>
        <w:t>，</w:t>
      </w:r>
      <w:r>
        <w:rPr>
          <w:color w:val="auto"/>
        </w:rPr>
        <w:t>连续监测7天，每天监测4次。</w:t>
      </w:r>
      <w:r>
        <w:rPr>
          <w:color w:val="auto"/>
          <w:kern w:val="2"/>
        </w:rPr>
        <w:drawing>
          <wp:anchor distT="0" distB="0" distL="114300" distR="114300" simplePos="0" relativeHeight="251659264" behindDoc="0" locked="0" layoutInCell="1" allowOverlap="1">
            <wp:simplePos x="0" y="0"/>
            <wp:positionH relativeFrom="column">
              <wp:posOffset>10563225</wp:posOffset>
            </wp:positionH>
            <wp:positionV relativeFrom="paragraph">
              <wp:posOffset>-8030210</wp:posOffset>
            </wp:positionV>
            <wp:extent cx="492760" cy="982345"/>
            <wp:effectExtent l="0" t="0" r="0" b="0"/>
            <wp:wrapNone/>
            <wp:docPr id="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2760" cy="982345"/>
                    </a:xfrm>
                    <a:prstGeom prst="rect">
                      <a:avLst/>
                    </a:prstGeom>
                    <a:noFill/>
                  </pic:spPr>
                </pic:pic>
              </a:graphicData>
            </a:graphic>
          </wp:anchor>
        </w:drawing>
      </w:r>
    </w:p>
    <w:p>
      <w:pPr>
        <w:adjustRightInd w:val="0"/>
        <w:snapToGrid w:val="0"/>
        <w:spacing w:line="480" w:lineRule="exact"/>
        <w:ind w:firstLine="560"/>
        <w:jc w:val="left"/>
        <w:rPr>
          <w:rFonts w:hint="eastAsia" w:eastAsia="宋体"/>
          <w:color w:val="auto"/>
          <w:sz w:val="28"/>
          <w:szCs w:val="28"/>
          <w:lang w:val="en-US" w:eastAsia="zh-CN"/>
        </w:rPr>
      </w:pPr>
      <w:r>
        <w:rPr>
          <w:color w:val="auto"/>
          <w:sz w:val="28"/>
          <w:szCs w:val="28"/>
        </w:rPr>
        <w:t>（4）监测结果</w:t>
      </w:r>
      <w:r>
        <w:rPr>
          <w:rFonts w:hint="eastAsia"/>
          <w:color w:val="auto"/>
          <w:sz w:val="28"/>
          <w:szCs w:val="28"/>
          <w:lang w:eastAsia="zh-CN"/>
        </w:rPr>
        <w:t>统计分析</w:t>
      </w:r>
    </w:p>
    <w:p>
      <w:pPr>
        <w:pStyle w:val="7"/>
        <w:numPr>
          <w:ilvl w:val="4"/>
          <w:numId w:val="2"/>
        </w:numPr>
        <w:bidi w:val="0"/>
        <w:rPr>
          <w:rFonts w:hint="eastAsia"/>
          <w:color w:val="auto"/>
        </w:rPr>
      </w:pPr>
      <w:r>
        <w:rPr>
          <w:rFonts w:hint="eastAsia"/>
          <w:color w:val="auto"/>
        </w:rPr>
        <w:t>大气环境质量现状监测结果   单位：mg/m3</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997"/>
        <w:gridCol w:w="933"/>
        <w:gridCol w:w="869"/>
        <w:gridCol w:w="680"/>
        <w:gridCol w:w="950"/>
        <w:gridCol w:w="1240"/>
        <w:gridCol w:w="1052"/>
        <w:gridCol w:w="684"/>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125" w:type="dxa"/>
            <w:vMerge w:val="restart"/>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监测点位</w:t>
            </w:r>
          </w:p>
        </w:tc>
        <w:tc>
          <w:tcPr>
            <w:tcW w:w="1930" w:type="dxa"/>
            <w:gridSpan w:val="2"/>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监测点坐标</w:t>
            </w:r>
          </w:p>
        </w:tc>
        <w:tc>
          <w:tcPr>
            <w:tcW w:w="869" w:type="dxa"/>
            <w:vMerge w:val="restart"/>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污染物</w:t>
            </w:r>
          </w:p>
        </w:tc>
        <w:tc>
          <w:tcPr>
            <w:tcW w:w="680" w:type="dxa"/>
            <w:vMerge w:val="restart"/>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平均时间</w:t>
            </w:r>
          </w:p>
        </w:tc>
        <w:tc>
          <w:tcPr>
            <w:tcW w:w="950" w:type="dxa"/>
            <w:vMerge w:val="restart"/>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评价标准</w:t>
            </w:r>
            <w:r>
              <w:rPr>
                <w:rFonts w:hint="default"/>
                <w:color w:val="auto"/>
              </w:rPr>
              <w:t>mg/m</w:t>
            </w:r>
            <w:r>
              <w:rPr>
                <w:rFonts w:hint="default"/>
                <w:color w:val="auto"/>
                <w:vertAlign w:val="superscript"/>
              </w:rPr>
              <w:t>3</w:t>
            </w:r>
          </w:p>
        </w:tc>
        <w:tc>
          <w:tcPr>
            <w:tcW w:w="1240" w:type="dxa"/>
            <w:vMerge w:val="restart"/>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监测浓度范围</w:t>
            </w:r>
            <w:r>
              <w:rPr>
                <w:rFonts w:hint="default"/>
                <w:color w:val="auto"/>
              </w:rPr>
              <w:t>mg/m</w:t>
            </w:r>
            <w:r>
              <w:rPr>
                <w:rFonts w:hint="default"/>
                <w:color w:val="auto"/>
                <w:vertAlign w:val="superscript"/>
              </w:rPr>
              <w:t>3</w:t>
            </w:r>
          </w:p>
        </w:tc>
        <w:tc>
          <w:tcPr>
            <w:tcW w:w="1052" w:type="dxa"/>
            <w:vMerge w:val="restart"/>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最大浓度占标率</w:t>
            </w:r>
            <w:r>
              <w:rPr>
                <w:rFonts w:hint="default"/>
                <w:color w:val="auto"/>
              </w:rPr>
              <w:t>%</w:t>
            </w:r>
          </w:p>
        </w:tc>
        <w:tc>
          <w:tcPr>
            <w:tcW w:w="684" w:type="dxa"/>
            <w:vMerge w:val="restart"/>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超标率</w:t>
            </w:r>
            <w:r>
              <w:rPr>
                <w:rFonts w:hint="default"/>
                <w:color w:val="auto"/>
              </w:rPr>
              <w:t>%</w:t>
            </w:r>
          </w:p>
        </w:tc>
        <w:tc>
          <w:tcPr>
            <w:tcW w:w="757" w:type="dxa"/>
            <w:vMerge w:val="restart"/>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exact"/>
          <w:jc w:val="center"/>
        </w:trPr>
        <w:tc>
          <w:tcPr>
            <w:tcW w:w="1125"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997"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经度</w:t>
            </w:r>
          </w:p>
        </w:tc>
        <w:tc>
          <w:tcPr>
            <w:tcW w:w="933"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纬度</w:t>
            </w:r>
          </w:p>
        </w:tc>
        <w:tc>
          <w:tcPr>
            <w:tcW w:w="869"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680"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950"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240"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05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684"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757"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5" w:type="dxa"/>
            <w:noWrap w:val="0"/>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eastAsia"/>
                <w:color w:val="auto"/>
                <w:sz w:val="20"/>
                <w:szCs w:val="20"/>
              </w:rPr>
              <w:t>拟建钻井井</w:t>
            </w:r>
            <w:r>
              <w:rPr>
                <w:rFonts w:hint="default"/>
                <w:color w:val="auto"/>
                <w:sz w:val="20"/>
                <w:szCs w:val="20"/>
              </w:rPr>
              <w:t>场</w:t>
            </w:r>
          </w:p>
        </w:tc>
        <w:tc>
          <w:tcPr>
            <w:tcW w:w="997" w:type="dxa"/>
            <w:noWrap w:val="0"/>
            <w:vAlign w:val="center"/>
          </w:tcPr>
          <w:p>
            <w:pPr>
              <w:keepNext w:val="0"/>
              <w:keepLines w:val="0"/>
              <w:widowControl/>
              <w:suppressLineNumbers w:val="0"/>
              <w:spacing w:before="0" w:beforeAutospacing="0" w:after="0" w:afterAutospacing="0"/>
              <w:ind w:left="0" w:right="0"/>
              <w:jc w:val="left"/>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125°16'51.9753"</w:t>
            </w:r>
          </w:p>
        </w:tc>
        <w:tc>
          <w:tcPr>
            <w:tcW w:w="933" w:type="dxa"/>
            <w:noWrap w:val="0"/>
            <w:vAlign w:val="center"/>
          </w:tcPr>
          <w:p>
            <w:pPr>
              <w:keepNext w:val="0"/>
              <w:keepLines w:val="0"/>
              <w:widowControl/>
              <w:suppressLineNumbers w:val="0"/>
              <w:spacing w:before="0" w:beforeAutospacing="0" w:after="0" w:afterAutospacing="0"/>
              <w:ind w:left="0" w:right="0"/>
              <w:jc w:val="left"/>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46°13'24.0488"</w:t>
            </w:r>
          </w:p>
        </w:tc>
        <w:tc>
          <w:tcPr>
            <w:tcW w:w="869"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非甲烷总烃</w:t>
            </w:r>
          </w:p>
        </w:tc>
        <w:tc>
          <w:tcPr>
            <w:tcW w:w="680"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color w:val="auto"/>
              </w:rPr>
              <w:t>1h</w:t>
            </w:r>
          </w:p>
        </w:tc>
        <w:tc>
          <w:tcPr>
            <w:tcW w:w="950"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240" w:type="dxa"/>
            <w:noWrap w:val="0"/>
            <w:vAlign w:val="center"/>
          </w:tcPr>
          <w:p>
            <w:pPr>
              <w:pStyle w:val="8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0.42~</w:t>
            </w:r>
            <w:r>
              <w:rPr>
                <w:rFonts w:hint="default"/>
                <w:color w:val="auto"/>
              </w:rPr>
              <w:t>0.</w:t>
            </w:r>
            <w:r>
              <w:rPr>
                <w:rFonts w:hint="eastAsia"/>
                <w:color w:val="auto"/>
                <w:lang w:val="en-US" w:eastAsia="zh-CN"/>
              </w:rPr>
              <w:t>68</w:t>
            </w:r>
          </w:p>
        </w:tc>
        <w:tc>
          <w:tcPr>
            <w:tcW w:w="1052" w:type="dxa"/>
            <w:noWrap w:val="0"/>
            <w:vAlign w:val="center"/>
          </w:tcPr>
          <w:p>
            <w:pPr>
              <w:pStyle w:val="8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34</w:t>
            </w:r>
          </w:p>
        </w:tc>
        <w:tc>
          <w:tcPr>
            <w:tcW w:w="684"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color w:val="auto"/>
              </w:rPr>
              <w:t>0</w:t>
            </w:r>
          </w:p>
        </w:tc>
        <w:tc>
          <w:tcPr>
            <w:tcW w:w="757"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hAnsi="宋体"/>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25" w:type="dxa"/>
            <w:noWrap w:val="0"/>
            <w:vAlign w:val="center"/>
          </w:tcPr>
          <w:p>
            <w:pPr>
              <w:keepNext w:val="0"/>
              <w:keepLines w:val="0"/>
              <w:suppressLineNumbers w:val="0"/>
              <w:spacing w:before="0" w:beforeAutospacing="0" w:after="0" w:afterAutospacing="0"/>
              <w:ind w:left="0" w:right="0"/>
              <w:jc w:val="center"/>
              <w:rPr>
                <w:rFonts w:hint="default"/>
                <w:color w:val="auto"/>
                <w:sz w:val="18"/>
                <w:szCs w:val="18"/>
              </w:rPr>
            </w:pPr>
            <w:r>
              <w:rPr>
                <w:rFonts w:hint="eastAsia"/>
                <w:color w:val="auto"/>
                <w:sz w:val="20"/>
                <w:szCs w:val="20"/>
                <w:lang w:val="en-US" w:eastAsia="zh-CN"/>
              </w:rPr>
              <w:t>拥护村</w:t>
            </w:r>
          </w:p>
        </w:tc>
        <w:tc>
          <w:tcPr>
            <w:tcW w:w="997" w:type="dxa"/>
            <w:noWrap w:val="0"/>
            <w:vAlign w:val="center"/>
          </w:tcPr>
          <w:p>
            <w:pPr>
              <w:keepNext w:val="0"/>
              <w:keepLines w:val="0"/>
              <w:widowControl/>
              <w:suppressLineNumbers w:val="0"/>
              <w:spacing w:before="0" w:beforeAutospacing="0" w:after="0" w:afterAutospacing="0"/>
              <w:ind w:left="0" w:right="0"/>
              <w:jc w:val="left"/>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125°18'30.4310"</w:t>
            </w:r>
          </w:p>
        </w:tc>
        <w:tc>
          <w:tcPr>
            <w:tcW w:w="933" w:type="dxa"/>
            <w:noWrap w:val="0"/>
            <w:vAlign w:val="center"/>
          </w:tcPr>
          <w:p>
            <w:pPr>
              <w:keepNext w:val="0"/>
              <w:keepLines w:val="0"/>
              <w:widowControl/>
              <w:suppressLineNumbers w:val="0"/>
              <w:spacing w:before="0" w:beforeAutospacing="0" w:after="0" w:afterAutospacing="0"/>
              <w:ind w:left="0" w:right="0"/>
              <w:jc w:val="left"/>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46°12'54.1457"</w:t>
            </w:r>
          </w:p>
        </w:tc>
        <w:tc>
          <w:tcPr>
            <w:tcW w:w="869" w:type="dxa"/>
            <w:noWrap w:val="0"/>
            <w:vAlign w:val="center"/>
          </w:tcPr>
          <w:p>
            <w:pPr>
              <w:pStyle w:val="81"/>
              <w:keepNext w:val="0"/>
              <w:keepLines w:val="0"/>
              <w:suppressLineNumbers w:val="0"/>
              <w:spacing w:before="0" w:beforeAutospacing="0" w:after="0" w:afterAutospacing="0"/>
              <w:ind w:left="0" w:right="0"/>
              <w:rPr>
                <w:rFonts w:hint="default" w:hAnsi="宋体"/>
                <w:color w:val="auto"/>
              </w:rPr>
            </w:pPr>
            <w:r>
              <w:rPr>
                <w:rFonts w:hint="default" w:hAnsi="宋体"/>
                <w:color w:val="auto"/>
              </w:rPr>
              <w:t>非甲烷总烃</w:t>
            </w:r>
          </w:p>
        </w:tc>
        <w:tc>
          <w:tcPr>
            <w:tcW w:w="680"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color w:val="auto"/>
              </w:rPr>
              <w:t>1h</w:t>
            </w:r>
          </w:p>
        </w:tc>
        <w:tc>
          <w:tcPr>
            <w:tcW w:w="950"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color w:val="auto"/>
              </w:rPr>
              <w:t>2</w:t>
            </w:r>
          </w:p>
        </w:tc>
        <w:tc>
          <w:tcPr>
            <w:tcW w:w="1240" w:type="dxa"/>
            <w:noWrap w:val="0"/>
            <w:vAlign w:val="center"/>
          </w:tcPr>
          <w:p>
            <w:pPr>
              <w:pStyle w:val="8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0.44~0.68</w:t>
            </w:r>
          </w:p>
        </w:tc>
        <w:tc>
          <w:tcPr>
            <w:tcW w:w="1052" w:type="dxa"/>
            <w:noWrap w:val="0"/>
            <w:vAlign w:val="center"/>
          </w:tcPr>
          <w:p>
            <w:pPr>
              <w:pStyle w:val="81"/>
              <w:keepNext w:val="0"/>
              <w:keepLines w:val="0"/>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34</w:t>
            </w:r>
          </w:p>
        </w:tc>
        <w:tc>
          <w:tcPr>
            <w:tcW w:w="684" w:type="dxa"/>
            <w:noWrap w:val="0"/>
            <w:vAlign w:val="center"/>
          </w:tcPr>
          <w:p>
            <w:pPr>
              <w:pStyle w:val="81"/>
              <w:keepNext w:val="0"/>
              <w:keepLines w:val="0"/>
              <w:suppressLineNumbers w:val="0"/>
              <w:spacing w:before="0" w:beforeAutospacing="0" w:after="0" w:afterAutospacing="0"/>
              <w:ind w:left="0" w:right="0"/>
              <w:rPr>
                <w:rFonts w:hint="default"/>
                <w:color w:val="auto"/>
              </w:rPr>
            </w:pPr>
            <w:r>
              <w:rPr>
                <w:rFonts w:hint="default"/>
                <w:color w:val="auto"/>
              </w:rPr>
              <w:t>0</w:t>
            </w:r>
          </w:p>
        </w:tc>
        <w:tc>
          <w:tcPr>
            <w:tcW w:w="757" w:type="dxa"/>
            <w:noWrap w:val="0"/>
            <w:vAlign w:val="center"/>
          </w:tcPr>
          <w:p>
            <w:pPr>
              <w:pStyle w:val="81"/>
              <w:keepNext w:val="0"/>
              <w:keepLines w:val="0"/>
              <w:suppressLineNumbers w:val="0"/>
              <w:spacing w:before="0" w:beforeAutospacing="0" w:after="0" w:afterAutospacing="0"/>
              <w:ind w:left="0" w:right="0"/>
              <w:rPr>
                <w:rFonts w:hint="default" w:hAnsi="宋体"/>
                <w:color w:val="auto"/>
              </w:rPr>
            </w:pPr>
            <w:r>
              <w:rPr>
                <w:rFonts w:hint="default" w:hAnsi="宋体"/>
                <w:color w:val="auto"/>
              </w:rPr>
              <w:t>达标</w:t>
            </w:r>
          </w:p>
        </w:tc>
      </w:tr>
    </w:tbl>
    <w:p>
      <w:pPr>
        <w:pStyle w:val="5"/>
        <w:numPr>
          <w:ilvl w:val="2"/>
          <w:numId w:val="2"/>
        </w:numPr>
        <w:spacing w:before="156" w:after="156"/>
        <w:rPr>
          <w:color w:val="auto"/>
        </w:rPr>
      </w:pPr>
      <w:bookmarkStart w:id="503" w:name="_Toc27343"/>
      <w:bookmarkStart w:id="504" w:name="_Toc49174833"/>
      <w:bookmarkStart w:id="505" w:name="_Toc16047"/>
      <w:bookmarkStart w:id="506" w:name="_Toc6997"/>
      <w:bookmarkStart w:id="507" w:name="_Toc19788"/>
      <w:bookmarkStart w:id="508" w:name="_Toc49175008"/>
      <w:bookmarkStart w:id="509" w:name="_Toc17006"/>
      <w:r>
        <w:rPr>
          <w:color w:val="auto"/>
        </w:rPr>
        <w:t>地下水环境现状调查与评价</w:t>
      </w:r>
      <w:bookmarkEnd w:id="503"/>
      <w:bookmarkEnd w:id="504"/>
      <w:bookmarkEnd w:id="505"/>
      <w:bookmarkEnd w:id="506"/>
      <w:bookmarkEnd w:id="507"/>
      <w:bookmarkEnd w:id="508"/>
      <w:bookmarkEnd w:id="509"/>
    </w:p>
    <w:p>
      <w:pPr>
        <w:pStyle w:val="6"/>
        <w:numPr>
          <w:ilvl w:val="3"/>
          <w:numId w:val="2"/>
        </w:numPr>
        <w:spacing w:before="156" w:after="156"/>
        <w:rPr>
          <w:color w:val="auto"/>
        </w:rPr>
      </w:pPr>
      <w:r>
        <w:rPr>
          <w:color w:val="auto"/>
        </w:rPr>
        <w:t>地下水现状监测</w:t>
      </w:r>
    </w:p>
    <w:p>
      <w:pPr>
        <w:pStyle w:val="33"/>
        <w:rPr>
          <w:color w:val="auto"/>
        </w:rPr>
      </w:pPr>
      <w:r>
        <w:rPr>
          <w:color w:val="auto"/>
        </w:rPr>
        <w:t>（1）监测点位布设</w:t>
      </w:r>
    </w:p>
    <w:p>
      <w:pPr>
        <w:adjustRightInd w:val="0"/>
        <w:snapToGrid w:val="0"/>
        <w:spacing w:line="480" w:lineRule="exact"/>
        <w:ind w:firstLine="560"/>
        <w:rPr>
          <w:color w:val="auto"/>
          <w:sz w:val="28"/>
          <w:szCs w:val="28"/>
        </w:rPr>
      </w:pPr>
      <w:r>
        <w:rPr>
          <w:rStyle w:val="85"/>
          <w:rFonts w:hint="eastAsia"/>
          <w:color w:val="auto"/>
        </w:rPr>
        <w:t>为了了解区域地下水环境现状，按导则要求，原则上建设项目场地上游及其下游影响区的地下水水质监测点各不得少于1个。本次监测在项目场地地下水流向的上游布设了1个监测点，侧方向布设了1个监测点，下游布设了</w:t>
      </w:r>
      <w:r>
        <w:rPr>
          <w:rStyle w:val="85"/>
          <w:rFonts w:hint="eastAsia"/>
          <w:color w:val="auto"/>
          <w:lang w:val="en-US" w:eastAsia="zh-CN"/>
        </w:rPr>
        <w:t>2</w:t>
      </w:r>
      <w:r>
        <w:rPr>
          <w:rStyle w:val="85"/>
          <w:rFonts w:hint="eastAsia"/>
          <w:color w:val="auto"/>
        </w:rPr>
        <w:t>个监测点，符合导则要求。具体水质监测点布设见表4.3-6及</w:t>
      </w:r>
      <w:r>
        <w:rPr>
          <w:rStyle w:val="85"/>
          <w:rFonts w:hint="eastAsia"/>
          <w:color w:val="auto"/>
          <w:lang w:eastAsia="zh-CN"/>
        </w:rPr>
        <w:t>附</w:t>
      </w:r>
      <w:r>
        <w:rPr>
          <w:rStyle w:val="85"/>
          <w:rFonts w:hint="eastAsia"/>
          <w:color w:val="auto"/>
        </w:rPr>
        <w:t>图4.3-1，水位监测点和监测结果见表4.3-</w:t>
      </w:r>
      <w:r>
        <w:rPr>
          <w:rStyle w:val="85"/>
          <w:rFonts w:hint="eastAsia"/>
          <w:color w:val="auto"/>
          <w:lang w:val="en-US" w:eastAsia="zh-CN"/>
        </w:rPr>
        <w:t>5~4.3-6</w:t>
      </w:r>
      <w:r>
        <w:rPr>
          <w:rStyle w:val="85"/>
          <w:rFonts w:hint="eastAsia"/>
          <w:color w:val="auto"/>
        </w:rPr>
        <w:t>。</w:t>
      </w:r>
      <w:r>
        <w:rPr>
          <w:color w:val="auto"/>
          <w:sz w:val="28"/>
          <w:szCs w:val="28"/>
        </w:rPr>
        <w:t>。</w:t>
      </w:r>
    </w:p>
    <w:p>
      <w:pPr>
        <w:pStyle w:val="7"/>
        <w:numPr>
          <w:ilvl w:val="4"/>
          <w:numId w:val="2"/>
        </w:numPr>
        <w:bidi w:val="0"/>
        <w:rPr>
          <w:color w:val="auto"/>
        </w:rPr>
      </w:pPr>
      <w:r>
        <w:rPr>
          <w:rFonts w:hint="eastAsia"/>
          <w:color w:val="auto"/>
        </w:rPr>
        <w:t>地下水水质现状监测点位</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718"/>
        <w:gridCol w:w="2304"/>
        <w:gridCol w:w="1664"/>
        <w:gridCol w:w="1474"/>
        <w:gridCol w:w="760"/>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blHeader/>
          <w:jc w:val="center"/>
        </w:trPr>
        <w:tc>
          <w:tcPr>
            <w:tcW w:w="61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序号</w:t>
            </w:r>
          </w:p>
        </w:tc>
        <w:tc>
          <w:tcPr>
            <w:tcW w:w="1718"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地  点</w:t>
            </w:r>
          </w:p>
        </w:tc>
        <w:tc>
          <w:tcPr>
            <w:tcW w:w="230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位  置</w:t>
            </w:r>
          </w:p>
        </w:tc>
        <w:tc>
          <w:tcPr>
            <w:tcW w:w="3138"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经纬度</w:t>
            </w:r>
          </w:p>
        </w:tc>
        <w:tc>
          <w:tcPr>
            <w:tcW w:w="76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井深</w:t>
            </w:r>
          </w:p>
          <w:p>
            <w:pPr>
              <w:keepNext w:val="0"/>
              <w:keepLines w:val="0"/>
              <w:suppressLineNumbers w:val="0"/>
              <w:spacing w:before="0" w:beforeAutospacing="0" w:after="0" w:afterAutospacing="0"/>
              <w:ind w:left="0" w:right="0"/>
              <w:jc w:val="center"/>
              <w:rPr>
                <w:rFonts w:hint="default"/>
                <w:color w:val="auto"/>
              </w:rPr>
            </w:pPr>
            <w:r>
              <w:rPr>
                <w:rFonts w:hint="default"/>
                <w:color w:val="auto"/>
              </w:rPr>
              <w:t>（m）</w:t>
            </w:r>
          </w:p>
        </w:tc>
        <w:tc>
          <w:tcPr>
            <w:tcW w:w="75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地下水类型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D1</w:t>
            </w:r>
          </w:p>
        </w:tc>
        <w:tc>
          <w:tcPr>
            <w:tcW w:w="1718" w:type="dxa"/>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rPr>
            </w:pPr>
            <w:r>
              <w:rPr>
                <w:rFonts w:hint="eastAsia"/>
                <w:color w:val="auto"/>
                <w:sz w:val="20"/>
                <w:szCs w:val="20"/>
              </w:rPr>
              <w:t>白家屯</w:t>
            </w:r>
            <w:r>
              <w:rPr>
                <w:rFonts w:hint="eastAsia"/>
                <w:color w:val="auto"/>
                <w:sz w:val="20"/>
                <w:szCs w:val="20"/>
                <w:lang w:eastAsia="zh-CN"/>
              </w:rPr>
              <w:t>潜水</w:t>
            </w:r>
            <w:r>
              <w:rPr>
                <w:rFonts w:hint="default"/>
                <w:color w:val="auto"/>
                <w:sz w:val="20"/>
                <w:szCs w:val="20"/>
              </w:rPr>
              <w:t>水井</w:t>
            </w:r>
          </w:p>
        </w:tc>
        <w:tc>
          <w:tcPr>
            <w:tcW w:w="2304" w:type="dxa"/>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rPr>
            </w:pPr>
            <w:r>
              <w:rPr>
                <w:rFonts w:hint="eastAsia"/>
                <w:color w:val="auto"/>
                <w:sz w:val="20"/>
                <w:szCs w:val="20"/>
              </w:rPr>
              <w:t>距离D井场北侧331m</w:t>
            </w:r>
          </w:p>
        </w:tc>
        <w:tc>
          <w:tcPr>
            <w:tcW w:w="16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color w:val="auto"/>
                <w:kern w:val="0"/>
                <w:sz w:val="20"/>
                <w:szCs w:val="20"/>
                <w:u w:val="none"/>
                <w:lang w:val="en-US" w:eastAsia="zh-CN" w:bidi="ar"/>
              </w:rPr>
              <w:t>125°17'41.3431"</w:t>
            </w:r>
          </w:p>
        </w:tc>
        <w:tc>
          <w:tcPr>
            <w:tcW w:w="147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color w:val="auto"/>
                <w:kern w:val="0"/>
                <w:sz w:val="20"/>
                <w:szCs w:val="20"/>
                <w:u w:val="none"/>
                <w:lang w:val="en-US" w:eastAsia="zh-CN" w:bidi="ar"/>
              </w:rPr>
              <w:t>46°12'56.5303"</w:t>
            </w:r>
          </w:p>
        </w:tc>
        <w:tc>
          <w:tcPr>
            <w:tcW w:w="76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28</w:t>
            </w:r>
          </w:p>
        </w:tc>
        <w:tc>
          <w:tcPr>
            <w:tcW w:w="75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D2</w:t>
            </w:r>
          </w:p>
        </w:tc>
        <w:tc>
          <w:tcPr>
            <w:tcW w:w="1718" w:type="dxa"/>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rPr>
            </w:pPr>
            <w:r>
              <w:rPr>
                <w:rFonts w:hint="eastAsia"/>
                <w:color w:val="auto"/>
                <w:sz w:val="20"/>
                <w:szCs w:val="20"/>
              </w:rPr>
              <w:t>升平镇</w:t>
            </w:r>
            <w:r>
              <w:rPr>
                <w:rFonts w:hint="eastAsia"/>
                <w:color w:val="auto"/>
                <w:sz w:val="20"/>
                <w:szCs w:val="20"/>
                <w:lang w:eastAsia="zh-CN"/>
              </w:rPr>
              <w:t>潜水</w:t>
            </w:r>
            <w:r>
              <w:rPr>
                <w:rFonts w:hint="default"/>
                <w:color w:val="auto"/>
                <w:sz w:val="20"/>
                <w:szCs w:val="20"/>
              </w:rPr>
              <w:t>水井</w:t>
            </w:r>
          </w:p>
        </w:tc>
        <w:tc>
          <w:tcPr>
            <w:tcW w:w="2304" w:type="dxa"/>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rPr>
            </w:pPr>
            <w:r>
              <w:rPr>
                <w:rFonts w:hint="eastAsia"/>
                <w:color w:val="auto"/>
                <w:sz w:val="20"/>
                <w:szCs w:val="20"/>
              </w:rPr>
              <w:t>距离H井场北侧374m</w:t>
            </w:r>
          </w:p>
        </w:tc>
        <w:tc>
          <w:tcPr>
            <w:tcW w:w="16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color w:val="auto"/>
                <w:kern w:val="0"/>
                <w:sz w:val="20"/>
                <w:szCs w:val="20"/>
                <w:u w:val="none"/>
                <w:lang w:val="en-US" w:eastAsia="zh-CN" w:bidi="ar"/>
              </w:rPr>
              <w:t>125°16'31.7033"</w:t>
            </w:r>
          </w:p>
        </w:tc>
        <w:tc>
          <w:tcPr>
            <w:tcW w:w="147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color w:val="auto"/>
                <w:kern w:val="0"/>
                <w:sz w:val="20"/>
                <w:szCs w:val="20"/>
                <w:u w:val="none"/>
                <w:lang w:val="en-US" w:eastAsia="zh-CN" w:bidi="ar"/>
              </w:rPr>
              <w:t>46°12'52.1826"</w:t>
            </w:r>
          </w:p>
        </w:tc>
        <w:tc>
          <w:tcPr>
            <w:tcW w:w="76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27</w:t>
            </w:r>
          </w:p>
        </w:tc>
        <w:tc>
          <w:tcPr>
            <w:tcW w:w="75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D3</w:t>
            </w:r>
          </w:p>
        </w:tc>
        <w:tc>
          <w:tcPr>
            <w:tcW w:w="1718" w:type="dxa"/>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rPr>
            </w:pPr>
            <w:r>
              <w:rPr>
                <w:rFonts w:hint="eastAsia"/>
                <w:color w:val="auto"/>
                <w:sz w:val="20"/>
                <w:szCs w:val="20"/>
                <w:lang w:val="en-US" w:eastAsia="zh-CN"/>
              </w:rPr>
              <w:t>新立屯</w:t>
            </w:r>
            <w:r>
              <w:rPr>
                <w:rFonts w:hint="eastAsia"/>
                <w:color w:val="auto"/>
                <w:sz w:val="20"/>
                <w:szCs w:val="20"/>
                <w:lang w:eastAsia="zh-CN"/>
              </w:rPr>
              <w:t>潜水</w:t>
            </w:r>
            <w:r>
              <w:rPr>
                <w:rFonts w:hint="default"/>
                <w:color w:val="auto"/>
                <w:sz w:val="20"/>
                <w:szCs w:val="20"/>
              </w:rPr>
              <w:t>水井</w:t>
            </w:r>
          </w:p>
        </w:tc>
        <w:tc>
          <w:tcPr>
            <w:tcW w:w="2304" w:type="dxa"/>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rPr>
            </w:pPr>
            <w:r>
              <w:rPr>
                <w:rFonts w:hint="eastAsia"/>
                <w:color w:val="auto"/>
                <w:sz w:val="20"/>
                <w:szCs w:val="20"/>
              </w:rPr>
              <w:t>距离H井场西北侧308m</w:t>
            </w:r>
          </w:p>
        </w:tc>
        <w:tc>
          <w:tcPr>
            <w:tcW w:w="16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color w:val="auto"/>
                <w:kern w:val="0"/>
                <w:sz w:val="20"/>
                <w:szCs w:val="20"/>
                <w:u w:val="none"/>
                <w:lang w:val="en-US" w:eastAsia="zh-CN" w:bidi="ar"/>
              </w:rPr>
              <w:t>125°17'59.7532"</w:t>
            </w:r>
          </w:p>
        </w:tc>
        <w:tc>
          <w:tcPr>
            <w:tcW w:w="147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color w:val="auto"/>
                <w:kern w:val="0"/>
                <w:sz w:val="20"/>
                <w:szCs w:val="20"/>
                <w:u w:val="none"/>
                <w:lang w:val="en-US" w:eastAsia="zh-CN" w:bidi="ar"/>
              </w:rPr>
              <w:t>46°11'32.8492"</w:t>
            </w:r>
          </w:p>
        </w:tc>
        <w:tc>
          <w:tcPr>
            <w:tcW w:w="76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8</w:t>
            </w:r>
          </w:p>
        </w:tc>
        <w:tc>
          <w:tcPr>
            <w:tcW w:w="75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D4</w:t>
            </w:r>
          </w:p>
        </w:tc>
        <w:tc>
          <w:tcPr>
            <w:tcW w:w="1718" w:type="dxa"/>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rPr>
            </w:pPr>
            <w:r>
              <w:rPr>
                <w:rFonts w:hint="eastAsia"/>
                <w:color w:val="auto"/>
                <w:sz w:val="20"/>
                <w:szCs w:val="20"/>
                <w:lang w:eastAsia="zh-CN"/>
              </w:rPr>
              <w:t>升平镇承压水水井</w:t>
            </w:r>
          </w:p>
        </w:tc>
        <w:tc>
          <w:tcPr>
            <w:tcW w:w="2304" w:type="dxa"/>
            <w:shd w:val="clear" w:color="auto" w:fill="auto"/>
            <w:vAlign w:val="center"/>
          </w:tcPr>
          <w:p>
            <w:pPr>
              <w:keepNext w:val="0"/>
              <w:keepLines w:val="0"/>
              <w:suppressLineNumbers w:val="0"/>
              <w:bidi w:val="0"/>
              <w:spacing w:before="0" w:beforeAutospacing="0" w:after="0" w:afterAutospacing="0"/>
              <w:ind w:left="0" w:right="0"/>
              <w:jc w:val="center"/>
              <w:rPr>
                <w:rFonts w:hint="default"/>
                <w:color w:val="auto"/>
              </w:rPr>
            </w:pPr>
            <w:r>
              <w:rPr>
                <w:rFonts w:hint="eastAsia"/>
                <w:color w:val="auto"/>
                <w:sz w:val="20"/>
                <w:szCs w:val="20"/>
              </w:rPr>
              <w:t>距离H井场北侧</w:t>
            </w:r>
            <w:r>
              <w:rPr>
                <w:rFonts w:hint="eastAsia"/>
                <w:color w:val="auto"/>
                <w:sz w:val="20"/>
                <w:szCs w:val="20"/>
                <w:lang w:val="en-US" w:eastAsia="zh-CN"/>
              </w:rPr>
              <w:t>410</w:t>
            </w:r>
            <w:r>
              <w:rPr>
                <w:rFonts w:hint="eastAsia"/>
                <w:color w:val="auto"/>
                <w:sz w:val="20"/>
                <w:szCs w:val="20"/>
              </w:rPr>
              <w:t>m</w:t>
            </w:r>
          </w:p>
        </w:tc>
        <w:tc>
          <w:tcPr>
            <w:tcW w:w="166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color w:val="auto"/>
                <w:kern w:val="0"/>
                <w:sz w:val="20"/>
                <w:szCs w:val="20"/>
                <w:u w:val="none"/>
                <w:lang w:val="en-US" w:eastAsia="zh-CN" w:bidi="ar"/>
              </w:rPr>
              <w:t>125°17'52.4760"</w:t>
            </w:r>
          </w:p>
        </w:tc>
        <w:tc>
          <w:tcPr>
            <w:tcW w:w="147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rPr>
            </w:pPr>
            <w:r>
              <w:rPr>
                <w:rFonts w:hint="default" w:ascii="Times New Roman" w:hAnsi="Times New Roman" w:eastAsia="宋体" w:cs="Times New Roman"/>
                <w:i w:val="0"/>
                <w:color w:val="auto"/>
                <w:kern w:val="0"/>
                <w:sz w:val="20"/>
                <w:szCs w:val="20"/>
                <w:u w:val="none"/>
                <w:lang w:val="en-US" w:eastAsia="zh-CN" w:bidi="ar"/>
              </w:rPr>
              <w:t>46°11'34.2287"</w:t>
            </w:r>
          </w:p>
        </w:tc>
        <w:tc>
          <w:tcPr>
            <w:tcW w:w="76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26</w:t>
            </w:r>
          </w:p>
        </w:tc>
        <w:tc>
          <w:tcPr>
            <w:tcW w:w="75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lang w:eastAsia="zh-CN"/>
              </w:rPr>
              <w:t>承压</w:t>
            </w:r>
            <w:r>
              <w:rPr>
                <w:rFonts w:hint="default"/>
                <w:color w:val="auto"/>
              </w:rPr>
              <w:t>水</w:t>
            </w:r>
          </w:p>
        </w:tc>
      </w:tr>
    </w:tbl>
    <w:p>
      <w:pPr>
        <w:pStyle w:val="7"/>
        <w:numPr>
          <w:ilvl w:val="4"/>
          <w:numId w:val="2"/>
        </w:numPr>
        <w:bidi w:val="0"/>
        <w:rPr>
          <w:color w:val="auto"/>
        </w:rPr>
      </w:pPr>
      <w:r>
        <w:rPr>
          <w:rFonts w:hint="eastAsia"/>
          <w:color w:val="auto"/>
        </w:rPr>
        <w:t>地下水监测数据统计结果</w:t>
      </w:r>
    </w:p>
    <w:p>
      <w:pPr>
        <w:jc w:val="center"/>
        <w:rPr>
          <w:bCs/>
          <w:color w:val="auto"/>
          <w:sz w:val="20"/>
          <w:szCs w:val="16"/>
        </w:rPr>
      </w:pPr>
      <w:r>
        <w:rPr>
          <w:bCs/>
          <w:color w:val="auto"/>
          <w:sz w:val="20"/>
          <w:szCs w:val="16"/>
        </w:rPr>
        <w:t>单位：mg/L pH：无量纲、总大肠菌群：MPN/100ml、菌落总数：CFU/ml</w:t>
      </w:r>
    </w:p>
    <w:tbl>
      <w:tblPr>
        <w:tblStyle w:val="3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89"/>
        <w:gridCol w:w="887"/>
        <w:gridCol w:w="1263"/>
        <w:gridCol w:w="1715"/>
        <w:gridCol w:w="1282"/>
        <w:gridCol w:w="1282"/>
        <w:gridCol w:w="12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0" w:hRule="atLeast"/>
          <w:jc w:val="center"/>
        </w:trPr>
        <w:tc>
          <w:tcPr>
            <w:tcW w:w="138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cs="Times New Roman"/>
                <w:color w:val="auto"/>
                <w:sz w:val="21"/>
                <w:szCs w:val="21"/>
              </w:rPr>
              <w:t>监测项目</w:t>
            </w:r>
          </w:p>
        </w:tc>
        <w:tc>
          <w:tcPr>
            <w:tcW w:w="8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单位</w:t>
            </w:r>
          </w:p>
        </w:tc>
        <w:tc>
          <w:tcPr>
            <w:tcW w:w="1263" w:type="dxa"/>
            <w:tcBorders>
              <w:top w:val="single" w:color="000000" w:sz="4" w:space="0"/>
              <w:left w:val="single" w:color="auto"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rPr>
              <w:t>地下水Ⅲ类限值</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白家屯</w:t>
            </w:r>
          </w:p>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（潜水）</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升平镇</w:t>
            </w:r>
          </w:p>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（潜水）</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新立屯</w:t>
            </w:r>
          </w:p>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（潜水）</w:t>
            </w:r>
          </w:p>
        </w:tc>
        <w:tc>
          <w:tcPr>
            <w:tcW w:w="1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升平镇</w:t>
            </w:r>
          </w:p>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（承压水）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K</w:t>
            </w:r>
            <w:r>
              <w:rPr>
                <w:rStyle w:val="90"/>
                <w:rFonts w:hint="default" w:ascii="Times New Roman" w:hAnsi="Times New Roman" w:eastAsia="宋体" w:cs="Times New Roman"/>
                <w:color w:val="auto"/>
                <w:sz w:val="21"/>
                <w:szCs w:val="21"/>
                <w:lang w:val="en-US" w:eastAsia="zh-CN" w:bidi="ar"/>
              </w:rPr>
              <w:t>+</w:t>
            </w:r>
          </w:p>
        </w:tc>
        <w:tc>
          <w:tcPr>
            <w:tcW w:w="8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auto"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2.34</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1.86</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1.84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Na</w:t>
            </w:r>
            <w:r>
              <w:rPr>
                <w:rStyle w:val="90"/>
                <w:rFonts w:hint="default" w:ascii="Times New Roman" w:hAnsi="Times New Roman" w:eastAsia="宋体" w:cs="Times New Roman"/>
                <w:color w:val="auto"/>
                <w:sz w:val="21"/>
                <w:szCs w:val="21"/>
                <w:lang w:val="en-US" w:eastAsia="zh-CN" w:bidi="ar"/>
              </w:rPr>
              <w:t>+</w:t>
            </w:r>
          </w:p>
        </w:tc>
        <w:tc>
          <w:tcPr>
            <w:tcW w:w="8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auto"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57.6</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33.1</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34.5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Ca</w:t>
            </w:r>
            <w:r>
              <w:rPr>
                <w:rStyle w:val="90"/>
                <w:rFonts w:hint="default" w:ascii="Times New Roman" w:hAnsi="Times New Roman" w:eastAsia="宋体" w:cs="Times New Roman"/>
                <w:color w:val="auto"/>
                <w:sz w:val="21"/>
                <w:szCs w:val="21"/>
                <w:lang w:val="en-US" w:eastAsia="zh-CN" w:bidi="ar"/>
              </w:rPr>
              <w:t>2+</w:t>
            </w:r>
          </w:p>
        </w:tc>
        <w:tc>
          <w:tcPr>
            <w:tcW w:w="88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auto"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52.1</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25.8</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26.3</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Mg</w:t>
            </w:r>
            <w:r>
              <w:rPr>
                <w:rStyle w:val="90"/>
                <w:rFonts w:hint="default" w:ascii="Times New Roman" w:hAnsi="Times New Roman" w:eastAsia="宋体" w:cs="Times New Roman"/>
                <w:color w:val="auto"/>
                <w:sz w:val="21"/>
                <w:szCs w:val="21"/>
                <w:lang w:val="en-US" w:eastAsia="zh-CN" w:bidi="ar"/>
              </w:rPr>
              <w:t>2+</w:t>
            </w:r>
          </w:p>
        </w:tc>
        <w:tc>
          <w:tcPr>
            <w:tcW w:w="88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10.7</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9.41</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9.53</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CO</w:t>
            </w:r>
            <w:r>
              <w:rPr>
                <w:rStyle w:val="91"/>
                <w:rFonts w:hint="default" w:ascii="Times New Roman" w:hAnsi="Times New Roman" w:eastAsia="宋体" w:cs="Times New Roman"/>
                <w:color w:val="auto"/>
                <w:sz w:val="21"/>
                <w:szCs w:val="21"/>
                <w:lang w:val="en-US" w:eastAsia="zh-CN" w:bidi="ar"/>
              </w:rPr>
              <w:t>3</w:t>
            </w:r>
            <w:r>
              <w:rPr>
                <w:rStyle w:val="90"/>
                <w:rFonts w:hint="default" w:ascii="Times New Roman" w:hAnsi="Times New Roman" w:eastAsia="宋体" w:cs="Times New Roman"/>
                <w:color w:val="auto"/>
                <w:sz w:val="21"/>
                <w:szCs w:val="21"/>
                <w:lang w:val="en-US" w:eastAsia="zh-CN" w:bidi="ar"/>
              </w:rPr>
              <w:t>2-</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HCO</w:t>
            </w:r>
            <w:r>
              <w:rPr>
                <w:rStyle w:val="91"/>
                <w:rFonts w:hint="default" w:ascii="Times New Roman" w:hAnsi="Times New Roman" w:eastAsia="宋体" w:cs="Times New Roman"/>
                <w:color w:val="auto"/>
                <w:sz w:val="21"/>
                <w:szCs w:val="21"/>
                <w:lang w:val="en-US" w:eastAsia="zh-CN" w:bidi="ar"/>
              </w:rPr>
              <w:t>3</w:t>
            </w:r>
            <w:r>
              <w:rPr>
                <w:rStyle w:val="90"/>
                <w:rFonts w:hint="default" w:ascii="Times New Roman" w:hAnsi="Times New Roman" w:eastAsia="宋体" w:cs="Times New Roman"/>
                <w:color w:val="auto"/>
                <w:sz w:val="21"/>
                <w:szCs w:val="21"/>
                <w:lang w:val="en-US" w:eastAsia="zh-CN" w:bidi="ar"/>
              </w:rPr>
              <w:t>-</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221</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106</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108</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Cl</w:t>
            </w:r>
            <w:r>
              <w:rPr>
                <w:rStyle w:val="90"/>
                <w:rFonts w:hint="default" w:ascii="Times New Roman" w:hAnsi="Times New Roman" w:eastAsia="宋体" w:cs="Times New Roman"/>
                <w:color w:val="auto"/>
                <w:sz w:val="21"/>
                <w:szCs w:val="21"/>
                <w:lang w:val="en-US" w:eastAsia="zh-CN" w:bidi="ar"/>
              </w:rPr>
              <w:t>-</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53.9</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37.8</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39.5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SO</w:t>
            </w:r>
            <w:r>
              <w:rPr>
                <w:rStyle w:val="91"/>
                <w:rFonts w:hint="default" w:ascii="Times New Roman" w:hAnsi="Times New Roman" w:eastAsia="宋体" w:cs="Times New Roman"/>
                <w:color w:val="auto"/>
                <w:sz w:val="21"/>
                <w:szCs w:val="21"/>
                <w:lang w:val="en-US" w:eastAsia="zh-CN" w:bidi="ar"/>
              </w:rPr>
              <w:t>4</w:t>
            </w:r>
            <w:r>
              <w:rPr>
                <w:rStyle w:val="90"/>
                <w:rFonts w:hint="default" w:ascii="Times New Roman" w:hAnsi="Times New Roman" w:eastAsia="宋体" w:cs="Times New Roman"/>
                <w:color w:val="auto"/>
                <w:sz w:val="21"/>
                <w:szCs w:val="21"/>
                <w:lang w:val="en-US" w:eastAsia="zh-CN" w:bidi="ar"/>
              </w:rPr>
              <w:t>2-</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44.6</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36.8</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37.4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pH</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6.5-8.5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7.9</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8.4</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7.5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氨氮</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0.359</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0.383</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0.304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0.229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硝酸盐</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2.6</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3.13</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3.74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2.44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亚硝酸盐</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0.003L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0.003L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0.003L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0.003L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挥发性酚类</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0.0003L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0.0003L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0.0003L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0.0003L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氰化物</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0.004L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0.004L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0.004L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0.004L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砷</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0.0003L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0.0003L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0.0003L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0.0003L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汞</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0.00004L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0.00004L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0.00004L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0.00004L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铬（六价）</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0.004L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0.004L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0.004L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0.004L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总硬度</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≤450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175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104</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105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172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铅</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0.0025L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0.0025L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0.0025L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0.0025L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氟化物</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0.737</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0.513</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1.26</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镉</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0.0004</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0.0005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铁</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0.35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0.21</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0.33</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锰</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0.17</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0.14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溶解性总固体</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≤1000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530</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303</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310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耗氧量（COD</w:t>
            </w:r>
            <w:r>
              <w:rPr>
                <w:rStyle w:val="92"/>
                <w:rFonts w:hint="default" w:ascii="Times New Roman" w:hAnsi="Times New Roman" w:cs="Times New Roman"/>
                <w:color w:val="auto"/>
                <w:sz w:val="21"/>
                <w:szCs w:val="21"/>
                <w:lang w:val="en-US" w:eastAsia="zh-CN" w:bidi="ar"/>
              </w:rPr>
              <w:t>Mn</w:t>
            </w:r>
            <w:r>
              <w:rPr>
                <w:rStyle w:val="93"/>
                <w:rFonts w:hint="default" w:ascii="Times New Roman" w:hAnsi="Times New Roman" w:cs="Times New Roman"/>
                <w:color w:val="auto"/>
                <w:sz w:val="21"/>
                <w:szCs w:val="21"/>
                <w:lang w:val="en-US" w:eastAsia="zh-CN" w:bidi="ar"/>
              </w:rPr>
              <w:t>法）</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2.4</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硫化物</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0.005L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0.005L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0.005L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0.005L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总大肠菌群</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MPNb/100ml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2L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菌落总数</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CFU/ml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18</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22</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13</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石油类</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0.01L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0.01L</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0.01L</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0.01L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氯化物</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39.5</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38.2</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51.4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3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硫酸盐</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mg/L</w:t>
            </w:r>
          </w:p>
        </w:tc>
        <w:tc>
          <w:tcPr>
            <w:tcW w:w="1263"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≤250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40.3</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36.3</w:t>
            </w:r>
          </w:p>
        </w:tc>
        <w:tc>
          <w:tcPr>
            <w:tcW w:w="12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default"/>
                <w:color w:val="auto"/>
              </w:rPr>
            </w:pPr>
            <w:r>
              <w:rPr>
                <w:rFonts w:hint="default"/>
                <w:color w:val="auto"/>
                <w:lang w:val="en-US" w:eastAsia="zh-CN"/>
              </w:rPr>
              <w:t>40.5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79"/>
              <w:keepNext w:val="0"/>
              <w:keepLines w:val="0"/>
              <w:suppressLineNumbers w:val="0"/>
              <w:bidi w:val="0"/>
              <w:spacing w:before="0" w:beforeAutospacing="0" w:after="0" w:afterAutospacing="0"/>
              <w:ind w:left="0" w:right="0"/>
              <w:jc w:val="center"/>
              <w:rPr>
                <w:rFonts w:hint="eastAsia"/>
                <w:color w:val="auto"/>
              </w:rPr>
            </w:pPr>
            <w:r>
              <w:rPr>
                <w:rFonts w:hint="eastAsia"/>
                <w:color w:val="auto"/>
                <w:lang w:val="en-US" w:eastAsia="zh-CN"/>
              </w:rPr>
              <w:t>26.9</w:t>
            </w:r>
          </w:p>
        </w:tc>
      </w:tr>
    </w:tbl>
    <w:p>
      <w:pPr>
        <w:pStyle w:val="6"/>
        <w:numPr>
          <w:ilvl w:val="3"/>
          <w:numId w:val="2"/>
        </w:numPr>
        <w:spacing w:before="156" w:after="156"/>
        <w:rPr>
          <w:color w:val="auto"/>
        </w:rPr>
      </w:pPr>
      <w:r>
        <w:rPr>
          <w:color w:val="auto"/>
        </w:rPr>
        <w:t>地下水环境现状评价</w:t>
      </w:r>
    </w:p>
    <w:p>
      <w:pPr>
        <w:pStyle w:val="33"/>
        <w:rPr>
          <w:color w:val="auto"/>
        </w:rPr>
      </w:pPr>
      <w:r>
        <w:rPr>
          <w:color w:val="auto"/>
        </w:rPr>
        <w:t>（1）评价因子</w:t>
      </w:r>
    </w:p>
    <w:p>
      <w:pPr>
        <w:pStyle w:val="33"/>
        <w:rPr>
          <w:color w:val="auto"/>
        </w:rPr>
      </w:pPr>
      <w:r>
        <w:rPr>
          <w:color w:val="auto"/>
        </w:rPr>
        <w:t>评价因子为氯化物、硫酸盐、pH、氨氮、硝酸盐氮、亚硝酸盐氮、挥发性酚类、石油类、砷、汞、铬（六价）、总硬度、铅、氟、铁、锰、溶解性总固体、耗氧量、总大肠菌群、菌落总数</w:t>
      </w:r>
      <w:r>
        <w:rPr>
          <w:rFonts w:hint="eastAsia"/>
          <w:color w:val="auto"/>
          <w:lang w:eastAsia="zh-CN"/>
        </w:rPr>
        <w:t>，硫化物</w:t>
      </w:r>
      <w:r>
        <w:rPr>
          <w:color w:val="auto"/>
        </w:rPr>
        <w:t>。</w:t>
      </w:r>
    </w:p>
    <w:p>
      <w:pPr>
        <w:pStyle w:val="33"/>
        <w:rPr>
          <w:color w:val="auto"/>
        </w:rPr>
      </w:pPr>
      <w:r>
        <w:rPr>
          <w:color w:val="auto"/>
        </w:rPr>
        <w:t>（2）评价方法</w:t>
      </w:r>
    </w:p>
    <w:p>
      <w:pPr>
        <w:pStyle w:val="33"/>
        <w:rPr>
          <w:snapToGrid w:val="0"/>
          <w:color w:val="auto"/>
        </w:rPr>
      </w:pPr>
      <w:r>
        <w:rPr>
          <w:rFonts w:hint="eastAsia"/>
          <w:snapToGrid w:val="0"/>
          <w:color w:val="auto"/>
        </w:rPr>
        <w:t>采用单项评价标准指数法。</w:t>
      </w:r>
    </w:p>
    <w:p>
      <w:pPr>
        <w:pStyle w:val="33"/>
        <w:rPr>
          <w:snapToGrid w:val="0"/>
          <w:color w:val="auto"/>
        </w:rPr>
      </w:pPr>
      <w:r>
        <w:rPr>
          <w:rFonts w:hint="eastAsia"/>
          <w:snapToGrid w:val="0"/>
          <w:color w:val="auto"/>
        </w:rPr>
        <w:t>单项水质参数的标准指数为：</w:t>
      </w:r>
    </w:p>
    <w:p>
      <w:pPr>
        <w:snapToGrid w:val="0"/>
        <w:spacing w:line="440" w:lineRule="exact"/>
        <w:ind w:firstLine="480" w:firstLineChars="200"/>
        <w:rPr>
          <w:rFonts w:cs="Times New Roman"/>
          <w:bCs/>
          <w:color w:val="auto"/>
          <w:sz w:val="24"/>
          <w:szCs w:val="20"/>
        </w:rPr>
      </w:pPr>
      <w:r>
        <w:rPr>
          <w:rFonts w:cs="Times New Roman"/>
          <w:bCs/>
          <w:color w:val="auto"/>
          <w:sz w:val="24"/>
          <w:szCs w:val="20"/>
        </w:rPr>
        <w:pict>
          <v:shape id="_x0000_s2050" o:spid="_x0000_s2050" o:spt="75" type="#_x0000_t75" style="position:absolute;left:0pt;margin-left:174pt;margin-top:10.6pt;height:31pt;width:68.45pt;z-index:251664384;mso-width-relative:page;mso-height-relative:page;" filled="f" o:preferrelative="t" stroked="f" coordsize="21600,21600">
            <v:path/>
            <v:fill on="f" focussize="0,0"/>
            <v:stroke on="f" joinstyle="miter"/>
            <v:imagedata r:id="rId24" o:title=""/>
            <o:lock v:ext="edit" aspectratio="t"/>
          </v:shape>
        </w:pict>
      </w:r>
    </w:p>
    <w:p>
      <w:pPr>
        <w:snapToGrid w:val="0"/>
        <w:spacing w:line="440" w:lineRule="exact"/>
        <w:ind w:firstLine="480" w:firstLineChars="200"/>
        <w:rPr>
          <w:rFonts w:cs="Times New Roman"/>
          <w:bCs/>
          <w:color w:val="auto"/>
          <w:sz w:val="24"/>
          <w:szCs w:val="20"/>
        </w:rPr>
      </w:pPr>
    </w:p>
    <w:p>
      <w:pPr>
        <w:pStyle w:val="33"/>
        <w:rPr>
          <w:snapToGrid w:val="0"/>
          <w:color w:val="auto"/>
        </w:rPr>
      </w:pPr>
      <w:r>
        <w:rPr>
          <w:snapToGrid w:val="0"/>
          <w:color w:val="auto"/>
        </w:rPr>
        <w:t>式中：P</w:t>
      </w:r>
      <w:r>
        <w:rPr>
          <w:snapToGrid w:val="0"/>
          <w:color w:val="auto"/>
          <w:vertAlign w:val="subscript"/>
        </w:rPr>
        <w:t>i</w:t>
      </w:r>
      <w:r>
        <w:rPr>
          <w:snapToGrid w:val="0"/>
          <w:color w:val="auto"/>
        </w:rPr>
        <w:t>——第i个水质因子的标准指数，无量纲；</w:t>
      </w:r>
    </w:p>
    <w:p>
      <w:pPr>
        <w:pStyle w:val="33"/>
        <w:rPr>
          <w:snapToGrid w:val="0"/>
          <w:color w:val="auto"/>
        </w:rPr>
      </w:pPr>
      <w:r>
        <w:rPr>
          <w:snapToGrid w:val="0"/>
          <w:color w:val="auto"/>
        </w:rPr>
        <w:t xml:space="preserve">      C</w:t>
      </w:r>
      <w:r>
        <w:rPr>
          <w:snapToGrid w:val="0"/>
          <w:color w:val="auto"/>
          <w:vertAlign w:val="subscript"/>
        </w:rPr>
        <w:t>i</w:t>
      </w:r>
      <w:r>
        <w:rPr>
          <w:snapToGrid w:val="0"/>
          <w:color w:val="auto"/>
        </w:rPr>
        <w:t>——第i个水质因子的监测浓度值（mg/L）；</w:t>
      </w:r>
    </w:p>
    <w:p>
      <w:pPr>
        <w:pStyle w:val="33"/>
        <w:rPr>
          <w:snapToGrid w:val="0"/>
          <w:color w:val="auto"/>
        </w:rPr>
      </w:pPr>
      <w:r>
        <w:rPr>
          <w:snapToGrid w:val="0"/>
          <w:color w:val="auto"/>
        </w:rPr>
        <w:t xml:space="preserve">      C</w:t>
      </w:r>
      <w:r>
        <w:rPr>
          <w:snapToGrid w:val="0"/>
          <w:color w:val="auto"/>
          <w:vertAlign w:val="subscript"/>
        </w:rPr>
        <w:t>si</w:t>
      </w:r>
      <w:r>
        <w:rPr>
          <w:snapToGrid w:val="0"/>
          <w:color w:val="auto"/>
        </w:rPr>
        <w:t>——第i个水质因子的标准浓度值（mg/L）。</w:t>
      </w:r>
    </w:p>
    <w:p>
      <w:pPr>
        <w:pStyle w:val="33"/>
        <w:rPr>
          <w:snapToGrid w:val="0"/>
          <w:color w:val="auto"/>
        </w:rPr>
      </w:pPr>
      <w:r>
        <w:rPr>
          <w:snapToGrid w:val="0"/>
          <w:color w:val="auto"/>
        </w:rPr>
        <w:t>pH</w:t>
      </w:r>
      <w:r>
        <w:rPr>
          <w:rFonts w:hint="eastAsia"/>
          <w:snapToGrid w:val="0"/>
          <w:color w:val="auto"/>
        </w:rPr>
        <w:t>的标准指数为：</w:t>
      </w:r>
    </w:p>
    <w:p>
      <w:pPr>
        <w:pStyle w:val="33"/>
        <w:ind w:firstLine="4060" w:firstLineChars="1450"/>
        <w:rPr>
          <w:rFonts w:cs="Times New Roman"/>
          <w:bCs/>
          <w:snapToGrid w:val="0"/>
          <w:color w:val="auto"/>
          <w:szCs w:val="20"/>
        </w:rPr>
      </w:pPr>
      <w:r>
        <w:rPr>
          <w:snapToGrid w:val="0"/>
          <w:color w:val="auto"/>
        </w:rPr>
        <w:pict>
          <v:shape id="_x0000_s2051" o:spid="_x0000_s2051" o:spt="75" type="#_x0000_t75" style="position:absolute;left:0pt;margin-left:169.2pt;margin-top:0.9pt;height:35.8pt;width:99.55pt;z-index:251665408;mso-width-relative:page;mso-height-relative:page;" filled="f" o:preferrelative="t" stroked="f" coordsize="21600,21600">
            <v:path/>
            <v:fill on="f" focussize="0,0"/>
            <v:stroke on="f" joinstyle="miter"/>
            <v:imagedata r:id="rId25" o:title=""/>
            <o:lock v:ext="edit" aspectratio="t"/>
          </v:shape>
        </w:pict>
      </w:r>
      <w:r>
        <w:rPr>
          <w:rFonts w:cs="Times New Roman"/>
          <w:bCs/>
          <w:snapToGrid w:val="0"/>
          <w:color w:val="auto"/>
          <w:szCs w:val="20"/>
        </w:rPr>
        <w:t xml:space="preserve">                    pH</w:t>
      </w:r>
      <w:r>
        <w:rPr>
          <w:rFonts w:cs="Times New Roman"/>
          <w:bCs/>
          <w:snapToGrid w:val="0"/>
          <w:color w:val="auto"/>
          <w:szCs w:val="20"/>
          <w:vertAlign w:val="subscript"/>
        </w:rPr>
        <w:t>j</w:t>
      </w:r>
      <w:r>
        <w:rPr>
          <w:rFonts w:cs="Times New Roman"/>
          <w:bCs/>
          <w:snapToGrid w:val="0"/>
          <w:color w:val="auto"/>
          <w:szCs w:val="20"/>
        </w:rPr>
        <w:t>≤7.0</w:t>
      </w:r>
    </w:p>
    <w:p>
      <w:pPr>
        <w:snapToGrid w:val="0"/>
        <w:spacing w:line="480" w:lineRule="exact"/>
        <w:ind w:firstLine="560" w:firstLineChars="200"/>
        <w:rPr>
          <w:rFonts w:cs="Times New Roman"/>
          <w:bCs/>
          <w:snapToGrid w:val="0"/>
          <w:color w:val="auto"/>
          <w:sz w:val="28"/>
          <w:szCs w:val="20"/>
        </w:rPr>
      </w:pPr>
      <w:r>
        <w:rPr>
          <w:rFonts w:cs="Times New Roman"/>
          <w:bCs/>
          <w:snapToGrid w:val="0"/>
          <w:color w:val="auto"/>
          <w:sz w:val="28"/>
          <w:szCs w:val="20"/>
        </w:rPr>
        <w:t xml:space="preserve">                  </w:t>
      </w:r>
    </w:p>
    <w:p>
      <w:pPr>
        <w:snapToGrid w:val="0"/>
        <w:spacing w:line="480" w:lineRule="exact"/>
        <w:ind w:firstLine="6600" w:firstLineChars="2750"/>
        <w:rPr>
          <w:rFonts w:cs="Times New Roman"/>
          <w:bCs/>
          <w:snapToGrid w:val="0"/>
          <w:color w:val="auto"/>
          <w:sz w:val="28"/>
          <w:szCs w:val="20"/>
        </w:rPr>
      </w:pPr>
      <w:r>
        <w:rPr>
          <w:rFonts w:cs="Times New Roman"/>
          <w:bCs/>
          <w:color w:val="auto"/>
          <w:sz w:val="24"/>
          <w:szCs w:val="20"/>
        </w:rPr>
        <w:pict>
          <v:shape id="_x0000_s2052" o:spid="_x0000_s2052" o:spt="75" type="#_x0000_t75" style="position:absolute;left:0pt;margin-left:167.65pt;margin-top:1pt;height:35.8pt;width:99.55pt;z-index:251666432;mso-width-relative:page;mso-height-relative:page;" filled="f" o:preferrelative="t" stroked="f" coordsize="21600,21600">
            <v:path/>
            <v:fill on="f" focussize="0,0"/>
            <v:stroke on="f" joinstyle="miter"/>
            <v:imagedata r:id="rId26" o:title=""/>
            <o:lock v:ext="edit" aspectratio="t"/>
          </v:shape>
        </w:pict>
      </w:r>
      <w:r>
        <w:rPr>
          <w:rFonts w:cs="Times New Roman"/>
          <w:bCs/>
          <w:snapToGrid w:val="0"/>
          <w:color w:val="auto"/>
          <w:sz w:val="28"/>
          <w:szCs w:val="20"/>
        </w:rPr>
        <w:t xml:space="preserve">  pH</w:t>
      </w:r>
      <w:r>
        <w:rPr>
          <w:rFonts w:cs="Times New Roman"/>
          <w:bCs/>
          <w:snapToGrid w:val="0"/>
          <w:color w:val="auto"/>
          <w:sz w:val="28"/>
          <w:szCs w:val="20"/>
          <w:vertAlign w:val="subscript"/>
        </w:rPr>
        <w:t>j</w:t>
      </w:r>
      <w:r>
        <w:rPr>
          <w:rFonts w:hint="eastAsia" w:cs="Times New Roman"/>
          <w:bCs/>
          <w:snapToGrid w:val="0"/>
          <w:color w:val="auto"/>
          <w:sz w:val="28"/>
          <w:szCs w:val="20"/>
        </w:rPr>
        <w:t>＞</w:t>
      </w:r>
      <w:r>
        <w:rPr>
          <w:rFonts w:cs="Times New Roman"/>
          <w:bCs/>
          <w:snapToGrid w:val="0"/>
          <w:color w:val="auto"/>
          <w:sz w:val="28"/>
          <w:szCs w:val="20"/>
        </w:rPr>
        <w:t xml:space="preserve">7.0 </w:t>
      </w:r>
    </w:p>
    <w:p>
      <w:pPr>
        <w:snapToGrid w:val="0"/>
        <w:spacing w:line="440" w:lineRule="exact"/>
        <w:ind w:firstLine="480" w:firstLineChars="200"/>
        <w:rPr>
          <w:rFonts w:cs="Times New Roman"/>
          <w:bCs/>
          <w:color w:val="auto"/>
          <w:sz w:val="24"/>
          <w:szCs w:val="20"/>
        </w:rPr>
      </w:pPr>
    </w:p>
    <w:p>
      <w:pPr>
        <w:pStyle w:val="33"/>
        <w:rPr>
          <w:color w:val="auto"/>
        </w:rPr>
      </w:pPr>
      <w:r>
        <w:rPr>
          <w:color w:val="auto"/>
        </w:rPr>
        <w:t>式中：P</w:t>
      </w:r>
      <w:r>
        <w:rPr>
          <w:color w:val="auto"/>
          <w:vertAlign w:val="subscript"/>
        </w:rPr>
        <w:t>pH</w:t>
      </w:r>
      <w:r>
        <w:rPr>
          <w:color w:val="auto"/>
        </w:rPr>
        <w:t>——pH的标准指数，无量纲；</w:t>
      </w:r>
    </w:p>
    <w:p>
      <w:pPr>
        <w:pStyle w:val="33"/>
        <w:rPr>
          <w:color w:val="auto"/>
        </w:rPr>
      </w:pPr>
      <w:r>
        <w:rPr>
          <w:color w:val="auto"/>
        </w:rPr>
        <w:t xml:space="preserve">      pH——pH监测值；</w:t>
      </w:r>
    </w:p>
    <w:p>
      <w:pPr>
        <w:pStyle w:val="33"/>
        <w:rPr>
          <w:color w:val="auto"/>
        </w:rPr>
      </w:pPr>
      <w:r>
        <w:rPr>
          <w:color w:val="auto"/>
        </w:rPr>
        <w:t xml:space="preserve">      pH</w:t>
      </w:r>
      <w:r>
        <w:rPr>
          <w:color w:val="auto"/>
          <w:vertAlign w:val="subscript"/>
        </w:rPr>
        <w:t>su</w:t>
      </w:r>
      <w:r>
        <w:rPr>
          <w:color w:val="auto"/>
        </w:rPr>
        <w:t>——pH值标准规定的上限值；</w:t>
      </w:r>
    </w:p>
    <w:p>
      <w:pPr>
        <w:pStyle w:val="33"/>
        <w:rPr>
          <w:color w:val="auto"/>
        </w:rPr>
      </w:pPr>
      <w:r>
        <w:rPr>
          <w:color w:val="auto"/>
        </w:rPr>
        <w:t xml:space="preserve">      pH</w:t>
      </w:r>
      <w:r>
        <w:rPr>
          <w:color w:val="auto"/>
          <w:vertAlign w:val="subscript"/>
        </w:rPr>
        <w:t>sd</w:t>
      </w:r>
      <w:r>
        <w:rPr>
          <w:color w:val="auto"/>
        </w:rPr>
        <w:t>——pH标准规定的下限值。</w:t>
      </w:r>
    </w:p>
    <w:p>
      <w:pPr>
        <w:pStyle w:val="33"/>
        <w:rPr>
          <w:color w:val="auto"/>
        </w:rPr>
      </w:pPr>
      <w:r>
        <w:rPr>
          <w:color w:val="auto"/>
        </w:rPr>
        <w:t>（3）评价标准</w:t>
      </w:r>
    </w:p>
    <w:p>
      <w:pPr>
        <w:pStyle w:val="33"/>
        <w:rPr>
          <w:color w:val="auto"/>
          <w:kern w:val="2"/>
        </w:rPr>
      </w:pPr>
      <w:r>
        <w:rPr>
          <w:color w:val="auto"/>
        </w:rPr>
        <w:t>石油类参照执行《地表水环境质量标准》（GB3838-2002）</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类限值。其他项目采用《地下水质量标准》（GB/T14848-2017）中</w:t>
      </w: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r>
        <w:rPr>
          <w:color w:val="auto"/>
        </w:rPr>
        <w:t>类标准。</w:t>
      </w:r>
    </w:p>
    <w:p>
      <w:pPr>
        <w:pStyle w:val="33"/>
        <w:rPr>
          <w:color w:val="auto"/>
        </w:rPr>
      </w:pPr>
      <w:r>
        <w:rPr>
          <w:color w:val="auto"/>
        </w:rPr>
        <w:t>（4）评价结果</w:t>
      </w:r>
    </w:p>
    <w:p>
      <w:pPr>
        <w:pStyle w:val="7"/>
        <w:numPr>
          <w:ilvl w:val="4"/>
          <w:numId w:val="2"/>
        </w:numPr>
        <w:bidi w:val="0"/>
        <w:rPr>
          <w:color w:val="auto"/>
        </w:rPr>
      </w:pPr>
      <w:r>
        <w:rPr>
          <w:rFonts w:hint="eastAsia"/>
          <w:color w:val="auto"/>
        </w:rPr>
        <w:t>地下水环境现状评价结果表</w:t>
      </w:r>
    </w:p>
    <w:tbl>
      <w:tblPr>
        <w:tblStyle w:val="3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54"/>
        <w:gridCol w:w="1489"/>
        <w:gridCol w:w="1919"/>
        <w:gridCol w:w="1919"/>
        <w:gridCol w:w="1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检测项目</w:t>
            </w:r>
          </w:p>
        </w:tc>
        <w:tc>
          <w:tcPr>
            <w:tcW w:w="10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白家屯（潜水）</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升平镇（潜水）</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新立屯（潜水）</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升平镇（承压水）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Na</w:t>
            </w:r>
            <w:r>
              <w:rPr>
                <w:rStyle w:val="94"/>
                <w:rFonts w:hint="default" w:ascii="Times New Roman" w:hAnsi="Times New Roman" w:eastAsia="宋体" w:cs="Times New Roman"/>
                <w:color w:val="auto"/>
                <w:sz w:val="21"/>
                <w:szCs w:val="21"/>
                <w:lang w:val="en-US" w:eastAsia="zh-CN" w:bidi="ar"/>
              </w:rPr>
              <w:t>+</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Cl</w:t>
            </w:r>
            <w:r>
              <w:rPr>
                <w:rStyle w:val="94"/>
                <w:rFonts w:hint="default" w:ascii="Times New Roman" w:hAnsi="Times New Roman" w:eastAsia="宋体" w:cs="Times New Roman"/>
                <w:color w:val="auto"/>
                <w:sz w:val="21"/>
                <w:szCs w:val="21"/>
                <w:lang w:val="en-US" w:eastAsia="zh-CN" w:bidi="ar"/>
              </w:rPr>
              <w:t>-</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SO</w:t>
            </w:r>
            <w:r>
              <w:rPr>
                <w:rFonts w:hint="default" w:ascii="Times New Roman" w:hAnsi="Times New Roman" w:eastAsia="宋体" w:cs="Times New Roman"/>
                <w:i w:val="0"/>
                <w:color w:val="auto"/>
                <w:kern w:val="0"/>
                <w:sz w:val="21"/>
                <w:szCs w:val="21"/>
                <w:u w:val="none"/>
                <w:vertAlign w:val="subscript"/>
                <w:lang w:val="en-US" w:eastAsia="zh-CN" w:bidi="ar"/>
              </w:rPr>
              <w:t>4</w:t>
            </w:r>
            <w:r>
              <w:rPr>
                <w:rStyle w:val="94"/>
                <w:rFonts w:hint="default" w:ascii="Times New Roman" w:hAnsi="Times New Roman" w:eastAsia="宋体" w:cs="Times New Roman"/>
                <w:color w:val="auto"/>
                <w:sz w:val="21"/>
                <w:szCs w:val="21"/>
                <w:lang w:val="en-US" w:eastAsia="zh-CN" w:bidi="ar"/>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pH</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0.93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氨氮</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0.72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0.77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硝酸盐</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亚硝酸盐</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挥发性酚类</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氰化物</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砷</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汞</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铬（六价）</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总硬度</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0.39</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铅</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氟化物</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0.74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1.26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镉</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铁</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1.17</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0.70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1.10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锰</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1.70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1.40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溶解性总固体</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0.31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耗氧量（COD</w:t>
            </w:r>
            <w:r>
              <w:rPr>
                <w:rStyle w:val="95"/>
                <w:rFonts w:hint="default" w:ascii="Times New Roman" w:hAnsi="Times New Roman" w:cs="Times New Roman"/>
                <w:color w:val="auto"/>
                <w:sz w:val="21"/>
                <w:szCs w:val="21"/>
                <w:lang w:val="en-US" w:eastAsia="zh-CN" w:bidi="ar"/>
              </w:rPr>
              <w:t>Mn</w:t>
            </w:r>
            <w:r>
              <w:rPr>
                <w:rFonts w:hint="default" w:ascii="Times New Roman" w:hAnsi="Times New Roman" w:eastAsia="宋体" w:cs="Times New Roman"/>
                <w:i w:val="0"/>
                <w:color w:val="auto"/>
                <w:kern w:val="0"/>
                <w:sz w:val="21"/>
                <w:szCs w:val="21"/>
                <w:u w:val="none"/>
                <w:lang w:val="en-US" w:eastAsia="zh-CN" w:bidi="ar"/>
              </w:rPr>
              <w:t>法）</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0.80</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0.83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硫化物</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总大肠菌群</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菌落总数</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0.18</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石油类</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氯化物</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0.21</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硫酸盐</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0.15</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0.16</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0.11</w:t>
            </w:r>
          </w:p>
        </w:tc>
      </w:tr>
    </w:tbl>
    <w:p>
      <w:pPr>
        <w:pStyle w:val="33"/>
        <w:rPr>
          <w:color w:val="auto"/>
          <w:kern w:val="2"/>
        </w:rPr>
      </w:pPr>
      <w:r>
        <w:rPr>
          <w:color w:val="auto"/>
          <w:kern w:val="2"/>
        </w:rPr>
        <w:t>根据现状评价结果可以看出，</w:t>
      </w:r>
      <w:r>
        <w:rPr>
          <w:color w:val="auto"/>
        </w:rPr>
        <w:t>除个别点位锰、铁</w:t>
      </w:r>
      <w:r>
        <w:rPr>
          <w:rFonts w:hint="eastAsia"/>
          <w:color w:val="auto"/>
          <w:lang w:eastAsia="zh-CN"/>
        </w:rPr>
        <w:t>和氟化物</w:t>
      </w:r>
      <w:r>
        <w:rPr>
          <w:color w:val="auto"/>
        </w:rPr>
        <w:t>出现超标外，其他地下水监测点位监测项目均能满足《地下水质量标准》（GB/T14848-2017）III类标准；石油类满足《地表水环境质量标准》中III</w:t>
      </w:r>
      <w:r>
        <w:rPr>
          <w:color w:val="auto"/>
          <w:spacing w:val="-1"/>
        </w:rPr>
        <w:t>类</w:t>
      </w:r>
      <w:r>
        <w:rPr>
          <w:color w:val="auto"/>
        </w:rPr>
        <w:t>水体石油类限值（≤0.05mg/L）。</w:t>
      </w:r>
    </w:p>
    <w:p>
      <w:pPr>
        <w:pStyle w:val="33"/>
        <w:rPr>
          <w:rFonts w:hint="eastAsia" w:eastAsia="宋体"/>
          <w:color w:val="auto"/>
          <w:lang w:eastAsia="zh-CN"/>
        </w:rPr>
      </w:pPr>
      <w:r>
        <w:rPr>
          <w:color w:val="auto"/>
        </w:rPr>
        <w:t>铁、锰的超标可能是因为区域地层含有较丰富的铁的原因，根据黑龙江省第六地质勘查院调查结论，松嫩平原地下水铁、锰含量高是历史性和区域广泛性的，根据《黑龙江省人民政府关于印发黑龙江省水污染防治工作方案的通知》黑政发〔2016〕3号（2016.1.10）附件3地下水监测水质清单，大庆地区潜水和承压水均存在铁、锰超标的现象，可见铁、锰的超标属于区域地质原因。</w:t>
      </w:r>
      <w:r>
        <w:rPr>
          <w:rFonts w:hint="eastAsia"/>
          <w:color w:val="auto"/>
        </w:rPr>
        <w:t>地下水氟化物超标是与松嫩平原地区的半干旱气候和富钙地球化学环境的土壤苏打盐渍化作用有关，导致了氟离子的富集，属于地质原因</w:t>
      </w:r>
      <w:r>
        <w:rPr>
          <w:rFonts w:hint="eastAsia"/>
          <w:color w:val="auto"/>
          <w:lang w:eastAsia="zh-CN"/>
        </w:rPr>
        <w:t>。</w:t>
      </w:r>
    </w:p>
    <w:p>
      <w:pPr>
        <w:pStyle w:val="6"/>
        <w:numPr>
          <w:ilvl w:val="3"/>
          <w:numId w:val="2"/>
        </w:numPr>
        <w:spacing w:before="156" w:after="156"/>
        <w:rPr>
          <w:color w:val="auto"/>
        </w:rPr>
      </w:pPr>
      <w:r>
        <w:rPr>
          <w:rFonts w:hint="eastAsia"/>
          <w:color w:val="auto"/>
        </w:rPr>
        <w:t>区域</w:t>
      </w:r>
      <w:r>
        <w:rPr>
          <w:color w:val="auto"/>
        </w:rPr>
        <w:t>地下水化学类型分析</w:t>
      </w:r>
    </w:p>
    <w:p>
      <w:pPr>
        <w:pStyle w:val="33"/>
        <w:rPr>
          <w:color w:val="auto"/>
        </w:rPr>
      </w:pPr>
      <w:r>
        <w:rPr>
          <w:color w:val="auto"/>
        </w:rPr>
        <w:t>根据舒卡列夫分类法，地下水中Ca</w:t>
      </w:r>
      <w:r>
        <w:rPr>
          <w:color w:val="auto"/>
          <w:vertAlign w:val="superscript"/>
        </w:rPr>
        <w:t>2＋</w:t>
      </w:r>
      <w:r>
        <w:rPr>
          <w:color w:val="auto"/>
        </w:rPr>
        <w:t>、Mg</w:t>
      </w:r>
      <w:r>
        <w:rPr>
          <w:color w:val="auto"/>
          <w:vertAlign w:val="superscript"/>
        </w:rPr>
        <w:t>2＋</w:t>
      </w:r>
      <w:r>
        <w:rPr>
          <w:color w:val="auto"/>
        </w:rPr>
        <w:t>、Na</w:t>
      </w:r>
      <w:r>
        <w:rPr>
          <w:color w:val="auto"/>
          <w:vertAlign w:val="superscript"/>
        </w:rPr>
        <w:t>＋</w:t>
      </w:r>
      <w:r>
        <w:rPr>
          <w:color w:val="auto"/>
        </w:rPr>
        <w:t>（Na+K）、Cl</w:t>
      </w:r>
      <w:r>
        <w:rPr>
          <w:color w:val="auto"/>
          <w:vertAlign w:val="superscript"/>
        </w:rPr>
        <w:t>－</w:t>
      </w:r>
      <w:r>
        <w:rPr>
          <w:color w:val="auto"/>
        </w:rPr>
        <w:t>、SO</w:t>
      </w:r>
      <w:r>
        <w:rPr>
          <w:color w:val="auto"/>
          <w:vertAlign w:val="subscript"/>
        </w:rPr>
        <w:t>4</w:t>
      </w:r>
      <w:r>
        <w:rPr>
          <w:color w:val="auto"/>
          <w:vertAlign w:val="superscript"/>
        </w:rPr>
        <w:t>2－</w:t>
      </w:r>
      <w:r>
        <w:rPr>
          <w:color w:val="auto"/>
        </w:rPr>
        <w:t>、HCO</w:t>
      </w:r>
      <w:r>
        <w:rPr>
          <w:color w:val="auto"/>
          <w:vertAlign w:val="subscript"/>
        </w:rPr>
        <w:t>3</w:t>
      </w:r>
      <w:r>
        <w:rPr>
          <w:color w:val="auto"/>
          <w:vertAlign w:val="superscript"/>
        </w:rPr>
        <w:t>－</w:t>
      </w:r>
      <w:r>
        <w:rPr>
          <w:color w:val="auto"/>
        </w:rPr>
        <w:t>将Meq（毫克当量）百分数大于25%的阴、阳离子进行组合，每种类型以阿拉伯数字为代号，共49类。舒卡列夫分类表见</w:t>
      </w:r>
      <w:r>
        <w:rPr>
          <w:rFonts w:hint="eastAsia"/>
          <w:color w:val="auto"/>
        </w:rPr>
        <w:t>下</w:t>
      </w:r>
      <w:r>
        <w:rPr>
          <w:color w:val="auto"/>
        </w:rPr>
        <w:t>表</w:t>
      </w:r>
      <w:r>
        <w:rPr>
          <w:rFonts w:hint="eastAsia"/>
          <w:color w:val="auto"/>
          <w:lang w:val="en-US" w:eastAsia="zh-CN"/>
        </w:rPr>
        <w:t>4.3-8</w:t>
      </w:r>
      <w:r>
        <w:rPr>
          <w:color w:val="auto"/>
        </w:rPr>
        <w:t>。</w:t>
      </w:r>
    </w:p>
    <w:p>
      <w:pPr>
        <w:pStyle w:val="7"/>
        <w:numPr>
          <w:ilvl w:val="4"/>
          <w:numId w:val="2"/>
        </w:numPr>
        <w:bidi w:val="0"/>
        <w:rPr>
          <w:color w:val="auto"/>
        </w:rPr>
      </w:pPr>
      <w:r>
        <w:rPr>
          <w:rFonts w:hint="eastAsia"/>
          <w:color w:val="auto"/>
        </w:rPr>
        <w:t>舒卡列夫分类表</w:t>
      </w:r>
    </w:p>
    <w:tbl>
      <w:tblPr>
        <w:tblStyle w:val="34"/>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795"/>
        <w:gridCol w:w="1491"/>
        <w:gridCol w:w="1754"/>
        <w:gridCol w:w="1126"/>
        <w:gridCol w:w="672"/>
        <w:gridCol w:w="1091"/>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含量&gt;25%Meq的离子</w:t>
            </w:r>
          </w:p>
        </w:tc>
        <w:tc>
          <w:tcPr>
            <w:tcW w:w="7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HCO</w:t>
            </w:r>
            <w:r>
              <w:rPr>
                <w:rFonts w:hint="default"/>
                <w:color w:val="auto"/>
                <w:vertAlign w:val="subscript"/>
              </w:rPr>
              <w:t>3</w:t>
            </w:r>
            <w:r>
              <w:rPr>
                <w:rFonts w:hint="default"/>
                <w:color w:val="auto"/>
                <w:vertAlign w:val="superscript"/>
              </w:rPr>
              <w:t>-</w:t>
            </w:r>
          </w:p>
        </w:tc>
        <w:tc>
          <w:tcPr>
            <w:tcW w:w="14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HCO</w:t>
            </w:r>
            <w:r>
              <w:rPr>
                <w:rFonts w:hint="default"/>
                <w:color w:val="auto"/>
                <w:vertAlign w:val="subscript"/>
              </w:rPr>
              <w:t>3</w:t>
            </w:r>
            <w:r>
              <w:rPr>
                <w:rFonts w:hint="default"/>
                <w:color w:val="auto"/>
                <w:vertAlign w:val="superscript"/>
              </w:rPr>
              <w:t>-</w:t>
            </w:r>
            <w:r>
              <w:rPr>
                <w:rFonts w:hint="default"/>
                <w:color w:val="auto"/>
              </w:rPr>
              <w:t>+SO</w:t>
            </w:r>
            <w:r>
              <w:rPr>
                <w:rFonts w:hint="default"/>
                <w:color w:val="auto"/>
                <w:vertAlign w:val="subscript"/>
              </w:rPr>
              <w:t>4</w:t>
            </w:r>
            <w:r>
              <w:rPr>
                <w:rFonts w:hint="default"/>
                <w:color w:val="auto"/>
                <w:vertAlign w:val="superscript"/>
              </w:rPr>
              <w:t>2-</w:t>
            </w:r>
          </w:p>
        </w:tc>
        <w:tc>
          <w:tcPr>
            <w:tcW w:w="175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HCO</w:t>
            </w:r>
            <w:r>
              <w:rPr>
                <w:rFonts w:hint="default"/>
                <w:color w:val="auto"/>
                <w:vertAlign w:val="subscript"/>
              </w:rPr>
              <w:t>3</w:t>
            </w:r>
            <w:r>
              <w:rPr>
                <w:rFonts w:hint="default"/>
                <w:color w:val="auto"/>
                <w:vertAlign w:val="superscript"/>
              </w:rPr>
              <w:t>-</w:t>
            </w:r>
            <w:r>
              <w:rPr>
                <w:rFonts w:hint="default"/>
                <w:color w:val="auto"/>
              </w:rPr>
              <w:t>+SO</w:t>
            </w:r>
            <w:r>
              <w:rPr>
                <w:rFonts w:hint="default"/>
                <w:color w:val="auto"/>
                <w:vertAlign w:val="subscript"/>
              </w:rPr>
              <w:t>4</w:t>
            </w:r>
            <w:r>
              <w:rPr>
                <w:rFonts w:hint="default"/>
                <w:color w:val="auto"/>
                <w:vertAlign w:val="superscript"/>
              </w:rPr>
              <w:t>2-</w:t>
            </w:r>
            <w:r>
              <w:rPr>
                <w:rFonts w:hint="default"/>
                <w:color w:val="auto"/>
              </w:rPr>
              <w:t>+Cl</w:t>
            </w:r>
            <w:r>
              <w:rPr>
                <w:rFonts w:hint="default"/>
                <w:color w:val="auto"/>
                <w:vertAlign w:val="superscript"/>
              </w:rPr>
              <w:t>-</w:t>
            </w:r>
          </w:p>
        </w:tc>
        <w:tc>
          <w:tcPr>
            <w:tcW w:w="112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HCO</w:t>
            </w:r>
            <w:r>
              <w:rPr>
                <w:rFonts w:hint="default"/>
                <w:color w:val="auto"/>
                <w:vertAlign w:val="subscript"/>
              </w:rPr>
              <w:t>3</w:t>
            </w:r>
            <w:r>
              <w:rPr>
                <w:rFonts w:hint="default"/>
                <w:color w:val="auto"/>
                <w:vertAlign w:val="superscript"/>
              </w:rPr>
              <w:t>-</w:t>
            </w:r>
            <w:r>
              <w:rPr>
                <w:rFonts w:hint="default"/>
                <w:color w:val="auto"/>
              </w:rPr>
              <w:t>+Cl</w:t>
            </w:r>
            <w:r>
              <w:rPr>
                <w:rFonts w:hint="default"/>
                <w:color w:val="auto"/>
                <w:vertAlign w:val="superscript"/>
              </w:rPr>
              <w:t>-</w:t>
            </w:r>
          </w:p>
        </w:tc>
        <w:tc>
          <w:tcPr>
            <w:tcW w:w="67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SO</w:t>
            </w:r>
            <w:r>
              <w:rPr>
                <w:rFonts w:hint="default"/>
                <w:color w:val="auto"/>
                <w:vertAlign w:val="subscript"/>
              </w:rPr>
              <w:t>4</w:t>
            </w:r>
            <w:r>
              <w:rPr>
                <w:rFonts w:hint="default"/>
                <w:color w:val="auto"/>
                <w:vertAlign w:val="superscript"/>
              </w:rPr>
              <w:t>2-</w:t>
            </w:r>
          </w:p>
        </w:tc>
        <w:tc>
          <w:tcPr>
            <w:tcW w:w="10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SO</w:t>
            </w:r>
            <w:r>
              <w:rPr>
                <w:rFonts w:hint="default"/>
                <w:color w:val="auto"/>
                <w:vertAlign w:val="subscript"/>
              </w:rPr>
              <w:t>4</w:t>
            </w:r>
            <w:r>
              <w:rPr>
                <w:rFonts w:hint="default"/>
                <w:color w:val="auto"/>
                <w:vertAlign w:val="superscript"/>
              </w:rPr>
              <w:t>2-</w:t>
            </w:r>
            <w:r>
              <w:rPr>
                <w:rFonts w:hint="default"/>
                <w:color w:val="auto"/>
              </w:rPr>
              <w:t>+Cl</w:t>
            </w:r>
            <w:r>
              <w:rPr>
                <w:rFonts w:hint="default"/>
                <w:color w:val="auto"/>
                <w:vertAlign w:val="superscript"/>
              </w:rPr>
              <w:t>-</w:t>
            </w:r>
          </w:p>
        </w:tc>
        <w:tc>
          <w:tcPr>
            <w:tcW w:w="53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Cl</w:t>
            </w:r>
            <w:r>
              <w:rPr>
                <w:rFonts w:hint="default"/>
                <w:color w:val="auto"/>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Ca</w:t>
            </w:r>
            <w:r>
              <w:rPr>
                <w:rFonts w:hint="default"/>
                <w:color w:val="auto"/>
                <w:vertAlign w:val="superscript"/>
              </w:rPr>
              <w:t>2+</w:t>
            </w:r>
          </w:p>
        </w:tc>
        <w:tc>
          <w:tcPr>
            <w:tcW w:w="7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w:t>
            </w:r>
          </w:p>
        </w:tc>
        <w:tc>
          <w:tcPr>
            <w:tcW w:w="14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8</w:t>
            </w:r>
          </w:p>
        </w:tc>
        <w:tc>
          <w:tcPr>
            <w:tcW w:w="175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15</w:t>
            </w:r>
          </w:p>
        </w:tc>
        <w:tc>
          <w:tcPr>
            <w:tcW w:w="112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22</w:t>
            </w:r>
          </w:p>
        </w:tc>
        <w:tc>
          <w:tcPr>
            <w:tcW w:w="67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29</w:t>
            </w:r>
          </w:p>
        </w:tc>
        <w:tc>
          <w:tcPr>
            <w:tcW w:w="10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36</w:t>
            </w:r>
          </w:p>
        </w:tc>
        <w:tc>
          <w:tcPr>
            <w:tcW w:w="53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Ca</w:t>
            </w:r>
            <w:r>
              <w:rPr>
                <w:rFonts w:hint="default"/>
                <w:color w:val="auto"/>
                <w:vertAlign w:val="superscript"/>
              </w:rPr>
              <w:t>2+</w:t>
            </w:r>
            <w:r>
              <w:rPr>
                <w:rFonts w:hint="default"/>
                <w:color w:val="auto"/>
              </w:rPr>
              <w:t>+Mg</w:t>
            </w:r>
            <w:r>
              <w:rPr>
                <w:rFonts w:hint="default"/>
                <w:color w:val="auto"/>
                <w:vertAlign w:val="superscript"/>
              </w:rPr>
              <w:t>2+</w:t>
            </w:r>
          </w:p>
        </w:tc>
        <w:tc>
          <w:tcPr>
            <w:tcW w:w="7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w:t>
            </w:r>
          </w:p>
        </w:tc>
        <w:tc>
          <w:tcPr>
            <w:tcW w:w="14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9</w:t>
            </w:r>
          </w:p>
        </w:tc>
        <w:tc>
          <w:tcPr>
            <w:tcW w:w="175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16</w:t>
            </w:r>
          </w:p>
        </w:tc>
        <w:tc>
          <w:tcPr>
            <w:tcW w:w="112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23</w:t>
            </w:r>
          </w:p>
        </w:tc>
        <w:tc>
          <w:tcPr>
            <w:tcW w:w="67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30</w:t>
            </w:r>
          </w:p>
        </w:tc>
        <w:tc>
          <w:tcPr>
            <w:tcW w:w="10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37</w:t>
            </w:r>
          </w:p>
        </w:tc>
        <w:tc>
          <w:tcPr>
            <w:tcW w:w="53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Mg</w:t>
            </w:r>
            <w:r>
              <w:rPr>
                <w:rFonts w:hint="default"/>
                <w:color w:val="auto"/>
                <w:vertAlign w:val="superscript"/>
              </w:rPr>
              <w:t>2+</w:t>
            </w:r>
          </w:p>
        </w:tc>
        <w:tc>
          <w:tcPr>
            <w:tcW w:w="7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w:t>
            </w:r>
          </w:p>
        </w:tc>
        <w:tc>
          <w:tcPr>
            <w:tcW w:w="14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10</w:t>
            </w:r>
          </w:p>
        </w:tc>
        <w:tc>
          <w:tcPr>
            <w:tcW w:w="175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17</w:t>
            </w:r>
          </w:p>
        </w:tc>
        <w:tc>
          <w:tcPr>
            <w:tcW w:w="112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24</w:t>
            </w:r>
          </w:p>
        </w:tc>
        <w:tc>
          <w:tcPr>
            <w:tcW w:w="67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31</w:t>
            </w:r>
          </w:p>
        </w:tc>
        <w:tc>
          <w:tcPr>
            <w:tcW w:w="10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38</w:t>
            </w:r>
          </w:p>
        </w:tc>
        <w:tc>
          <w:tcPr>
            <w:tcW w:w="53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Na</w:t>
            </w:r>
            <w:r>
              <w:rPr>
                <w:rFonts w:hint="default"/>
                <w:color w:val="auto"/>
                <w:vertAlign w:val="superscript"/>
              </w:rPr>
              <w:t>+</w:t>
            </w:r>
            <w:r>
              <w:rPr>
                <w:rFonts w:hint="default"/>
                <w:color w:val="auto"/>
              </w:rPr>
              <w:t>+Ca</w:t>
            </w:r>
            <w:r>
              <w:rPr>
                <w:rFonts w:hint="default"/>
                <w:color w:val="auto"/>
                <w:vertAlign w:val="superscript"/>
              </w:rPr>
              <w:t>2+</w:t>
            </w:r>
          </w:p>
        </w:tc>
        <w:tc>
          <w:tcPr>
            <w:tcW w:w="7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w:t>
            </w:r>
          </w:p>
        </w:tc>
        <w:tc>
          <w:tcPr>
            <w:tcW w:w="14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11</w:t>
            </w:r>
          </w:p>
        </w:tc>
        <w:tc>
          <w:tcPr>
            <w:tcW w:w="175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18</w:t>
            </w:r>
          </w:p>
        </w:tc>
        <w:tc>
          <w:tcPr>
            <w:tcW w:w="112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25</w:t>
            </w:r>
          </w:p>
        </w:tc>
        <w:tc>
          <w:tcPr>
            <w:tcW w:w="67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32</w:t>
            </w:r>
          </w:p>
        </w:tc>
        <w:tc>
          <w:tcPr>
            <w:tcW w:w="10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39</w:t>
            </w:r>
          </w:p>
        </w:tc>
        <w:tc>
          <w:tcPr>
            <w:tcW w:w="53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Na</w:t>
            </w:r>
            <w:r>
              <w:rPr>
                <w:rFonts w:hint="default"/>
                <w:color w:val="auto"/>
                <w:vertAlign w:val="superscript"/>
              </w:rPr>
              <w:t>+</w:t>
            </w:r>
            <w:r>
              <w:rPr>
                <w:rFonts w:hint="default"/>
                <w:color w:val="auto"/>
              </w:rPr>
              <w:t>+Ca</w:t>
            </w:r>
            <w:r>
              <w:rPr>
                <w:rFonts w:hint="default"/>
                <w:color w:val="auto"/>
                <w:vertAlign w:val="superscript"/>
              </w:rPr>
              <w:t>2+</w:t>
            </w:r>
            <w:r>
              <w:rPr>
                <w:rFonts w:hint="default"/>
                <w:color w:val="auto"/>
              </w:rPr>
              <w:t>+Mg</w:t>
            </w:r>
            <w:r>
              <w:rPr>
                <w:rFonts w:hint="default"/>
                <w:color w:val="auto"/>
                <w:vertAlign w:val="superscript"/>
              </w:rPr>
              <w:t>2+</w:t>
            </w:r>
          </w:p>
        </w:tc>
        <w:tc>
          <w:tcPr>
            <w:tcW w:w="7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5</w:t>
            </w:r>
          </w:p>
        </w:tc>
        <w:tc>
          <w:tcPr>
            <w:tcW w:w="14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12</w:t>
            </w:r>
          </w:p>
        </w:tc>
        <w:tc>
          <w:tcPr>
            <w:tcW w:w="175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19</w:t>
            </w:r>
          </w:p>
        </w:tc>
        <w:tc>
          <w:tcPr>
            <w:tcW w:w="112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26</w:t>
            </w:r>
          </w:p>
        </w:tc>
        <w:tc>
          <w:tcPr>
            <w:tcW w:w="67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33</w:t>
            </w:r>
          </w:p>
        </w:tc>
        <w:tc>
          <w:tcPr>
            <w:tcW w:w="10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40</w:t>
            </w:r>
          </w:p>
        </w:tc>
        <w:tc>
          <w:tcPr>
            <w:tcW w:w="53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Na</w:t>
            </w:r>
            <w:r>
              <w:rPr>
                <w:rFonts w:hint="default"/>
                <w:color w:val="auto"/>
                <w:vertAlign w:val="superscript"/>
              </w:rPr>
              <w:t>+</w:t>
            </w:r>
            <w:r>
              <w:rPr>
                <w:rFonts w:hint="default"/>
                <w:color w:val="auto"/>
              </w:rPr>
              <w:t>+Mg</w:t>
            </w:r>
            <w:r>
              <w:rPr>
                <w:rFonts w:hint="default"/>
                <w:color w:val="auto"/>
                <w:vertAlign w:val="superscript"/>
              </w:rPr>
              <w:t>2+</w:t>
            </w:r>
          </w:p>
        </w:tc>
        <w:tc>
          <w:tcPr>
            <w:tcW w:w="7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6</w:t>
            </w:r>
          </w:p>
        </w:tc>
        <w:tc>
          <w:tcPr>
            <w:tcW w:w="14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13</w:t>
            </w:r>
          </w:p>
        </w:tc>
        <w:tc>
          <w:tcPr>
            <w:tcW w:w="175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20</w:t>
            </w:r>
          </w:p>
        </w:tc>
        <w:tc>
          <w:tcPr>
            <w:tcW w:w="112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27</w:t>
            </w:r>
          </w:p>
        </w:tc>
        <w:tc>
          <w:tcPr>
            <w:tcW w:w="67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34</w:t>
            </w:r>
          </w:p>
        </w:tc>
        <w:tc>
          <w:tcPr>
            <w:tcW w:w="10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41</w:t>
            </w:r>
          </w:p>
        </w:tc>
        <w:tc>
          <w:tcPr>
            <w:tcW w:w="53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Na</w:t>
            </w:r>
            <w:r>
              <w:rPr>
                <w:rFonts w:hint="default"/>
                <w:color w:val="auto"/>
                <w:vertAlign w:val="superscript"/>
              </w:rPr>
              <w:t>+</w:t>
            </w:r>
          </w:p>
        </w:tc>
        <w:tc>
          <w:tcPr>
            <w:tcW w:w="79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7</w:t>
            </w:r>
          </w:p>
        </w:tc>
        <w:tc>
          <w:tcPr>
            <w:tcW w:w="14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14</w:t>
            </w:r>
          </w:p>
        </w:tc>
        <w:tc>
          <w:tcPr>
            <w:tcW w:w="1754"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21</w:t>
            </w:r>
          </w:p>
        </w:tc>
        <w:tc>
          <w:tcPr>
            <w:tcW w:w="1126"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28</w:t>
            </w:r>
          </w:p>
        </w:tc>
        <w:tc>
          <w:tcPr>
            <w:tcW w:w="67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35</w:t>
            </w:r>
          </w:p>
        </w:tc>
        <w:tc>
          <w:tcPr>
            <w:tcW w:w="109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42</w:t>
            </w:r>
          </w:p>
        </w:tc>
        <w:tc>
          <w:tcPr>
            <w:tcW w:w="53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49</w:t>
            </w:r>
          </w:p>
        </w:tc>
      </w:tr>
    </w:tbl>
    <w:p>
      <w:pPr>
        <w:pStyle w:val="33"/>
        <w:rPr>
          <w:color w:val="auto"/>
        </w:rPr>
      </w:pPr>
      <w:r>
        <w:rPr>
          <w:color w:val="auto"/>
        </w:rPr>
        <w:t>按矿化度又分为4组：A组矿化度&lt;1.5g/L，B组1.5-10g/L，C组10-40g/L，D组&gt;40g/L。命名时在数字与字母间加连接号，如1-A型：指的是M&lt;1.5g/L，阴离子只有HCO</w:t>
      </w:r>
      <w:r>
        <w:rPr>
          <w:color w:val="auto"/>
          <w:vertAlign w:val="subscript"/>
        </w:rPr>
        <w:t>3</w:t>
      </w:r>
      <w:r>
        <w:rPr>
          <w:color w:val="auto"/>
          <w:vertAlign w:val="superscript"/>
        </w:rPr>
        <w:t>-</w:t>
      </w:r>
      <w:r>
        <w:rPr>
          <w:color w:val="auto"/>
        </w:rPr>
        <w:t>&gt;25％Meq，阳离子只有Ca</w:t>
      </w:r>
      <w:r>
        <w:rPr>
          <w:color w:val="auto"/>
          <w:vertAlign w:val="superscript"/>
        </w:rPr>
        <w:t>2+</w:t>
      </w:r>
      <w:r>
        <w:rPr>
          <w:color w:val="auto"/>
        </w:rPr>
        <w:t>大于25%Meq。49-D型，表示矿化度大于40g/L的Cl-Na型水，该型水可能是于海水及海相沉积有关的地下水，或是大陆盐化潜水。</w:t>
      </w:r>
    </w:p>
    <w:p>
      <w:pPr>
        <w:pStyle w:val="7"/>
        <w:numPr>
          <w:ilvl w:val="4"/>
          <w:numId w:val="2"/>
        </w:numPr>
        <w:bidi w:val="0"/>
        <w:rPr>
          <w:color w:val="auto"/>
        </w:rPr>
      </w:pPr>
      <w:r>
        <w:rPr>
          <w:rFonts w:hint="eastAsia"/>
          <w:color w:val="auto"/>
        </w:rPr>
        <w:t>潜水水质八大离子浓度监测</w:t>
      </w:r>
    </w:p>
    <w:tbl>
      <w:tblPr>
        <w:tblStyle w:val="3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31"/>
        <w:gridCol w:w="1658"/>
        <w:gridCol w:w="1603"/>
        <w:gridCol w:w="1603"/>
        <w:gridCol w:w="1603"/>
        <w:gridCol w:w="16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检测项目</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白家屯（潜水）</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升平镇（潜水）</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新立屯（潜水）</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升平镇（承压水）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K</w:t>
            </w:r>
            <w:r>
              <w:rPr>
                <w:rFonts w:hint="default" w:ascii="Times New Roman" w:hAnsi="Times New Roman" w:eastAsia="宋体" w:cs="Times New Roman"/>
                <w:i w:val="0"/>
                <w:color w:val="auto"/>
                <w:kern w:val="0"/>
                <w:sz w:val="18"/>
                <w:szCs w:val="18"/>
                <w:u w:val="none"/>
                <w:vertAlign w:val="superscript"/>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毫克当量浓度</w:t>
            </w:r>
            <w:r>
              <w:rPr>
                <w:rStyle w:val="96"/>
                <w:rFonts w:hint="default" w:ascii="Times New Roman" w:hAnsi="Times New Roman" w:eastAsia="宋体" w:cs="Times New Roman"/>
                <w:color w:val="auto"/>
                <w:lang w:val="en-US" w:eastAsia="zh-CN" w:bidi="ar"/>
              </w:rPr>
              <w:t>(mg/Meq)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18"/>
                <w:szCs w:val="18"/>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Na</w:t>
            </w:r>
            <w:r>
              <w:rPr>
                <w:rFonts w:hint="default" w:ascii="Times New Roman" w:hAnsi="Times New Roman" w:eastAsia="宋体" w:cs="Times New Roman"/>
                <w:i w:val="0"/>
                <w:color w:val="auto"/>
                <w:kern w:val="0"/>
                <w:sz w:val="18"/>
                <w:szCs w:val="18"/>
                <w:u w:val="none"/>
                <w:vertAlign w:val="superscript"/>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毫克当量浓度</w:t>
            </w:r>
            <w:r>
              <w:rPr>
                <w:rStyle w:val="96"/>
                <w:rFonts w:hint="default" w:ascii="Times New Roman" w:hAnsi="Times New Roman" w:eastAsia="宋体" w:cs="Times New Roman"/>
                <w:color w:val="auto"/>
                <w:lang w:val="en-US" w:eastAsia="zh-CN" w:bidi="ar"/>
              </w:rPr>
              <w:t>(mg/Meq)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2.50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1.44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2.49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18"/>
                <w:szCs w:val="18"/>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41.32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40.41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41.02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41.42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Ca</w:t>
            </w:r>
            <w:r>
              <w:rPr>
                <w:rFonts w:hint="default" w:ascii="Times New Roman" w:hAnsi="Times New Roman" w:eastAsia="宋体" w:cs="Times New Roman"/>
                <w:i w:val="0"/>
                <w:color w:val="auto"/>
                <w:kern w:val="0"/>
                <w:sz w:val="18"/>
                <w:szCs w:val="18"/>
                <w:u w:val="none"/>
                <w:vertAlign w:val="superscript"/>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毫克当量浓度</w:t>
            </w:r>
            <w:r>
              <w:rPr>
                <w:rStyle w:val="96"/>
                <w:rFonts w:hint="default" w:ascii="Times New Roman" w:hAnsi="Times New Roman" w:eastAsia="宋体" w:cs="Times New Roman"/>
                <w:color w:val="auto"/>
                <w:lang w:val="en-US" w:eastAsia="zh-CN" w:bidi="ar"/>
              </w:rPr>
              <w:t>(mg/Meq)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2.61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1.29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1.32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2.52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18"/>
                <w:szCs w:val="18"/>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42.98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36.23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35.96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41.89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Mg</w:t>
            </w:r>
            <w:r>
              <w:rPr>
                <w:rFonts w:hint="default" w:ascii="Times New Roman" w:hAnsi="Times New Roman" w:eastAsia="宋体" w:cs="Times New Roman"/>
                <w:i w:val="0"/>
                <w:color w:val="auto"/>
                <w:kern w:val="0"/>
                <w:sz w:val="18"/>
                <w:szCs w:val="18"/>
                <w:u w:val="none"/>
                <w:vertAlign w:val="superscript"/>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毫克当量浓度</w:t>
            </w:r>
            <w:r>
              <w:rPr>
                <w:rStyle w:val="96"/>
                <w:rFonts w:hint="default" w:ascii="Times New Roman" w:hAnsi="Times New Roman" w:eastAsia="宋体" w:cs="Times New Roman"/>
                <w:color w:val="auto"/>
                <w:lang w:val="en-US" w:eastAsia="zh-CN" w:bidi="ar"/>
              </w:rPr>
              <w:t xml:space="preserve">(mg/Meq)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0.89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0.79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18"/>
                <w:szCs w:val="18"/>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14.71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22.02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21.72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15.55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CO</w:t>
            </w:r>
            <w:r>
              <w:rPr>
                <w:rFonts w:hint="default" w:ascii="Times New Roman" w:hAnsi="Times New Roman" w:eastAsia="宋体" w:cs="Times New Roman"/>
                <w:i w:val="0"/>
                <w:color w:val="auto"/>
                <w:kern w:val="0"/>
                <w:sz w:val="18"/>
                <w:szCs w:val="18"/>
                <w:u w:val="none"/>
                <w:vertAlign w:val="subscript"/>
                <w:lang w:val="en-US" w:eastAsia="zh-CN" w:bidi="ar"/>
              </w:rPr>
              <w:t>3</w:t>
            </w:r>
            <w:r>
              <w:rPr>
                <w:rFonts w:hint="default" w:ascii="Times New Roman" w:hAnsi="Times New Roman" w:eastAsia="宋体" w:cs="Times New Roman"/>
                <w:i w:val="0"/>
                <w:color w:val="auto"/>
                <w:kern w:val="0"/>
                <w:sz w:val="18"/>
                <w:szCs w:val="18"/>
                <w:u w:val="none"/>
                <w:vertAlign w:val="superscript"/>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毫克当量浓度</w:t>
            </w:r>
            <w:r>
              <w:rPr>
                <w:rStyle w:val="96"/>
                <w:rFonts w:hint="default" w:ascii="Times New Roman" w:hAnsi="Times New Roman" w:eastAsia="宋体" w:cs="Times New Roman"/>
                <w:color w:val="auto"/>
                <w:lang w:val="en-US" w:eastAsia="zh-CN" w:bidi="ar"/>
              </w:rPr>
              <w:t>(mg/Meq)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18"/>
                <w:szCs w:val="18"/>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HCO</w:t>
            </w:r>
            <w:r>
              <w:rPr>
                <w:rFonts w:hint="default" w:ascii="Times New Roman" w:hAnsi="Times New Roman" w:eastAsia="宋体" w:cs="Times New Roman"/>
                <w:i w:val="0"/>
                <w:color w:val="auto"/>
                <w:kern w:val="0"/>
                <w:sz w:val="18"/>
                <w:szCs w:val="18"/>
                <w:u w:val="none"/>
                <w:vertAlign w:val="subscript"/>
                <w:lang w:val="en-US" w:eastAsia="zh-CN" w:bidi="ar"/>
              </w:rPr>
              <w:t>3</w:t>
            </w:r>
            <w:r>
              <w:rPr>
                <w:rFonts w:hint="default" w:ascii="Times New Roman" w:hAnsi="Times New Roman" w:eastAsia="宋体" w:cs="Times New Roman"/>
                <w:i w:val="0"/>
                <w:color w:val="auto"/>
                <w:kern w:val="0"/>
                <w:sz w:val="18"/>
                <w:szCs w:val="18"/>
                <w:u w:val="none"/>
                <w:vertAlign w:val="superscript"/>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毫克当量浓度</w:t>
            </w:r>
            <w:r>
              <w:rPr>
                <w:rStyle w:val="96"/>
                <w:rFonts w:hint="default" w:ascii="Times New Roman" w:hAnsi="Times New Roman" w:eastAsia="宋体" w:cs="Times New Roman"/>
                <w:color w:val="auto"/>
                <w:lang w:val="en-US" w:eastAsia="zh-CN" w:bidi="ar"/>
              </w:rPr>
              <w:t>(mg/Meq)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3.62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1.74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3.07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18"/>
                <w:szCs w:val="18"/>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59.68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48.69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48.34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50.70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Cl</w:t>
            </w:r>
            <w:r>
              <w:rPr>
                <w:rFonts w:hint="default" w:ascii="Times New Roman" w:hAnsi="Times New Roman" w:eastAsia="宋体" w:cs="Times New Roman"/>
                <w:i w:val="0"/>
                <w:color w:val="auto"/>
                <w:kern w:val="0"/>
                <w:sz w:val="18"/>
                <w:szCs w:val="18"/>
                <w:u w:val="none"/>
                <w:vertAlign w:val="superscript"/>
                <w:lang w:val="en-US" w:eastAsia="zh-CN" w:bidi="ar"/>
              </w:rPr>
              <w:t>-</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毫克当量浓度</w:t>
            </w:r>
            <w:r>
              <w:rPr>
                <w:rStyle w:val="96"/>
                <w:rFonts w:hint="default" w:ascii="Times New Roman" w:hAnsi="Times New Roman" w:eastAsia="宋体" w:cs="Times New Roman"/>
                <w:color w:val="auto"/>
                <w:lang w:val="en-US" w:eastAsia="zh-CN" w:bidi="ar"/>
              </w:rPr>
              <w:t>(mg/Meq)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1.52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1.11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18"/>
                <w:szCs w:val="18"/>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25.01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29.83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30.38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i w:val="0"/>
                <w:color w:val="auto"/>
                <w:sz w:val="22"/>
                <w:szCs w:val="22"/>
                <w:u w:val="none"/>
              </w:rPr>
            </w:pPr>
            <w:r>
              <w:rPr>
                <w:rFonts w:hint="default" w:ascii="Times New Roman" w:hAnsi="Times New Roman" w:eastAsia="宋体" w:cs="Times New Roman"/>
                <w:b/>
                <w:i w:val="0"/>
                <w:color w:val="auto"/>
                <w:kern w:val="0"/>
                <w:sz w:val="22"/>
                <w:szCs w:val="22"/>
                <w:u w:val="none"/>
                <w:lang w:val="en-US" w:eastAsia="zh-CN" w:bidi="ar"/>
              </w:rPr>
              <w:t xml:space="preserve">29.59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18"/>
                <w:szCs w:val="18"/>
                <w:u w:val="none"/>
              </w:rPr>
            </w:pPr>
            <w:r>
              <w:rPr>
                <w:rFonts w:hint="default" w:ascii="Times New Roman" w:hAnsi="Times New Roman" w:eastAsia="宋体" w:cs="Times New Roman"/>
                <w:i w:val="0"/>
                <w:color w:val="auto"/>
                <w:kern w:val="0"/>
                <w:sz w:val="18"/>
                <w:szCs w:val="18"/>
                <w:u w:val="none"/>
                <w:lang w:val="en-US" w:eastAsia="zh-CN" w:bidi="ar"/>
              </w:rPr>
              <w:t>SO</w:t>
            </w:r>
            <w:r>
              <w:rPr>
                <w:rFonts w:hint="default" w:ascii="Times New Roman" w:hAnsi="Times New Roman" w:eastAsia="宋体" w:cs="Times New Roman"/>
                <w:i w:val="0"/>
                <w:color w:val="auto"/>
                <w:kern w:val="0"/>
                <w:sz w:val="18"/>
                <w:szCs w:val="18"/>
                <w:u w:val="none"/>
                <w:vertAlign w:val="subscript"/>
                <w:lang w:val="en-US" w:eastAsia="zh-CN" w:bidi="ar"/>
              </w:rPr>
              <w:t>4</w:t>
            </w:r>
            <w:r>
              <w:rPr>
                <w:rFonts w:hint="default" w:ascii="Times New Roman" w:hAnsi="Times New Roman" w:eastAsia="宋体" w:cs="Times New Roman"/>
                <w:i w:val="0"/>
                <w:color w:val="auto"/>
                <w:kern w:val="0"/>
                <w:sz w:val="18"/>
                <w:szCs w:val="18"/>
                <w:u w:val="none"/>
                <w:vertAlign w:val="superscript"/>
                <w:lang w:val="en-US" w:eastAsia="zh-CN" w:bidi="ar"/>
              </w:rPr>
              <w:t>2-</w:t>
            </w: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毫克当量浓度</w:t>
            </w:r>
            <w:r>
              <w:rPr>
                <w:rStyle w:val="96"/>
                <w:rFonts w:hint="default" w:ascii="Times New Roman" w:hAnsi="Times New Roman" w:eastAsia="宋体" w:cs="Times New Roman"/>
                <w:color w:val="auto"/>
                <w:lang w:val="en-US" w:eastAsia="zh-CN" w:bidi="ar"/>
              </w:rPr>
              <w:t>(mg/Meq)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0.93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0.77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0.78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sz w:val="18"/>
                <w:szCs w:val="18"/>
                <w:u w:val="none"/>
              </w:rPr>
            </w:pPr>
          </w:p>
        </w:tc>
        <w:tc>
          <w:tcPr>
            <w:tcW w:w="16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15.31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21.48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21.28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19.71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阳离子总量(mg/Meq)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6.06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3.56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3.66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阴离子总量(mg/Meq)</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6.07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3.57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3.66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6.05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阴阳离子相对误差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0.11%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矿化度</w:t>
            </w:r>
            <w:r>
              <w:rPr>
                <w:rStyle w:val="96"/>
                <w:rFonts w:hint="default" w:ascii="Times New Roman" w:hAnsi="Times New Roman" w:eastAsia="宋体" w:cs="Times New Roman"/>
                <w:color w:val="auto"/>
                <w:lang w:val="en-US" w:eastAsia="zh-CN" w:bidi="ar"/>
              </w:rPr>
              <w:t>(g/L)</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0.64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2"/>
                <w:szCs w:val="22"/>
                <w:u w:val="none"/>
              </w:rPr>
            </w:pPr>
            <w:r>
              <w:rPr>
                <w:rFonts w:hint="default" w:ascii="Times New Roman" w:hAnsi="Times New Roman" w:eastAsia="宋体" w:cs="Times New Roman"/>
                <w:i w:val="0"/>
                <w:color w:val="auto"/>
                <w:kern w:val="0"/>
                <w:sz w:val="22"/>
                <w:szCs w:val="22"/>
                <w:u w:val="none"/>
                <w:lang w:val="en-US" w:eastAsia="zh-CN" w:bidi="ar"/>
              </w:rPr>
              <w:t xml:space="preserve">0.61 </w:t>
            </w:r>
          </w:p>
        </w:tc>
      </w:tr>
    </w:tbl>
    <w:p>
      <w:pPr>
        <w:pStyle w:val="14"/>
        <w:rPr>
          <w:color w:val="auto"/>
          <w:kern w:val="2"/>
          <w:sz w:val="28"/>
          <w:szCs w:val="28"/>
        </w:rPr>
      </w:pPr>
      <w:r>
        <w:rPr>
          <w:color w:val="auto"/>
          <w:kern w:val="2"/>
          <w:sz w:val="28"/>
          <w:szCs w:val="28"/>
        </w:rPr>
        <w:t>结论：评价区域潜水</w:t>
      </w:r>
      <w:r>
        <w:rPr>
          <w:rFonts w:hint="eastAsia"/>
          <w:color w:val="auto"/>
          <w:kern w:val="2"/>
          <w:sz w:val="28"/>
          <w:szCs w:val="28"/>
          <w:lang w:eastAsia="zh-CN"/>
        </w:rPr>
        <w:t>及承压水</w:t>
      </w:r>
      <w:r>
        <w:rPr>
          <w:color w:val="auto"/>
          <w:kern w:val="2"/>
          <w:sz w:val="28"/>
          <w:szCs w:val="28"/>
        </w:rPr>
        <w:t>含水层水质类型为：</w:t>
      </w:r>
      <w:r>
        <w:rPr>
          <w:color w:val="auto"/>
          <w:sz w:val="28"/>
          <w:szCs w:val="28"/>
        </w:rPr>
        <w:t>HCO</w:t>
      </w:r>
      <w:r>
        <w:rPr>
          <w:color w:val="auto"/>
          <w:sz w:val="28"/>
          <w:szCs w:val="28"/>
          <w:vertAlign w:val="subscript"/>
        </w:rPr>
        <w:t>3</w:t>
      </w:r>
      <w:r>
        <w:rPr>
          <w:color w:val="auto"/>
          <w:sz w:val="28"/>
          <w:szCs w:val="28"/>
          <w:vertAlign w:val="superscript"/>
        </w:rPr>
        <w:t>-</w:t>
      </w:r>
      <w:r>
        <w:rPr>
          <w:color w:val="auto"/>
          <w:sz w:val="28"/>
          <w:szCs w:val="28"/>
        </w:rPr>
        <w:t>+Cl</w:t>
      </w:r>
      <w:r>
        <w:rPr>
          <w:color w:val="auto"/>
          <w:sz w:val="28"/>
          <w:szCs w:val="28"/>
          <w:vertAlign w:val="superscript"/>
        </w:rPr>
        <w:t>-</w:t>
      </w:r>
      <w:r>
        <w:rPr>
          <w:rFonts w:hint="eastAsia"/>
          <w:color w:val="auto"/>
          <w:sz w:val="28"/>
          <w:szCs w:val="28"/>
        </w:rPr>
        <w:t>-</w:t>
      </w:r>
      <w:r>
        <w:rPr>
          <w:color w:val="auto"/>
          <w:sz w:val="28"/>
          <w:szCs w:val="28"/>
        </w:rPr>
        <w:t xml:space="preserve"> Na</w:t>
      </w:r>
      <w:r>
        <w:rPr>
          <w:color w:val="auto"/>
          <w:sz w:val="28"/>
          <w:szCs w:val="28"/>
          <w:vertAlign w:val="superscript"/>
        </w:rPr>
        <w:t>+</w:t>
      </w:r>
      <w:r>
        <w:rPr>
          <w:color w:val="auto"/>
          <w:sz w:val="28"/>
          <w:szCs w:val="28"/>
        </w:rPr>
        <w:t>+Ca</w:t>
      </w:r>
      <w:r>
        <w:rPr>
          <w:color w:val="auto"/>
          <w:sz w:val="28"/>
          <w:szCs w:val="28"/>
          <w:vertAlign w:val="superscript"/>
        </w:rPr>
        <w:t>2+</w:t>
      </w:r>
      <w:r>
        <w:rPr>
          <w:color w:val="auto"/>
          <w:kern w:val="2"/>
          <w:sz w:val="28"/>
          <w:szCs w:val="28"/>
        </w:rPr>
        <w:t>淡水。</w:t>
      </w:r>
    </w:p>
    <w:p>
      <w:pPr>
        <w:pStyle w:val="5"/>
        <w:numPr>
          <w:ilvl w:val="2"/>
          <w:numId w:val="2"/>
        </w:numPr>
        <w:spacing w:before="156" w:after="156"/>
        <w:rPr>
          <w:color w:val="auto"/>
        </w:rPr>
      </w:pPr>
      <w:bookmarkStart w:id="510" w:name="_Toc23904"/>
      <w:bookmarkStart w:id="511" w:name="_Toc20174"/>
      <w:bookmarkStart w:id="512" w:name="_Toc14738"/>
      <w:bookmarkStart w:id="513" w:name="_Toc14244"/>
      <w:bookmarkStart w:id="514" w:name="_Toc5178"/>
      <w:bookmarkStart w:id="515" w:name="_Toc28883"/>
      <w:bookmarkStart w:id="516" w:name="_Toc49175010"/>
      <w:bookmarkStart w:id="517" w:name="_Toc49174835"/>
      <w:bookmarkStart w:id="518" w:name="_Toc29124"/>
      <w:r>
        <w:rPr>
          <w:color w:val="auto"/>
        </w:rPr>
        <w:t>声环境质量现状调查与评价</w:t>
      </w:r>
      <w:bookmarkEnd w:id="510"/>
      <w:bookmarkEnd w:id="511"/>
      <w:bookmarkEnd w:id="512"/>
      <w:bookmarkEnd w:id="513"/>
      <w:bookmarkEnd w:id="514"/>
      <w:bookmarkEnd w:id="515"/>
      <w:bookmarkEnd w:id="516"/>
      <w:bookmarkEnd w:id="517"/>
      <w:bookmarkEnd w:id="518"/>
    </w:p>
    <w:p>
      <w:pPr>
        <w:pStyle w:val="6"/>
        <w:numPr>
          <w:ilvl w:val="3"/>
          <w:numId w:val="2"/>
        </w:numPr>
        <w:spacing w:before="156" w:after="156"/>
        <w:rPr>
          <w:color w:val="auto"/>
        </w:rPr>
      </w:pPr>
      <w:r>
        <w:rPr>
          <w:color w:val="auto"/>
        </w:rPr>
        <w:t>现状监测</w:t>
      </w:r>
    </w:p>
    <w:p>
      <w:pPr>
        <w:pStyle w:val="33"/>
        <w:rPr>
          <w:color w:val="auto"/>
        </w:rPr>
      </w:pPr>
      <w:r>
        <w:rPr>
          <w:color w:val="auto"/>
        </w:rPr>
        <w:t>根据大庆中环评价检测有限公司于202</w:t>
      </w:r>
      <w:r>
        <w:rPr>
          <w:rFonts w:hint="eastAsia"/>
          <w:color w:val="auto"/>
          <w:lang w:val="en-US" w:eastAsia="zh-CN"/>
        </w:rPr>
        <w:t>2</w:t>
      </w:r>
      <w:r>
        <w:rPr>
          <w:color w:val="auto"/>
        </w:rPr>
        <w:t>年03月2</w:t>
      </w:r>
      <w:r>
        <w:rPr>
          <w:rFonts w:hint="eastAsia"/>
          <w:color w:val="auto"/>
          <w:lang w:val="en-US" w:eastAsia="zh-CN"/>
        </w:rPr>
        <w:t>2</w:t>
      </w:r>
      <w:r>
        <w:rPr>
          <w:color w:val="auto"/>
        </w:rPr>
        <w:t>日~</w:t>
      </w:r>
      <w:r>
        <w:rPr>
          <w:rFonts w:hint="eastAsia"/>
          <w:color w:val="auto"/>
          <w:lang w:val="en-US" w:eastAsia="zh-CN"/>
        </w:rPr>
        <w:t>23</w:t>
      </w:r>
      <w:r>
        <w:rPr>
          <w:color w:val="auto"/>
        </w:rPr>
        <w:t>日对距离项目较近的村屯进行噪声监测，噪声结果见</w:t>
      </w:r>
      <w:r>
        <w:rPr>
          <w:rFonts w:hint="eastAsia"/>
          <w:color w:val="auto"/>
        </w:rPr>
        <w:t>下</w:t>
      </w:r>
      <w:r>
        <w:rPr>
          <w:color w:val="auto"/>
        </w:rPr>
        <w:t>表。</w:t>
      </w:r>
    </w:p>
    <w:p>
      <w:pPr>
        <w:pStyle w:val="7"/>
        <w:numPr>
          <w:ilvl w:val="4"/>
          <w:numId w:val="2"/>
        </w:numPr>
        <w:bidi w:val="0"/>
        <w:jc w:val="center"/>
        <w:rPr>
          <w:color w:val="auto"/>
        </w:rPr>
      </w:pPr>
      <w:r>
        <w:rPr>
          <w:rFonts w:hint="eastAsia"/>
          <w:color w:val="auto"/>
        </w:rPr>
        <w:t>噪声监测结果    单位：dB(A)</w:t>
      </w:r>
    </w:p>
    <w:tbl>
      <w:tblPr>
        <w:tblStyle w:val="34"/>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83"/>
        <w:gridCol w:w="935"/>
        <w:gridCol w:w="852"/>
        <w:gridCol w:w="935"/>
        <w:gridCol w:w="861"/>
        <w:gridCol w:w="1798"/>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83"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bookmarkStart w:id="519" w:name="OLE_LINK33"/>
            <w:r>
              <w:rPr>
                <w:rFonts w:hint="default"/>
                <w:color w:val="auto"/>
              </w:rPr>
              <w:t>监测地点</w:t>
            </w:r>
          </w:p>
        </w:tc>
        <w:tc>
          <w:tcPr>
            <w:tcW w:w="1787"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03月</w:t>
            </w:r>
            <w:r>
              <w:rPr>
                <w:rFonts w:hint="eastAsia"/>
                <w:color w:val="auto"/>
                <w:lang w:val="en-US" w:eastAsia="zh-CN"/>
              </w:rPr>
              <w:t>22</w:t>
            </w:r>
            <w:r>
              <w:rPr>
                <w:rFonts w:hint="default"/>
                <w:color w:val="auto"/>
              </w:rPr>
              <w:t>日</w:t>
            </w:r>
          </w:p>
        </w:tc>
        <w:tc>
          <w:tcPr>
            <w:tcW w:w="1796"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03月</w:t>
            </w:r>
            <w:r>
              <w:rPr>
                <w:rFonts w:hint="eastAsia"/>
                <w:color w:val="auto"/>
                <w:lang w:val="en-US" w:eastAsia="zh-CN"/>
              </w:rPr>
              <w:t>23</w:t>
            </w:r>
            <w:r>
              <w:rPr>
                <w:rFonts w:hint="default"/>
                <w:color w:val="auto"/>
              </w:rPr>
              <w:t>日</w:t>
            </w:r>
          </w:p>
        </w:tc>
        <w:tc>
          <w:tcPr>
            <w:tcW w:w="3596" w:type="dxa"/>
            <w:gridSpan w:val="2"/>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《声环境质量标准》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83"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p>
        </w:tc>
        <w:tc>
          <w:tcPr>
            <w:tcW w:w="93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昼间</w:t>
            </w:r>
          </w:p>
        </w:tc>
        <w:tc>
          <w:tcPr>
            <w:tcW w:w="852"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夜间</w:t>
            </w:r>
          </w:p>
        </w:tc>
        <w:tc>
          <w:tcPr>
            <w:tcW w:w="935"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昼间</w:t>
            </w:r>
          </w:p>
        </w:tc>
        <w:tc>
          <w:tcPr>
            <w:tcW w:w="861"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夜间</w:t>
            </w:r>
          </w:p>
        </w:tc>
        <w:tc>
          <w:tcPr>
            <w:tcW w:w="1798"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昼间</w:t>
            </w:r>
          </w:p>
        </w:tc>
        <w:tc>
          <w:tcPr>
            <w:tcW w:w="1798" w:type="dxa"/>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8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拟建钻井井场</w:t>
            </w:r>
          </w:p>
        </w:tc>
        <w:tc>
          <w:tcPr>
            <w:tcW w:w="935" w:type="dxa"/>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40.8</w:t>
            </w:r>
          </w:p>
        </w:tc>
        <w:tc>
          <w:tcPr>
            <w:tcW w:w="852" w:type="dxa"/>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38.4</w:t>
            </w:r>
          </w:p>
        </w:tc>
        <w:tc>
          <w:tcPr>
            <w:tcW w:w="935" w:type="dxa"/>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41.2</w:t>
            </w:r>
          </w:p>
        </w:tc>
        <w:tc>
          <w:tcPr>
            <w:tcW w:w="861" w:type="dxa"/>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39.6</w:t>
            </w:r>
          </w:p>
        </w:tc>
        <w:tc>
          <w:tcPr>
            <w:tcW w:w="1798" w:type="dxa"/>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60</w:t>
            </w:r>
          </w:p>
        </w:tc>
        <w:tc>
          <w:tcPr>
            <w:tcW w:w="1798" w:type="dxa"/>
            <w:vAlign w:val="center"/>
          </w:tcPr>
          <w:p>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883" w:type="dxa"/>
            <w:shd w:val="clear" w:color="auto" w:fill="auto"/>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拥护村</w:t>
            </w:r>
          </w:p>
        </w:tc>
        <w:tc>
          <w:tcPr>
            <w:tcW w:w="935" w:type="dxa"/>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40.5</w:t>
            </w:r>
          </w:p>
        </w:tc>
        <w:tc>
          <w:tcPr>
            <w:tcW w:w="852" w:type="dxa"/>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38.7</w:t>
            </w:r>
          </w:p>
        </w:tc>
        <w:tc>
          <w:tcPr>
            <w:tcW w:w="935" w:type="dxa"/>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40.1</w:t>
            </w:r>
          </w:p>
        </w:tc>
        <w:tc>
          <w:tcPr>
            <w:tcW w:w="861" w:type="dxa"/>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rPr>
            </w:pPr>
            <w:r>
              <w:rPr>
                <w:rFonts w:hint="default" w:ascii="Times New Roman" w:hAnsi="Times New Roman" w:eastAsia="宋体" w:cs="Times New Roman"/>
                <w:i w:val="0"/>
                <w:color w:val="auto"/>
                <w:kern w:val="0"/>
                <w:sz w:val="21"/>
                <w:szCs w:val="21"/>
                <w:u w:val="none"/>
                <w:lang w:val="en-US" w:eastAsia="zh-CN" w:bidi="ar"/>
              </w:rPr>
              <w:t>38.2</w:t>
            </w:r>
          </w:p>
        </w:tc>
        <w:tc>
          <w:tcPr>
            <w:tcW w:w="1798" w:type="dxa"/>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5</w:t>
            </w:r>
            <w:r>
              <w:rPr>
                <w:rFonts w:hint="default"/>
                <w:color w:val="auto"/>
              </w:rPr>
              <w:t>5</w:t>
            </w:r>
          </w:p>
        </w:tc>
        <w:tc>
          <w:tcPr>
            <w:tcW w:w="1798" w:type="dxa"/>
            <w:vAlign w:val="center"/>
          </w:tcPr>
          <w:p>
            <w:pPr>
              <w:keepNext w:val="0"/>
              <w:keepLines w:val="0"/>
              <w:suppressLineNumbers w:val="0"/>
              <w:spacing w:before="0" w:beforeAutospacing="0" w:after="0" w:afterAutospacing="0"/>
              <w:ind w:left="0" w:right="0"/>
              <w:jc w:val="center"/>
              <w:rPr>
                <w:rFonts w:hint="default"/>
                <w:color w:val="auto"/>
              </w:rPr>
            </w:pPr>
            <w:r>
              <w:rPr>
                <w:rFonts w:hint="eastAsia"/>
                <w:color w:val="auto"/>
              </w:rPr>
              <w:t>4</w:t>
            </w:r>
            <w:r>
              <w:rPr>
                <w:rFonts w:hint="default"/>
                <w:color w:val="auto"/>
              </w:rPr>
              <w:t>5</w:t>
            </w:r>
          </w:p>
        </w:tc>
      </w:tr>
      <w:bookmarkEnd w:id="519"/>
    </w:tbl>
    <w:p>
      <w:pPr>
        <w:pStyle w:val="6"/>
        <w:numPr>
          <w:ilvl w:val="3"/>
          <w:numId w:val="2"/>
        </w:numPr>
        <w:spacing w:before="156" w:after="156"/>
        <w:rPr>
          <w:color w:val="auto"/>
        </w:rPr>
      </w:pPr>
      <w:r>
        <w:rPr>
          <w:color w:val="auto"/>
        </w:rPr>
        <w:t>现状评价及结果</w:t>
      </w:r>
    </w:p>
    <w:p>
      <w:pPr>
        <w:pStyle w:val="33"/>
        <w:rPr>
          <w:color w:val="auto"/>
        </w:rPr>
      </w:pPr>
      <w:r>
        <w:rPr>
          <w:color w:val="auto"/>
        </w:rPr>
        <w:t>由上表可知，本项目</w:t>
      </w:r>
      <w:r>
        <w:rPr>
          <w:rFonts w:hint="eastAsia"/>
          <w:color w:val="auto"/>
          <w:lang w:eastAsia="zh-CN"/>
        </w:rPr>
        <w:t>拟建钻井井场</w:t>
      </w:r>
      <w:r>
        <w:rPr>
          <w:rFonts w:hint="eastAsia"/>
          <w:color w:val="auto"/>
        </w:rPr>
        <w:t>处</w:t>
      </w:r>
      <w:r>
        <w:rPr>
          <w:color w:val="auto"/>
        </w:rPr>
        <w:t>声环境质量噪声均满足《声环境质量标准》（GB3096-2008）中2类标准</w:t>
      </w:r>
      <w:r>
        <w:rPr>
          <w:rFonts w:hint="eastAsia"/>
          <w:color w:val="auto"/>
        </w:rPr>
        <w:t>；</w:t>
      </w:r>
      <w:r>
        <w:rPr>
          <w:rFonts w:hint="eastAsia"/>
          <w:color w:val="auto"/>
          <w:lang w:eastAsia="zh-CN"/>
        </w:rPr>
        <w:t>拥护村</w:t>
      </w:r>
      <w:r>
        <w:rPr>
          <w:rFonts w:hint="eastAsia"/>
          <w:color w:val="auto"/>
        </w:rPr>
        <w:t>昼间和夜间声环境质量噪声满足《声环境质量标准》（GB3096-2008）中1类标准。</w:t>
      </w:r>
    </w:p>
    <w:p>
      <w:pPr>
        <w:pStyle w:val="5"/>
        <w:numPr>
          <w:ilvl w:val="2"/>
          <w:numId w:val="2"/>
        </w:numPr>
        <w:spacing w:before="156" w:after="156"/>
        <w:rPr>
          <w:color w:val="auto"/>
        </w:rPr>
      </w:pPr>
      <w:bookmarkStart w:id="520" w:name="_Toc20603"/>
      <w:bookmarkStart w:id="521" w:name="_Toc15047"/>
      <w:bookmarkStart w:id="522" w:name="_Toc49175011"/>
      <w:bookmarkStart w:id="523" w:name="_Toc13278"/>
      <w:bookmarkStart w:id="524" w:name="_Toc7937"/>
      <w:bookmarkStart w:id="525" w:name="_Toc14026"/>
      <w:bookmarkStart w:id="526" w:name="_Toc49174836"/>
      <w:r>
        <w:rPr>
          <w:color w:val="auto"/>
        </w:rPr>
        <w:t>土壤环境质量现状调查与评价</w:t>
      </w:r>
      <w:bookmarkEnd w:id="520"/>
      <w:bookmarkEnd w:id="521"/>
      <w:bookmarkEnd w:id="522"/>
      <w:bookmarkEnd w:id="523"/>
      <w:bookmarkEnd w:id="524"/>
      <w:bookmarkEnd w:id="525"/>
      <w:bookmarkEnd w:id="526"/>
    </w:p>
    <w:p>
      <w:pPr>
        <w:pStyle w:val="6"/>
        <w:numPr>
          <w:ilvl w:val="3"/>
          <w:numId w:val="2"/>
        </w:numPr>
        <w:bidi w:val="0"/>
        <w:rPr>
          <w:b w:val="0"/>
          <w:snapToGrid w:val="0"/>
          <w:color w:val="auto"/>
          <w:kern w:val="0"/>
          <w:sz w:val="28"/>
          <w:szCs w:val="28"/>
        </w:rPr>
      </w:pPr>
      <w:r>
        <w:rPr>
          <w:rFonts w:hAnsi="宋体"/>
          <w:b w:val="0"/>
          <w:snapToGrid w:val="0"/>
          <w:color w:val="auto"/>
          <w:kern w:val="0"/>
          <w:sz w:val="28"/>
          <w:szCs w:val="28"/>
        </w:rPr>
        <w:t>理化特性调查</w:t>
      </w:r>
      <w:r>
        <w:rPr>
          <w:b w:val="0"/>
          <w:snapToGrid w:val="0"/>
          <w:color w:val="auto"/>
          <w:kern w:val="0"/>
          <w:sz w:val="28"/>
          <w:szCs w:val="28"/>
        </w:rPr>
        <w:t xml:space="preserve"> </w:t>
      </w:r>
    </w:p>
    <w:p>
      <w:pPr>
        <w:pStyle w:val="83"/>
        <w:bidi w:val="0"/>
        <w:rPr>
          <w:rFonts w:hint="eastAsia" w:eastAsia="宋体"/>
          <w:color w:val="auto"/>
          <w:lang w:eastAsia="zh-CN"/>
        </w:rPr>
      </w:pPr>
      <w:r>
        <w:rPr>
          <w:color w:val="auto"/>
        </w:rPr>
        <w:t>在充分收集资料的基础上，根据土壤环境影响类型、建设项目特征与评价需要，有针对性地选择土壤理化特性调查内容，主要包括土体构型、土壤结构、土壤质地、阳离子交换量、氧化还原电位、饱和导水率、土壤容重、孔隙度，具体土壤理化特性调查见表4.3-1</w:t>
      </w:r>
      <w:r>
        <w:rPr>
          <w:rFonts w:hint="eastAsia"/>
          <w:color w:val="auto"/>
          <w:lang w:val="en-US" w:eastAsia="zh-CN"/>
        </w:rPr>
        <w:t>1</w:t>
      </w:r>
      <w:r>
        <w:rPr>
          <w:color w:val="auto"/>
        </w:rPr>
        <w:t>。</w:t>
      </w:r>
      <w:r>
        <w:rPr>
          <w:rFonts w:hint="eastAsia"/>
          <w:color w:val="auto"/>
          <w:szCs w:val="28"/>
        </w:rPr>
        <w:t>土壤类型图见</w:t>
      </w:r>
      <w:r>
        <w:rPr>
          <w:rFonts w:hint="eastAsia"/>
          <w:color w:val="auto"/>
          <w:szCs w:val="28"/>
          <w:lang w:eastAsia="zh-CN"/>
        </w:rPr>
        <w:t>附</w:t>
      </w:r>
      <w:r>
        <w:rPr>
          <w:rFonts w:hint="eastAsia"/>
          <w:color w:val="auto"/>
          <w:szCs w:val="28"/>
        </w:rPr>
        <w:t>图4.3-</w:t>
      </w:r>
      <w:r>
        <w:rPr>
          <w:rFonts w:hint="eastAsia"/>
          <w:color w:val="auto"/>
          <w:szCs w:val="28"/>
          <w:lang w:val="en-US" w:eastAsia="zh-CN"/>
        </w:rPr>
        <w:t>2。</w:t>
      </w:r>
    </w:p>
    <w:p>
      <w:pPr>
        <w:pStyle w:val="7"/>
        <w:numPr>
          <w:ilvl w:val="4"/>
          <w:numId w:val="2"/>
        </w:numPr>
        <w:bidi w:val="0"/>
        <w:jc w:val="center"/>
        <w:rPr>
          <w:rFonts w:hint="eastAsia" w:hAnsi="宋体"/>
          <w:color w:val="auto"/>
          <w:spacing w:val="-4"/>
          <w:sz w:val="28"/>
          <w:szCs w:val="28"/>
        </w:rPr>
      </w:pPr>
      <w:r>
        <w:rPr>
          <w:rFonts w:hAnsi="宋体"/>
          <w:color w:val="auto"/>
          <w:spacing w:val="-4"/>
          <w:sz w:val="28"/>
          <w:szCs w:val="28"/>
        </w:rPr>
        <w:t>土壤理化性质调查表</w:t>
      </w:r>
    </w:p>
    <w:tbl>
      <w:tblPr>
        <w:tblStyle w:val="3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477"/>
        <w:gridCol w:w="1616"/>
        <w:gridCol w:w="1367"/>
        <w:gridCol w:w="1383"/>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9"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点号</w:t>
            </w:r>
          </w:p>
        </w:tc>
        <w:tc>
          <w:tcPr>
            <w:tcW w:w="2983"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eastAsia" w:cs="宋体"/>
                <w:color w:val="auto"/>
                <w:kern w:val="0"/>
                <w:sz w:val="20"/>
                <w:szCs w:val="20"/>
                <w:highlight w:val="none"/>
                <w:lang w:bidi="ar"/>
              </w:rPr>
              <w:t>拟建B井场</w:t>
            </w:r>
            <w:r>
              <w:rPr>
                <w:rFonts w:hint="eastAsia" w:cs="宋体"/>
                <w:color w:val="auto"/>
                <w:kern w:val="0"/>
                <w:sz w:val="20"/>
                <w:szCs w:val="20"/>
                <w:highlight w:val="none"/>
                <w:lang w:eastAsia="zh-CN" w:bidi="ar"/>
              </w:rPr>
              <w:t>注采井</w:t>
            </w:r>
            <w:r>
              <w:rPr>
                <w:rFonts w:hint="eastAsia" w:cs="宋体"/>
                <w:color w:val="auto"/>
                <w:kern w:val="0"/>
                <w:sz w:val="20"/>
                <w:szCs w:val="20"/>
                <w:highlight w:val="none"/>
                <w:lang w:bidi="ar"/>
              </w:rPr>
              <w:t>永久占地内</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时间</w:t>
            </w:r>
          </w:p>
        </w:tc>
        <w:tc>
          <w:tcPr>
            <w:tcW w:w="18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202</w:t>
            </w:r>
            <w:r>
              <w:rPr>
                <w:rFonts w:hint="eastAsia" w:ascii="Times New Roman" w:hAnsi="Times New Roman" w:cs="Times New Roman"/>
                <w:color w:val="auto"/>
                <w:szCs w:val="21"/>
                <w:highlight w:val="none"/>
                <w:lang w:val="en-US" w:eastAsia="zh-CN"/>
              </w:rPr>
              <w:t>2</w:t>
            </w:r>
            <w:r>
              <w:rPr>
                <w:rFonts w:hint="default" w:ascii="Times New Roman" w:hAnsi="Times New Roman" w:eastAsia="宋体" w:cs="Times New Roman"/>
                <w:color w:val="auto"/>
                <w:szCs w:val="21"/>
                <w:highlight w:val="none"/>
              </w:rPr>
              <w:t>.</w:t>
            </w:r>
            <w:r>
              <w:rPr>
                <w:rFonts w:hint="eastAsia" w:ascii="Times New Roman" w:hAnsi="Times New Roman" w:cs="Times New Roman"/>
                <w:color w:val="auto"/>
                <w:szCs w:val="21"/>
                <w:highlight w:val="none"/>
                <w:lang w:val="en-US" w:eastAsia="zh-CN"/>
              </w:rPr>
              <w:t>03.22</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9"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2983"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125.273397</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纬度</w:t>
            </w:r>
          </w:p>
        </w:tc>
        <w:tc>
          <w:tcPr>
            <w:tcW w:w="18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46.</w:t>
            </w:r>
            <w:r>
              <w:rPr>
                <w:rFonts w:hint="eastAsia" w:ascii="Times New Roman" w:hAnsi="Times New Roman" w:cs="Times New Roman"/>
                <w:color w:val="auto"/>
                <w:szCs w:val="21"/>
                <w:highlight w:val="none"/>
                <w:lang w:val="en-US" w:eastAsia="zh-CN"/>
              </w:rPr>
              <w:t>221722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9"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层次</w:t>
            </w:r>
          </w:p>
        </w:tc>
        <w:tc>
          <w:tcPr>
            <w:tcW w:w="1616" w:type="dxa"/>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0-0.5m</w:t>
            </w:r>
          </w:p>
        </w:tc>
        <w:tc>
          <w:tcPr>
            <w:tcW w:w="1367" w:type="dxa"/>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0.5-1.5m</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1.5-3m</w:t>
            </w:r>
          </w:p>
        </w:tc>
        <w:tc>
          <w:tcPr>
            <w:tcW w:w="1883" w:type="dxa"/>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现场记录</w:t>
            </w: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颜色</w:t>
            </w:r>
          </w:p>
        </w:tc>
        <w:tc>
          <w:tcPr>
            <w:tcW w:w="1616"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褐色</w:t>
            </w:r>
          </w:p>
        </w:tc>
        <w:tc>
          <w:tcPr>
            <w:tcW w:w="136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褐色</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褐色</w:t>
            </w:r>
          </w:p>
        </w:tc>
        <w:tc>
          <w:tcPr>
            <w:tcW w:w="18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结构</w:t>
            </w:r>
          </w:p>
        </w:tc>
        <w:tc>
          <w:tcPr>
            <w:tcW w:w="1616"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砂壤</w:t>
            </w:r>
          </w:p>
        </w:tc>
        <w:tc>
          <w:tcPr>
            <w:tcW w:w="136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壤土</w:t>
            </w:r>
          </w:p>
        </w:tc>
        <w:tc>
          <w:tcPr>
            <w:tcW w:w="13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壤土</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质地</w:t>
            </w:r>
          </w:p>
        </w:tc>
        <w:tc>
          <w:tcPr>
            <w:tcW w:w="1616"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团粒状</w:t>
            </w:r>
          </w:p>
        </w:tc>
        <w:tc>
          <w:tcPr>
            <w:tcW w:w="136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粒状</w:t>
            </w:r>
          </w:p>
        </w:tc>
        <w:tc>
          <w:tcPr>
            <w:tcW w:w="13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粒状</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沙粒含量</w:t>
            </w:r>
          </w:p>
        </w:tc>
        <w:tc>
          <w:tcPr>
            <w:tcW w:w="1616"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21.4</w:t>
            </w:r>
          </w:p>
        </w:tc>
        <w:tc>
          <w:tcPr>
            <w:tcW w:w="1367"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20.2</w:t>
            </w:r>
          </w:p>
        </w:tc>
        <w:tc>
          <w:tcPr>
            <w:tcW w:w="1383"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19.2</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其他异物</w:t>
            </w:r>
          </w:p>
        </w:tc>
        <w:tc>
          <w:tcPr>
            <w:tcW w:w="1616"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植物根系</w:t>
            </w:r>
          </w:p>
        </w:tc>
        <w:tc>
          <w:tcPr>
            <w:tcW w:w="1367"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无</w:t>
            </w:r>
          </w:p>
        </w:tc>
        <w:tc>
          <w:tcPr>
            <w:tcW w:w="1383"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无</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restart"/>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实验室测定</w:t>
            </w: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pH</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w:t>
            </w:r>
            <w:r>
              <w:rPr>
                <w:rFonts w:hint="eastAsia" w:ascii="Times New Roman" w:hAnsi="Times New Roman" w:eastAsia="宋体" w:cs="Times New Roman"/>
                <w:color w:val="auto"/>
                <w:szCs w:val="21"/>
                <w:highlight w:val="none"/>
                <w:lang w:val="en-US" w:eastAsia="zh-CN"/>
              </w:rPr>
              <w:t>48</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8.37</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8.42</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阳离子交换量(cmol+/kg)</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16.7</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15.1</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13.6</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氧化还原电位（mv）</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163</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160</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154</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饱和导水率(µm/s)</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0.919</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0.914</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0.928</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土壤容重 (g/cm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1.39</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1.41</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1.44</w:t>
            </w:r>
          </w:p>
        </w:tc>
        <w:tc>
          <w:tcPr>
            <w:tcW w:w="1883"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孔隙度(%)</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47.5 </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46.8 </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45.7 </w:t>
            </w:r>
          </w:p>
        </w:tc>
        <w:tc>
          <w:tcPr>
            <w:tcW w:w="1883"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9"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点号</w:t>
            </w:r>
          </w:p>
        </w:tc>
        <w:tc>
          <w:tcPr>
            <w:tcW w:w="2983" w:type="dxa"/>
            <w:gridSpan w:val="2"/>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rPr>
            </w:pPr>
            <w:r>
              <w:rPr>
                <w:rFonts w:hint="eastAsia" w:cs="宋体"/>
                <w:color w:val="auto"/>
                <w:kern w:val="0"/>
                <w:sz w:val="20"/>
                <w:szCs w:val="20"/>
                <w:lang w:bidi="ar"/>
              </w:rPr>
              <w:t>拟建</w:t>
            </w:r>
            <w:r>
              <w:rPr>
                <w:rFonts w:hint="eastAsia" w:cs="宋体"/>
                <w:color w:val="auto"/>
                <w:kern w:val="0"/>
                <w:sz w:val="20"/>
                <w:szCs w:val="20"/>
                <w:lang w:val="en-US" w:eastAsia="zh-CN" w:bidi="ar"/>
              </w:rPr>
              <w:t>C井场</w:t>
            </w:r>
            <w:r>
              <w:rPr>
                <w:rFonts w:hint="eastAsia" w:cs="宋体"/>
                <w:color w:val="auto"/>
                <w:kern w:val="0"/>
                <w:sz w:val="20"/>
                <w:szCs w:val="20"/>
                <w:lang w:bidi="ar"/>
              </w:rPr>
              <w:t>永久占地内</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时间</w:t>
            </w:r>
          </w:p>
        </w:tc>
        <w:tc>
          <w:tcPr>
            <w:tcW w:w="18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202</w:t>
            </w:r>
            <w:r>
              <w:rPr>
                <w:rFonts w:hint="eastAsia" w:ascii="Times New Roman" w:hAnsi="Times New Roman" w:cs="Times New Roman"/>
                <w:color w:val="auto"/>
                <w:szCs w:val="21"/>
                <w:highlight w:val="none"/>
                <w:lang w:val="en-US" w:eastAsia="zh-CN"/>
              </w:rPr>
              <w:t>2</w:t>
            </w:r>
            <w:r>
              <w:rPr>
                <w:rFonts w:hint="default" w:ascii="Times New Roman" w:hAnsi="Times New Roman" w:eastAsia="宋体" w:cs="Times New Roman"/>
                <w:color w:val="auto"/>
                <w:szCs w:val="21"/>
                <w:highlight w:val="none"/>
              </w:rPr>
              <w:t>.</w:t>
            </w:r>
            <w:r>
              <w:rPr>
                <w:rFonts w:hint="eastAsia" w:ascii="Times New Roman" w:hAnsi="Times New Roman" w:cs="Times New Roman"/>
                <w:color w:val="auto"/>
                <w:szCs w:val="21"/>
                <w:highlight w:val="none"/>
                <w:lang w:val="en-US" w:eastAsia="zh-CN"/>
              </w:rPr>
              <w:t>03.22</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9"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2983"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lang w:val="en-US" w:eastAsia="zh-CN"/>
              </w:rPr>
              <w:t>125.285345</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纬度</w:t>
            </w:r>
          </w:p>
        </w:tc>
        <w:tc>
          <w:tcPr>
            <w:tcW w:w="18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46.</w:t>
            </w:r>
            <w:r>
              <w:rPr>
                <w:rFonts w:hint="default" w:ascii="Times New Roman" w:hAnsi="Times New Roman" w:cs="Times New Roman"/>
                <w:color w:val="auto"/>
                <w:szCs w:val="21"/>
                <w:highlight w:val="none"/>
                <w:lang w:val="en-US" w:eastAsia="zh-CN"/>
              </w:rPr>
              <w:t>206208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39" w:type="dxa"/>
            <w:gridSpan w:val="2"/>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层次</w:t>
            </w:r>
          </w:p>
        </w:tc>
        <w:tc>
          <w:tcPr>
            <w:tcW w:w="1616" w:type="dxa"/>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0-0.5m</w:t>
            </w:r>
          </w:p>
        </w:tc>
        <w:tc>
          <w:tcPr>
            <w:tcW w:w="1367" w:type="dxa"/>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0.5-1.5m</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1.5-3m</w:t>
            </w:r>
          </w:p>
        </w:tc>
        <w:tc>
          <w:tcPr>
            <w:tcW w:w="1883" w:type="dxa"/>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现场记录</w:t>
            </w: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颜色</w:t>
            </w:r>
          </w:p>
        </w:tc>
        <w:tc>
          <w:tcPr>
            <w:tcW w:w="1616"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褐色</w:t>
            </w:r>
          </w:p>
        </w:tc>
        <w:tc>
          <w:tcPr>
            <w:tcW w:w="136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褐色</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褐色</w:t>
            </w:r>
          </w:p>
        </w:tc>
        <w:tc>
          <w:tcPr>
            <w:tcW w:w="18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结构</w:t>
            </w:r>
          </w:p>
        </w:tc>
        <w:tc>
          <w:tcPr>
            <w:tcW w:w="1616"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砂壤</w:t>
            </w:r>
          </w:p>
        </w:tc>
        <w:tc>
          <w:tcPr>
            <w:tcW w:w="136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壤土</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壤土</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质地</w:t>
            </w:r>
          </w:p>
        </w:tc>
        <w:tc>
          <w:tcPr>
            <w:tcW w:w="1616"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团粒状</w:t>
            </w:r>
          </w:p>
        </w:tc>
        <w:tc>
          <w:tcPr>
            <w:tcW w:w="136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粒状</w:t>
            </w:r>
          </w:p>
        </w:tc>
        <w:tc>
          <w:tcPr>
            <w:tcW w:w="1383"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粒状</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沙粒含量</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val="en-US" w:eastAsia="zh-CN"/>
              </w:rPr>
              <w:t>2</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4</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r>
              <w:rPr>
                <w:rFonts w:hint="default" w:ascii="Times New Roman" w:hAnsi="Times New Roman" w:cs="Times New Roman"/>
                <w:color w:val="auto"/>
                <w:sz w:val="21"/>
                <w:szCs w:val="21"/>
                <w:highlight w:val="none"/>
                <w:lang w:val="en-US" w:eastAsia="zh-CN"/>
              </w:rPr>
              <w:t>8</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其他异物</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植物根系</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restart"/>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实验室测定</w:t>
            </w: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pH</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color w:val="auto"/>
                <w:kern w:val="2"/>
                <w:sz w:val="21"/>
                <w:szCs w:val="21"/>
                <w:highlight w:val="none"/>
                <w:lang w:val="en-US" w:eastAsia="zh-CN" w:bidi="ar-SA"/>
              </w:rPr>
              <w:t>8.</w:t>
            </w:r>
            <w:r>
              <w:rPr>
                <w:rFonts w:hint="default" w:ascii="Times New Roman" w:hAnsi="Times New Roman" w:cs="Times New Roman"/>
                <w:b w:val="0"/>
                <w:color w:val="auto"/>
                <w:kern w:val="2"/>
                <w:sz w:val="21"/>
                <w:szCs w:val="21"/>
                <w:highlight w:val="none"/>
                <w:lang w:val="en-US" w:eastAsia="zh-CN" w:bidi="ar-SA"/>
              </w:rPr>
              <w:t>29</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color w:val="auto"/>
                <w:kern w:val="2"/>
                <w:sz w:val="21"/>
                <w:szCs w:val="21"/>
                <w:highlight w:val="none"/>
                <w:lang w:val="en-US" w:eastAsia="zh-CN" w:bidi="ar-SA"/>
              </w:rPr>
              <w:t>8.1</w:t>
            </w:r>
            <w:r>
              <w:rPr>
                <w:rFonts w:hint="default" w:ascii="Times New Roman" w:hAnsi="Times New Roman" w:cs="Times New Roman"/>
                <w:b w:val="0"/>
                <w:color w:val="auto"/>
                <w:kern w:val="2"/>
                <w:sz w:val="21"/>
                <w:szCs w:val="21"/>
                <w:highlight w:val="none"/>
                <w:lang w:val="en-US" w:eastAsia="zh-CN" w:bidi="ar-SA"/>
              </w:rPr>
              <w:t>4</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color w:val="auto"/>
                <w:kern w:val="2"/>
                <w:sz w:val="21"/>
                <w:szCs w:val="21"/>
                <w:highlight w:val="none"/>
                <w:lang w:val="en-US" w:eastAsia="zh-CN" w:bidi="ar-SA"/>
              </w:rPr>
              <w:t>8.</w:t>
            </w:r>
            <w:r>
              <w:rPr>
                <w:rFonts w:hint="default" w:ascii="Times New Roman" w:hAnsi="Times New Roman" w:cs="Times New Roman"/>
                <w:b w:val="0"/>
                <w:color w:val="auto"/>
                <w:kern w:val="2"/>
                <w:sz w:val="21"/>
                <w:szCs w:val="21"/>
                <w:highlight w:val="none"/>
                <w:lang w:val="en-US" w:eastAsia="zh-CN" w:bidi="ar-SA"/>
              </w:rPr>
              <w:t>03</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阳离子交换量(cmol+/kg)</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r>
              <w:rPr>
                <w:rFonts w:hint="default" w:ascii="Times New Roman" w:hAnsi="Times New Roman" w:cs="Times New Roman"/>
                <w:color w:val="auto"/>
                <w:sz w:val="21"/>
                <w:szCs w:val="21"/>
                <w:highlight w:val="none"/>
                <w:lang w:val="en-US" w:eastAsia="zh-CN"/>
              </w:rPr>
              <w:t>4</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6</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2</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氧化还原电位（mv）</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r>
              <w:rPr>
                <w:rFonts w:hint="default" w:ascii="Times New Roman" w:hAnsi="Times New Roman" w:cs="Times New Roman"/>
                <w:color w:val="auto"/>
                <w:sz w:val="21"/>
                <w:szCs w:val="21"/>
                <w:highlight w:val="none"/>
                <w:lang w:val="en-US" w:eastAsia="zh-CN"/>
              </w:rPr>
              <w:t>1</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54</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42</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饱和导水率(µm/s)</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0.919</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0.914</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0.928</w:t>
            </w:r>
          </w:p>
        </w:tc>
        <w:tc>
          <w:tcPr>
            <w:tcW w:w="1883" w:type="dxa"/>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土壤容重 (g/cm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rPr>
              <w:t>)</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1.39</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1.41</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1.44</w:t>
            </w:r>
          </w:p>
        </w:tc>
        <w:tc>
          <w:tcPr>
            <w:tcW w:w="1883"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2" w:type="dxa"/>
            <w:vMerge w:val="continue"/>
            <w:noWrap w:val="0"/>
            <w:vAlign w:val="top"/>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p>
        </w:tc>
        <w:tc>
          <w:tcPr>
            <w:tcW w:w="2477" w:type="dxa"/>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孔隙度(%)</w:t>
            </w:r>
          </w:p>
        </w:tc>
        <w:tc>
          <w:tcPr>
            <w:tcW w:w="1616"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47.5</w:t>
            </w:r>
          </w:p>
        </w:tc>
        <w:tc>
          <w:tcPr>
            <w:tcW w:w="1367"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46.8</w:t>
            </w:r>
          </w:p>
        </w:tc>
        <w:tc>
          <w:tcPr>
            <w:tcW w:w="1383" w:type="dxa"/>
            <w:noWrap w:val="0"/>
            <w:vAlign w:val="center"/>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45.7</w:t>
            </w:r>
          </w:p>
        </w:tc>
        <w:tc>
          <w:tcPr>
            <w:tcW w:w="1883" w:type="dxa"/>
            <w:noWrap w:val="0"/>
            <w:vAlign w:val="top"/>
          </w:tcPr>
          <w:p>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Cs w:val="21"/>
                <w:highlight w:val="none"/>
                <w:lang w:val="en-US" w:eastAsia="zh-CN"/>
              </w:rPr>
            </w:pPr>
          </w:p>
        </w:tc>
      </w:tr>
    </w:tbl>
    <w:p>
      <w:pPr>
        <w:pStyle w:val="6"/>
        <w:numPr>
          <w:ilvl w:val="3"/>
          <w:numId w:val="2"/>
        </w:numPr>
        <w:bidi w:val="0"/>
        <w:rPr>
          <w:b w:val="0"/>
          <w:snapToGrid w:val="0"/>
          <w:color w:val="auto"/>
          <w:kern w:val="0"/>
          <w:sz w:val="28"/>
          <w:szCs w:val="28"/>
        </w:rPr>
      </w:pPr>
      <w:r>
        <w:rPr>
          <w:rFonts w:hAnsi="宋体"/>
          <w:b w:val="0"/>
          <w:snapToGrid w:val="0"/>
          <w:color w:val="auto"/>
          <w:kern w:val="0"/>
          <w:sz w:val="28"/>
          <w:szCs w:val="28"/>
        </w:rPr>
        <w:t>现状监测</w:t>
      </w:r>
    </w:p>
    <w:p>
      <w:pPr>
        <w:snapToGrid w:val="0"/>
        <w:spacing w:line="480" w:lineRule="exact"/>
        <w:ind w:firstLine="544" w:firstLineChars="200"/>
        <w:rPr>
          <w:color w:val="auto"/>
          <w:spacing w:val="-4"/>
          <w:sz w:val="28"/>
          <w:szCs w:val="28"/>
        </w:rPr>
      </w:pPr>
      <w:r>
        <w:rPr>
          <w:rFonts w:hAnsi="宋体"/>
          <w:color w:val="auto"/>
          <w:spacing w:val="-4"/>
          <w:sz w:val="28"/>
          <w:szCs w:val="28"/>
        </w:rPr>
        <w:t>（</w:t>
      </w:r>
      <w:r>
        <w:rPr>
          <w:color w:val="auto"/>
          <w:spacing w:val="-4"/>
          <w:sz w:val="28"/>
          <w:szCs w:val="28"/>
        </w:rPr>
        <w:t>1</w:t>
      </w:r>
      <w:r>
        <w:rPr>
          <w:rFonts w:hAnsi="宋体"/>
          <w:color w:val="auto"/>
          <w:spacing w:val="-4"/>
          <w:sz w:val="28"/>
          <w:szCs w:val="28"/>
        </w:rPr>
        <w:t>）监测范围及点位布设</w:t>
      </w:r>
    </w:p>
    <w:p>
      <w:pPr>
        <w:snapToGrid w:val="0"/>
        <w:spacing w:line="480" w:lineRule="exact"/>
        <w:ind w:firstLine="544" w:firstLineChars="200"/>
        <w:rPr>
          <w:rFonts w:hint="eastAsia"/>
          <w:color w:val="auto"/>
          <w:spacing w:val="-4"/>
          <w:sz w:val="28"/>
          <w:szCs w:val="28"/>
        </w:rPr>
      </w:pPr>
      <w:r>
        <w:rPr>
          <w:rFonts w:hAnsi="宋体"/>
          <w:color w:val="auto"/>
          <w:spacing w:val="-4"/>
          <w:sz w:val="28"/>
          <w:szCs w:val="28"/>
        </w:rPr>
        <w:t>根据土壤类型、土地利用情况，在本工程开发区选择典型地段分别作为土壤监测的采样点，具体位置见表</w:t>
      </w:r>
      <w:r>
        <w:rPr>
          <w:color w:val="auto"/>
          <w:spacing w:val="-4"/>
          <w:sz w:val="28"/>
          <w:szCs w:val="28"/>
        </w:rPr>
        <w:t>4.3-1</w:t>
      </w:r>
      <w:r>
        <w:rPr>
          <w:rFonts w:hint="eastAsia"/>
          <w:color w:val="auto"/>
          <w:spacing w:val="-4"/>
          <w:sz w:val="28"/>
          <w:szCs w:val="28"/>
          <w:lang w:val="en-US" w:eastAsia="zh-CN"/>
        </w:rPr>
        <w:t>2</w:t>
      </w:r>
      <w:r>
        <w:rPr>
          <w:rFonts w:hAnsi="宋体"/>
          <w:color w:val="auto"/>
          <w:spacing w:val="-4"/>
          <w:sz w:val="28"/>
          <w:szCs w:val="28"/>
        </w:rPr>
        <w:t>及</w:t>
      </w:r>
      <w:r>
        <w:rPr>
          <w:rFonts w:hint="eastAsia" w:hAnsi="宋体"/>
          <w:color w:val="auto"/>
          <w:spacing w:val="-4"/>
          <w:sz w:val="28"/>
          <w:szCs w:val="28"/>
          <w:lang w:eastAsia="zh-CN"/>
        </w:rPr>
        <w:t>附</w:t>
      </w:r>
      <w:r>
        <w:rPr>
          <w:rFonts w:hAnsi="宋体"/>
          <w:color w:val="auto"/>
          <w:spacing w:val="-4"/>
          <w:sz w:val="28"/>
          <w:szCs w:val="28"/>
        </w:rPr>
        <w:t>图</w:t>
      </w:r>
      <w:r>
        <w:rPr>
          <w:color w:val="auto"/>
          <w:spacing w:val="-4"/>
          <w:sz w:val="28"/>
          <w:szCs w:val="28"/>
        </w:rPr>
        <w:t>4.3-1</w:t>
      </w:r>
      <w:r>
        <w:rPr>
          <w:rFonts w:hAnsi="宋体"/>
          <w:color w:val="auto"/>
          <w:spacing w:val="-4"/>
          <w:sz w:val="28"/>
          <w:szCs w:val="28"/>
        </w:rPr>
        <w:t>。</w:t>
      </w:r>
      <w:r>
        <w:rPr>
          <w:rFonts w:hint="eastAsia" w:hAnsi="宋体"/>
          <w:color w:val="auto"/>
          <w:spacing w:val="-4"/>
          <w:sz w:val="28"/>
          <w:szCs w:val="28"/>
        </w:rPr>
        <w:t>本项目对土壤的影响为污染影响型，评价工作等级为二级，根据导则要求，在占地范围内布置了3个柱状样点、1个表层样点，在占地范围外布置了1个表层样点。</w:t>
      </w:r>
    </w:p>
    <w:p>
      <w:pPr>
        <w:pStyle w:val="7"/>
        <w:numPr>
          <w:ilvl w:val="4"/>
          <w:numId w:val="2"/>
        </w:numPr>
        <w:bidi w:val="0"/>
        <w:rPr>
          <w:color w:val="auto"/>
          <w:spacing w:val="-4"/>
          <w:sz w:val="28"/>
          <w:szCs w:val="28"/>
        </w:rPr>
      </w:pPr>
      <w:r>
        <w:rPr>
          <w:rFonts w:hAnsi="宋体"/>
          <w:color w:val="auto"/>
          <w:spacing w:val="-4"/>
          <w:sz w:val="28"/>
          <w:szCs w:val="28"/>
        </w:rPr>
        <w:t>土壤现状监测点位</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578"/>
        <w:gridCol w:w="1815"/>
        <w:gridCol w:w="1834"/>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18"/>
                <w:szCs w:val="18"/>
              </w:rPr>
            </w:pPr>
            <w:r>
              <w:rPr>
                <w:rFonts w:hint="default" w:hAnsi="宋体"/>
                <w:color w:val="auto"/>
                <w:sz w:val="18"/>
                <w:szCs w:val="18"/>
              </w:rPr>
              <w:t>序号</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4"/>
              <w:jc w:val="center"/>
              <w:rPr>
                <w:rFonts w:hint="default"/>
                <w:color w:val="auto"/>
                <w:sz w:val="18"/>
                <w:szCs w:val="18"/>
              </w:rPr>
            </w:pPr>
            <w:r>
              <w:rPr>
                <w:rFonts w:hint="default" w:hAnsi="宋体"/>
                <w:color w:val="auto"/>
                <w:sz w:val="18"/>
                <w:szCs w:val="18"/>
              </w:rPr>
              <w:t>点位</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18"/>
                <w:szCs w:val="18"/>
                <w:lang w:eastAsia="zh-CN"/>
              </w:rPr>
            </w:pPr>
            <w:r>
              <w:rPr>
                <w:rFonts w:hint="eastAsia"/>
                <w:color w:val="auto"/>
                <w:sz w:val="18"/>
                <w:szCs w:val="18"/>
                <w:lang w:eastAsia="zh-CN"/>
              </w:rPr>
              <w:t>经度</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4"/>
              <w:jc w:val="center"/>
              <w:rPr>
                <w:rFonts w:hint="eastAsia" w:eastAsia="宋体"/>
                <w:color w:val="auto"/>
                <w:sz w:val="18"/>
                <w:szCs w:val="18"/>
                <w:lang w:eastAsia="zh-CN"/>
              </w:rPr>
            </w:pPr>
            <w:r>
              <w:rPr>
                <w:rFonts w:hint="eastAsia"/>
                <w:color w:val="auto"/>
                <w:sz w:val="18"/>
                <w:szCs w:val="18"/>
                <w:lang w:eastAsia="zh-CN"/>
              </w:rPr>
              <w:t>纬度</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4"/>
              <w:jc w:val="center"/>
              <w:rPr>
                <w:rFonts w:hint="default"/>
                <w:color w:val="auto"/>
                <w:sz w:val="18"/>
                <w:szCs w:val="18"/>
              </w:rPr>
            </w:pPr>
            <w:r>
              <w:rPr>
                <w:rFonts w:hint="default" w:hAnsi="宋体"/>
                <w:color w:val="auto"/>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T1</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color w:val="auto"/>
                <w:kern w:val="0"/>
                <w:sz w:val="20"/>
                <w:szCs w:val="20"/>
                <w:lang w:bidi="ar"/>
              </w:rPr>
            </w:pPr>
            <w:r>
              <w:rPr>
                <w:rFonts w:hint="eastAsia" w:cs="宋体"/>
                <w:color w:val="auto"/>
                <w:kern w:val="0"/>
                <w:sz w:val="20"/>
                <w:szCs w:val="20"/>
                <w:lang w:bidi="ar"/>
              </w:rPr>
              <w:t>拟建B井场</w:t>
            </w:r>
            <w:r>
              <w:rPr>
                <w:rFonts w:hint="eastAsia" w:cs="宋体"/>
                <w:color w:val="auto"/>
                <w:kern w:val="0"/>
                <w:sz w:val="20"/>
                <w:szCs w:val="20"/>
                <w:lang w:eastAsia="zh-CN" w:bidi="ar"/>
              </w:rPr>
              <w:t>注采井</w:t>
            </w:r>
            <w:r>
              <w:rPr>
                <w:rFonts w:hint="eastAsia" w:cs="宋体"/>
                <w:color w:val="auto"/>
                <w:kern w:val="0"/>
                <w:sz w:val="20"/>
                <w:szCs w:val="20"/>
                <w:lang w:bidi="ar"/>
              </w:rPr>
              <w:t>永久占地内</w:t>
            </w:r>
          </w:p>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125°16'47.7976"</w:t>
            </w:r>
          </w:p>
        </w:tc>
        <w:tc>
          <w:tcPr>
            <w:tcW w:w="1834" w:type="dxa"/>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46°13'22.3351"</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占地内，</w:t>
            </w:r>
            <w:r>
              <w:rPr>
                <w:rFonts w:hint="eastAsia"/>
                <w:color w:val="auto"/>
                <w:sz w:val="18"/>
                <w:szCs w:val="18"/>
                <w:lang w:eastAsia="zh-CN"/>
              </w:rPr>
              <w:t>柱状样，</w:t>
            </w:r>
            <w:r>
              <w:rPr>
                <w:rFonts w:hint="default"/>
                <w:color w:val="auto"/>
                <w:sz w:val="18"/>
                <w:szCs w:val="18"/>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T2</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color w:val="auto"/>
                <w:kern w:val="0"/>
                <w:sz w:val="20"/>
                <w:szCs w:val="20"/>
                <w:lang w:eastAsia="zh-CN" w:bidi="ar"/>
              </w:rPr>
            </w:pPr>
            <w:r>
              <w:rPr>
                <w:rFonts w:hint="eastAsia" w:cs="宋体"/>
                <w:color w:val="auto"/>
                <w:kern w:val="0"/>
                <w:sz w:val="20"/>
                <w:szCs w:val="20"/>
                <w:lang w:eastAsia="zh-CN" w:bidi="ar"/>
              </w:rPr>
              <w:t>拟建G井场永久占地内</w:t>
            </w:r>
          </w:p>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eastAsia="zh-CN" w:bidi="ar"/>
              </w:rPr>
              <w:t>占地内-柱状</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125°18'24.8413"</w:t>
            </w:r>
          </w:p>
        </w:tc>
        <w:tc>
          <w:tcPr>
            <w:tcW w:w="1834"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46°11'34.9463"</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占地内，</w:t>
            </w:r>
            <w:r>
              <w:rPr>
                <w:rFonts w:hint="eastAsia"/>
                <w:color w:val="auto"/>
                <w:sz w:val="18"/>
                <w:szCs w:val="18"/>
                <w:lang w:eastAsia="zh-CN"/>
              </w:rPr>
              <w:t>柱状样，</w:t>
            </w:r>
            <w:r>
              <w:rPr>
                <w:rFonts w:hint="default"/>
                <w:color w:val="auto"/>
                <w:sz w:val="18"/>
                <w:szCs w:val="18"/>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T3</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color w:val="auto"/>
                <w:kern w:val="0"/>
                <w:sz w:val="20"/>
                <w:szCs w:val="20"/>
                <w:lang w:bidi="ar"/>
              </w:rPr>
            </w:pPr>
            <w:r>
              <w:rPr>
                <w:rFonts w:hint="eastAsia" w:cs="宋体"/>
                <w:color w:val="auto"/>
                <w:kern w:val="0"/>
                <w:sz w:val="20"/>
                <w:szCs w:val="20"/>
                <w:lang w:bidi="ar"/>
              </w:rPr>
              <w:t>拟建</w:t>
            </w:r>
            <w:r>
              <w:rPr>
                <w:rFonts w:hint="eastAsia" w:cs="宋体"/>
                <w:color w:val="auto"/>
                <w:kern w:val="0"/>
                <w:sz w:val="20"/>
                <w:szCs w:val="20"/>
                <w:lang w:val="en-US" w:eastAsia="zh-CN" w:bidi="ar"/>
              </w:rPr>
              <w:t>C井场</w:t>
            </w:r>
            <w:r>
              <w:rPr>
                <w:rFonts w:hint="eastAsia" w:cs="宋体"/>
                <w:color w:val="auto"/>
                <w:kern w:val="0"/>
                <w:sz w:val="20"/>
                <w:szCs w:val="20"/>
                <w:lang w:bidi="ar"/>
              </w:rPr>
              <w:t>永久占地内</w:t>
            </w:r>
          </w:p>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占地内-柱状</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125°17'34.2164"</w:t>
            </w:r>
          </w:p>
        </w:tc>
        <w:tc>
          <w:tcPr>
            <w:tcW w:w="1834"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46°12'26.1638"</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占地内，</w:t>
            </w:r>
            <w:r>
              <w:rPr>
                <w:rFonts w:hint="eastAsia"/>
                <w:color w:val="auto"/>
                <w:sz w:val="18"/>
                <w:szCs w:val="18"/>
                <w:lang w:eastAsia="zh-CN"/>
              </w:rPr>
              <w:t>柱状样，草</w:t>
            </w:r>
            <w:r>
              <w:rPr>
                <w:rFonts w:hint="default"/>
                <w:color w:val="auto"/>
                <w:sz w:val="18"/>
                <w:szCs w:val="18"/>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T4</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color w:val="auto"/>
                <w:kern w:val="0"/>
                <w:sz w:val="20"/>
                <w:szCs w:val="20"/>
                <w:lang w:bidi="ar"/>
              </w:rPr>
            </w:pPr>
            <w:r>
              <w:rPr>
                <w:rFonts w:hint="eastAsia" w:cs="宋体"/>
                <w:color w:val="auto"/>
                <w:kern w:val="0"/>
                <w:sz w:val="20"/>
                <w:szCs w:val="20"/>
                <w:lang w:eastAsia="zh-CN" w:bidi="ar"/>
              </w:rPr>
              <w:t>拟建</w:t>
            </w:r>
            <w:r>
              <w:rPr>
                <w:rFonts w:hint="eastAsia" w:cs="宋体"/>
                <w:color w:val="auto"/>
                <w:kern w:val="0"/>
                <w:sz w:val="20"/>
                <w:szCs w:val="20"/>
                <w:lang w:bidi="ar"/>
              </w:rPr>
              <w:t>H井场永久占地内</w:t>
            </w:r>
          </w:p>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占地内表层</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125°18'20.4641"</w:t>
            </w:r>
          </w:p>
        </w:tc>
        <w:tc>
          <w:tcPr>
            <w:tcW w:w="1834"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46°11'24.1662"</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占地内，</w:t>
            </w:r>
            <w:r>
              <w:rPr>
                <w:rFonts w:hint="eastAsia"/>
                <w:color w:val="auto"/>
                <w:sz w:val="18"/>
                <w:szCs w:val="18"/>
                <w:lang w:eastAsia="zh-CN"/>
              </w:rPr>
              <w:t>表层样，</w:t>
            </w:r>
            <w:r>
              <w:rPr>
                <w:rFonts w:hint="default"/>
                <w:color w:val="auto"/>
                <w:sz w:val="18"/>
                <w:szCs w:val="18"/>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T5</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color w:val="auto"/>
                <w:kern w:val="0"/>
                <w:sz w:val="20"/>
                <w:szCs w:val="20"/>
                <w:lang w:eastAsia="zh-CN" w:bidi="ar"/>
              </w:rPr>
            </w:pPr>
            <w:r>
              <w:rPr>
                <w:rFonts w:hint="eastAsia" w:cs="宋体"/>
                <w:color w:val="auto"/>
                <w:kern w:val="0"/>
                <w:sz w:val="20"/>
                <w:szCs w:val="20"/>
                <w:lang w:eastAsia="zh-CN" w:bidi="ar"/>
              </w:rPr>
              <w:t>拟建B井场南200m处</w:t>
            </w:r>
          </w:p>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eastAsia="zh-CN" w:bidi="ar"/>
              </w:rPr>
              <w:t>占地外-表层</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125°16'47.9134"</w:t>
            </w:r>
          </w:p>
        </w:tc>
        <w:tc>
          <w:tcPr>
            <w:tcW w:w="1834"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46°13'20.9994"</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占地外，</w:t>
            </w:r>
            <w:r>
              <w:rPr>
                <w:rFonts w:hint="eastAsia"/>
                <w:color w:val="auto"/>
                <w:sz w:val="18"/>
                <w:szCs w:val="18"/>
                <w:lang w:eastAsia="zh-CN"/>
              </w:rPr>
              <w:t>表层样，</w:t>
            </w:r>
            <w:r>
              <w:rPr>
                <w:rFonts w:hint="default"/>
                <w:color w:val="auto"/>
                <w:sz w:val="18"/>
                <w:szCs w:val="18"/>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T6</w:t>
            </w:r>
          </w:p>
        </w:tc>
        <w:tc>
          <w:tcPr>
            <w:tcW w:w="25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cs="宋体"/>
                <w:color w:val="auto"/>
                <w:kern w:val="0"/>
                <w:sz w:val="20"/>
                <w:szCs w:val="20"/>
                <w:lang w:bidi="ar"/>
              </w:rPr>
            </w:pPr>
            <w:r>
              <w:rPr>
                <w:rFonts w:hint="eastAsia" w:cs="宋体"/>
                <w:color w:val="auto"/>
                <w:kern w:val="0"/>
                <w:sz w:val="20"/>
                <w:szCs w:val="20"/>
                <w:lang w:bidi="ar"/>
              </w:rPr>
              <w:t>拟建G井场东侧200m处</w:t>
            </w:r>
          </w:p>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eastAsia" w:cs="宋体"/>
                <w:color w:val="auto"/>
                <w:kern w:val="0"/>
                <w:sz w:val="20"/>
                <w:szCs w:val="20"/>
                <w:lang w:bidi="ar"/>
              </w:rPr>
              <w:t>占地外-表层</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125°18'29.0230"</w:t>
            </w:r>
          </w:p>
        </w:tc>
        <w:tc>
          <w:tcPr>
            <w:tcW w:w="18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 w:val="18"/>
                <w:szCs w:val="18"/>
              </w:rPr>
            </w:pPr>
            <w:r>
              <w:rPr>
                <w:rFonts w:hint="default" w:ascii="Times New Roman" w:hAnsi="Times New Roman" w:eastAsia="宋体" w:cs="Times New Roman"/>
                <w:i w:val="0"/>
                <w:color w:val="auto"/>
                <w:kern w:val="0"/>
                <w:sz w:val="20"/>
                <w:szCs w:val="20"/>
                <w:u w:val="none"/>
                <w:lang w:val="en-US" w:eastAsia="zh-CN" w:bidi="ar"/>
              </w:rPr>
              <w:t>46°11'34.6323"</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占地外，</w:t>
            </w:r>
            <w:r>
              <w:rPr>
                <w:rFonts w:hint="eastAsia"/>
                <w:color w:val="auto"/>
                <w:sz w:val="18"/>
                <w:szCs w:val="18"/>
                <w:lang w:eastAsia="zh-CN"/>
              </w:rPr>
              <w:t>表层样，</w:t>
            </w:r>
            <w:r>
              <w:rPr>
                <w:rFonts w:hint="default"/>
                <w:color w:val="auto"/>
                <w:sz w:val="18"/>
                <w:szCs w:val="18"/>
              </w:rPr>
              <w:t>耕地</w:t>
            </w:r>
          </w:p>
        </w:tc>
      </w:tr>
    </w:tbl>
    <w:p>
      <w:pPr>
        <w:snapToGrid w:val="0"/>
        <w:spacing w:line="480" w:lineRule="exact"/>
        <w:ind w:firstLine="544" w:firstLineChars="200"/>
        <w:rPr>
          <w:color w:val="auto"/>
          <w:spacing w:val="-4"/>
          <w:sz w:val="28"/>
          <w:szCs w:val="28"/>
        </w:rPr>
      </w:pPr>
      <w:r>
        <w:rPr>
          <w:rFonts w:hAnsi="宋体"/>
          <w:color w:val="auto"/>
          <w:spacing w:val="-4"/>
          <w:sz w:val="28"/>
          <w:szCs w:val="28"/>
        </w:rPr>
        <w:t>（</w:t>
      </w:r>
      <w:r>
        <w:rPr>
          <w:color w:val="auto"/>
          <w:spacing w:val="-4"/>
          <w:sz w:val="28"/>
          <w:szCs w:val="28"/>
        </w:rPr>
        <w:t>2</w:t>
      </w:r>
      <w:r>
        <w:rPr>
          <w:rFonts w:hAnsi="宋体"/>
          <w:color w:val="auto"/>
          <w:spacing w:val="-4"/>
          <w:sz w:val="28"/>
          <w:szCs w:val="28"/>
        </w:rPr>
        <w:t>）监测项目</w:t>
      </w:r>
    </w:p>
    <w:p>
      <w:pPr>
        <w:pStyle w:val="83"/>
        <w:bidi w:val="0"/>
        <w:rPr>
          <w:color w:val="auto"/>
        </w:rPr>
      </w:pPr>
      <w:r>
        <w:rPr>
          <w:color w:val="auto"/>
        </w:rPr>
        <w:t>T</w:t>
      </w:r>
      <w:r>
        <w:rPr>
          <w:rFonts w:hint="eastAsia"/>
          <w:color w:val="auto"/>
        </w:rPr>
        <w:t>1</w:t>
      </w:r>
      <w:r>
        <w:rPr>
          <w:rFonts w:hint="eastAsia"/>
          <w:color w:val="auto"/>
          <w:lang w:eastAsia="zh-CN"/>
        </w:rPr>
        <w:t>、</w:t>
      </w:r>
      <w:r>
        <w:rPr>
          <w:rFonts w:hint="eastAsia"/>
          <w:color w:val="auto"/>
          <w:lang w:val="en-US" w:eastAsia="zh-CN"/>
        </w:rPr>
        <w:t>T3</w:t>
      </w:r>
      <w:r>
        <w:rPr>
          <w:color w:val="auto"/>
        </w:rPr>
        <w:t>监测指标：pH、石油烃、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 h]蒽、茚并[1，2，3-cd]芘、萘。</w:t>
      </w:r>
    </w:p>
    <w:p>
      <w:pPr>
        <w:pStyle w:val="83"/>
        <w:bidi w:val="0"/>
        <w:rPr>
          <w:color w:val="auto"/>
        </w:rPr>
      </w:pPr>
      <w:r>
        <w:rPr>
          <w:color w:val="auto"/>
        </w:rPr>
        <w:t>T</w:t>
      </w:r>
      <w:r>
        <w:rPr>
          <w:rFonts w:hint="eastAsia"/>
          <w:color w:val="auto"/>
        </w:rPr>
        <w:t>5</w:t>
      </w:r>
      <w:r>
        <w:rPr>
          <w:color w:val="auto"/>
        </w:rPr>
        <w:t>监测指标：pH、石油烃、镉、铬、锌、铜、铅、汞、镍、砷。</w:t>
      </w:r>
    </w:p>
    <w:p>
      <w:pPr>
        <w:pStyle w:val="83"/>
        <w:bidi w:val="0"/>
        <w:rPr>
          <w:color w:val="auto"/>
        </w:rPr>
      </w:pPr>
      <w:r>
        <w:rPr>
          <w:color w:val="auto"/>
        </w:rPr>
        <w:t>T</w:t>
      </w:r>
      <w:r>
        <w:rPr>
          <w:rFonts w:hint="eastAsia"/>
          <w:color w:val="auto"/>
        </w:rPr>
        <w:t>2</w:t>
      </w:r>
      <w:r>
        <w:rPr>
          <w:color w:val="auto"/>
        </w:rPr>
        <w:t>、T</w:t>
      </w:r>
      <w:r>
        <w:rPr>
          <w:rFonts w:hint="eastAsia"/>
          <w:color w:val="auto"/>
        </w:rPr>
        <w:t>4</w:t>
      </w:r>
      <w:r>
        <w:rPr>
          <w:rFonts w:hint="eastAsia"/>
          <w:color w:val="auto"/>
          <w:lang w:eastAsia="zh-CN"/>
        </w:rPr>
        <w:t>、</w:t>
      </w:r>
      <w:r>
        <w:rPr>
          <w:rFonts w:hint="eastAsia"/>
          <w:color w:val="auto"/>
          <w:lang w:val="en-US" w:eastAsia="zh-CN"/>
        </w:rPr>
        <w:t>T6</w:t>
      </w:r>
      <w:r>
        <w:rPr>
          <w:color w:val="auto"/>
        </w:rPr>
        <w:t>监测指标：pH、石油烃。</w:t>
      </w:r>
    </w:p>
    <w:p>
      <w:pPr>
        <w:snapToGrid w:val="0"/>
        <w:spacing w:line="480" w:lineRule="exact"/>
        <w:ind w:firstLine="544" w:firstLineChars="200"/>
        <w:rPr>
          <w:color w:val="auto"/>
          <w:spacing w:val="-4"/>
          <w:sz w:val="28"/>
          <w:szCs w:val="28"/>
        </w:rPr>
      </w:pPr>
      <w:r>
        <w:rPr>
          <w:rFonts w:hAnsi="宋体"/>
          <w:color w:val="auto"/>
          <w:spacing w:val="-4"/>
          <w:sz w:val="28"/>
          <w:szCs w:val="28"/>
        </w:rPr>
        <w:t>（</w:t>
      </w:r>
      <w:r>
        <w:rPr>
          <w:color w:val="auto"/>
          <w:spacing w:val="-4"/>
          <w:sz w:val="28"/>
          <w:szCs w:val="28"/>
        </w:rPr>
        <w:t>3</w:t>
      </w:r>
      <w:r>
        <w:rPr>
          <w:rFonts w:hAnsi="宋体"/>
          <w:color w:val="auto"/>
          <w:spacing w:val="-4"/>
          <w:sz w:val="28"/>
          <w:szCs w:val="28"/>
        </w:rPr>
        <w:t>）监测时间</w:t>
      </w:r>
    </w:p>
    <w:p>
      <w:pPr>
        <w:snapToGrid w:val="0"/>
        <w:spacing w:line="480" w:lineRule="exact"/>
        <w:ind w:firstLine="544" w:firstLineChars="200"/>
        <w:rPr>
          <w:color w:val="auto"/>
          <w:spacing w:val="-4"/>
          <w:sz w:val="28"/>
          <w:szCs w:val="28"/>
        </w:rPr>
      </w:pPr>
      <w:r>
        <w:rPr>
          <w:color w:val="auto"/>
          <w:spacing w:val="-4"/>
          <w:sz w:val="28"/>
          <w:szCs w:val="28"/>
        </w:rPr>
        <w:t>202</w:t>
      </w:r>
      <w:r>
        <w:rPr>
          <w:rFonts w:hint="eastAsia"/>
          <w:color w:val="auto"/>
          <w:spacing w:val="-4"/>
          <w:sz w:val="28"/>
          <w:szCs w:val="28"/>
          <w:lang w:val="en-US" w:eastAsia="zh-CN"/>
        </w:rPr>
        <w:t>2</w:t>
      </w:r>
      <w:r>
        <w:rPr>
          <w:rFonts w:hAnsi="宋体"/>
          <w:color w:val="auto"/>
          <w:spacing w:val="-4"/>
          <w:sz w:val="28"/>
          <w:szCs w:val="28"/>
        </w:rPr>
        <w:t>年</w:t>
      </w:r>
      <w:r>
        <w:rPr>
          <w:rFonts w:hint="eastAsia"/>
          <w:color w:val="auto"/>
          <w:spacing w:val="-4"/>
          <w:sz w:val="28"/>
          <w:szCs w:val="28"/>
          <w:lang w:val="en-US" w:eastAsia="zh-CN"/>
        </w:rPr>
        <w:t>3</w:t>
      </w:r>
      <w:r>
        <w:rPr>
          <w:rFonts w:hAnsi="宋体"/>
          <w:color w:val="auto"/>
          <w:spacing w:val="-4"/>
          <w:sz w:val="28"/>
          <w:szCs w:val="28"/>
        </w:rPr>
        <w:t>月</w:t>
      </w:r>
      <w:r>
        <w:rPr>
          <w:rFonts w:hint="eastAsia"/>
          <w:color w:val="auto"/>
          <w:spacing w:val="-4"/>
          <w:sz w:val="28"/>
          <w:szCs w:val="28"/>
          <w:lang w:val="en-US" w:eastAsia="zh-CN"/>
        </w:rPr>
        <w:t>22</w:t>
      </w:r>
      <w:r>
        <w:rPr>
          <w:rFonts w:hAnsi="宋体"/>
          <w:color w:val="auto"/>
          <w:spacing w:val="-4"/>
          <w:sz w:val="28"/>
          <w:szCs w:val="28"/>
        </w:rPr>
        <w:t>日进行一次监测。</w:t>
      </w:r>
    </w:p>
    <w:p>
      <w:pPr>
        <w:snapToGrid w:val="0"/>
        <w:spacing w:line="480" w:lineRule="exact"/>
        <w:ind w:firstLine="544" w:firstLineChars="200"/>
        <w:rPr>
          <w:color w:val="auto"/>
          <w:spacing w:val="-4"/>
          <w:sz w:val="28"/>
          <w:szCs w:val="28"/>
        </w:rPr>
      </w:pPr>
      <w:r>
        <w:rPr>
          <w:rFonts w:hAnsi="宋体"/>
          <w:color w:val="auto"/>
          <w:spacing w:val="-4"/>
          <w:sz w:val="28"/>
          <w:szCs w:val="28"/>
        </w:rPr>
        <w:t>（</w:t>
      </w:r>
      <w:r>
        <w:rPr>
          <w:color w:val="auto"/>
          <w:spacing w:val="-4"/>
          <w:sz w:val="28"/>
          <w:szCs w:val="28"/>
        </w:rPr>
        <w:t>4</w:t>
      </w:r>
      <w:r>
        <w:rPr>
          <w:rFonts w:hAnsi="宋体"/>
          <w:color w:val="auto"/>
          <w:spacing w:val="-4"/>
          <w:sz w:val="28"/>
          <w:szCs w:val="28"/>
        </w:rPr>
        <w:t>）监测结果</w:t>
      </w:r>
    </w:p>
    <w:p>
      <w:pPr>
        <w:snapToGrid w:val="0"/>
        <w:spacing w:line="480" w:lineRule="exact"/>
        <w:ind w:firstLine="544" w:firstLineChars="200"/>
        <w:rPr>
          <w:rFonts w:hint="eastAsia" w:hAnsi="宋体"/>
          <w:color w:val="auto"/>
          <w:spacing w:val="-4"/>
          <w:sz w:val="28"/>
          <w:szCs w:val="28"/>
        </w:rPr>
      </w:pPr>
      <w:r>
        <w:rPr>
          <w:rFonts w:hAnsi="宋体"/>
          <w:color w:val="auto"/>
          <w:spacing w:val="-4"/>
          <w:sz w:val="28"/>
          <w:szCs w:val="28"/>
        </w:rPr>
        <w:t>具体监测结果详见表</w:t>
      </w:r>
      <w:r>
        <w:rPr>
          <w:color w:val="auto"/>
          <w:spacing w:val="-4"/>
          <w:sz w:val="28"/>
          <w:szCs w:val="28"/>
        </w:rPr>
        <w:t>4.3-1</w:t>
      </w:r>
      <w:r>
        <w:rPr>
          <w:rFonts w:hint="eastAsia"/>
          <w:color w:val="auto"/>
          <w:spacing w:val="-4"/>
          <w:sz w:val="28"/>
          <w:szCs w:val="28"/>
          <w:lang w:val="en-US" w:eastAsia="zh-CN"/>
        </w:rPr>
        <w:t>3</w:t>
      </w:r>
      <w:r>
        <w:rPr>
          <w:rFonts w:hAnsi="宋体"/>
          <w:color w:val="auto"/>
          <w:spacing w:val="-4"/>
          <w:sz w:val="28"/>
          <w:szCs w:val="28"/>
        </w:rPr>
        <w:t>和表</w:t>
      </w:r>
      <w:r>
        <w:rPr>
          <w:color w:val="auto"/>
          <w:spacing w:val="-4"/>
          <w:sz w:val="28"/>
          <w:szCs w:val="28"/>
        </w:rPr>
        <w:t>4.3-</w:t>
      </w:r>
      <w:r>
        <w:rPr>
          <w:rFonts w:hint="eastAsia"/>
          <w:color w:val="auto"/>
          <w:spacing w:val="-4"/>
          <w:sz w:val="28"/>
          <w:szCs w:val="28"/>
        </w:rPr>
        <w:t>1</w:t>
      </w:r>
      <w:r>
        <w:rPr>
          <w:rFonts w:hint="eastAsia"/>
          <w:color w:val="auto"/>
          <w:spacing w:val="-4"/>
          <w:sz w:val="28"/>
          <w:szCs w:val="28"/>
          <w:lang w:val="en-US" w:eastAsia="zh-CN"/>
        </w:rPr>
        <w:t>5</w:t>
      </w:r>
      <w:r>
        <w:rPr>
          <w:rFonts w:hAnsi="宋体"/>
          <w:color w:val="auto"/>
          <w:spacing w:val="-4"/>
          <w:sz w:val="28"/>
          <w:szCs w:val="28"/>
        </w:rPr>
        <w:t>。</w:t>
      </w:r>
    </w:p>
    <w:p>
      <w:pPr>
        <w:pStyle w:val="7"/>
        <w:numPr>
          <w:ilvl w:val="4"/>
          <w:numId w:val="2"/>
        </w:numPr>
        <w:bidi w:val="0"/>
        <w:rPr>
          <w:color w:val="auto"/>
          <w:sz w:val="28"/>
          <w:szCs w:val="28"/>
        </w:rPr>
      </w:pPr>
      <w:r>
        <w:rPr>
          <w:rFonts w:hAnsi="宋体"/>
          <w:color w:val="auto"/>
          <w:sz w:val="28"/>
          <w:szCs w:val="28"/>
        </w:rPr>
        <w:t>土壤现状监测结果</w:t>
      </w:r>
      <w:r>
        <w:rPr>
          <w:color w:val="auto"/>
          <w:sz w:val="28"/>
          <w:szCs w:val="28"/>
        </w:rPr>
        <w:t xml:space="preserve">    </w:t>
      </w:r>
      <w:r>
        <w:rPr>
          <w:rFonts w:hAnsi="宋体"/>
          <w:color w:val="auto"/>
          <w:sz w:val="28"/>
          <w:szCs w:val="28"/>
        </w:rPr>
        <w:t>单位：</w:t>
      </w:r>
      <w:r>
        <w:rPr>
          <w:color w:val="auto"/>
          <w:sz w:val="28"/>
          <w:szCs w:val="28"/>
        </w:rPr>
        <w:t>mg/kg</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407"/>
        <w:gridCol w:w="850"/>
        <w:gridCol w:w="850"/>
        <w:gridCol w:w="850"/>
        <w:gridCol w:w="850"/>
        <w:gridCol w:w="1402"/>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8"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407"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污染物项目</w:t>
            </w:r>
          </w:p>
        </w:tc>
        <w:tc>
          <w:tcPr>
            <w:tcW w:w="2550" w:type="dxa"/>
            <w:gridSpan w:val="3"/>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c>
          <w:tcPr>
            <w:tcW w:w="850"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序号</w:t>
            </w:r>
          </w:p>
        </w:tc>
        <w:tc>
          <w:tcPr>
            <w:tcW w:w="1402"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污染物项目</w:t>
            </w:r>
          </w:p>
        </w:tc>
        <w:tc>
          <w:tcPr>
            <w:tcW w:w="2550" w:type="dxa"/>
            <w:gridSpan w:val="3"/>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8" w:type="dxa"/>
            <w:vMerge w:val="continue"/>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p>
        </w:tc>
        <w:tc>
          <w:tcPr>
            <w:tcW w:w="1407" w:type="dxa"/>
            <w:vMerge w:val="continue"/>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T1</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0-0.5m</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T1</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0.5-1.5m</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T1</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1.5-3.0m</w:t>
            </w:r>
          </w:p>
        </w:tc>
        <w:tc>
          <w:tcPr>
            <w:tcW w:w="850"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p>
        </w:tc>
        <w:tc>
          <w:tcPr>
            <w:tcW w:w="1402" w:type="dxa"/>
            <w:vMerge w:val="continue"/>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T</w:t>
            </w:r>
            <w:r>
              <w:rPr>
                <w:rFonts w:hint="eastAsia" w:cs="Times New Roman"/>
                <w:color w:val="auto"/>
                <w:kern w:val="0"/>
                <w:sz w:val="21"/>
                <w:szCs w:val="21"/>
                <w:lang w:val="en-US" w:eastAsia="zh-CN"/>
              </w:rPr>
              <w:t>3</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0-0.5m</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T</w:t>
            </w:r>
            <w:r>
              <w:rPr>
                <w:rFonts w:hint="eastAsia" w:cs="Times New Roman"/>
                <w:color w:val="auto"/>
                <w:kern w:val="0"/>
                <w:sz w:val="21"/>
                <w:szCs w:val="21"/>
                <w:lang w:val="en-US" w:eastAsia="zh-CN"/>
              </w:rPr>
              <w:t>3</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0.5-1.5m</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T</w:t>
            </w:r>
            <w:r>
              <w:rPr>
                <w:rFonts w:hint="eastAsia" w:cs="Times New Roman"/>
                <w:color w:val="auto"/>
                <w:kern w:val="0"/>
                <w:sz w:val="21"/>
                <w:szCs w:val="21"/>
                <w:lang w:val="en-US" w:eastAsia="zh-CN"/>
              </w:rPr>
              <w:t>3</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等线" w:cs="Times New Roman"/>
                <w:i w:val="0"/>
                <w:color w:val="auto"/>
                <w:kern w:val="0"/>
                <w:sz w:val="21"/>
                <w:szCs w:val="21"/>
                <w:u w:val="none"/>
                <w:lang w:val="en-US" w:eastAsia="zh-CN" w:bidi="ar"/>
              </w:rPr>
              <w:t>pH</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8.48</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8.37</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8.42</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等线" w:cs="Times New Roman"/>
                <w:i w:val="0"/>
                <w:color w:val="auto"/>
                <w:kern w:val="0"/>
                <w:sz w:val="21"/>
                <w:szCs w:val="21"/>
                <w:u w:val="none"/>
                <w:lang w:val="en-US" w:eastAsia="zh-CN" w:bidi="ar"/>
              </w:rPr>
              <w:t>pH</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8.29</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8.14</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铬（六价）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铬（六价）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3.75</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3.63</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3.51</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4.22</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4.35</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镉</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0.09</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0.008</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镉</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0.09</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铜</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15</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14</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11</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铜</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13</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12</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铅</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21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20</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19</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铅</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18</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17</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汞</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0.025</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0.024</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0.021</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汞</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0.025</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0.024</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8</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镍</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22</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20</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19</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8</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镍</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23</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22</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9</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四氯化碳</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21"/>
                <w:szCs w:val="21"/>
              </w:rPr>
            </w:pPr>
            <w:r>
              <w:rPr>
                <w:rFonts w:hint="default" w:ascii="Times New Roman" w:hAnsi="Times New Roman" w:cs="Times New Roman"/>
                <w:snapToGrid w:val="0"/>
                <w:color w:val="auto"/>
                <w:kern w:val="0"/>
                <w:sz w:val="21"/>
                <w:szCs w:val="21"/>
              </w:rPr>
              <w:t>9</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四氯化碳</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10</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氯仿</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10</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氯仿</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氯甲烷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氯甲烷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1,1-二氯乙烷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1,2-二氯乙烷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等线" w:cs="Times New Roman"/>
                <w:i w:val="0"/>
                <w:color w:val="auto"/>
                <w:kern w:val="0"/>
                <w:sz w:val="21"/>
                <w:szCs w:val="21"/>
                <w:u w:val="none"/>
                <w:lang w:val="en-US" w:eastAsia="zh-CN" w:bidi="ar"/>
              </w:rPr>
              <w:t>1,1-二氯乙烯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1,1-二氯乙烯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等线" w:cs="Times New Roman"/>
                <w:i w:val="0"/>
                <w:color w:val="auto"/>
                <w:kern w:val="0"/>
                <w:sz w:val="21"/>
                <w:szCs w:val="21"/>
                <w:u w:val="none"/>
                <w:lang w:val="en-US" w:eastAsia="zh-CN" w:bidi="ar"/>
              </w:rPr>
              <w:t>顺-1,2-二氯乙烯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顺-1,2-二氯乙烯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等线" w:cs="Times New Roman"/>
                <w:i w:val="0"/>
                <w:color w:val="auto"/>
                <w:kern w:val="0"/>
                <w:sz w:val="21"/>
                <w:szCs w:val="21"/>
                <w:u w:val="none"/>
                <w:lang w:val="en-US" w:eastAsia="zh-CN" w:bidi="ar"/>
              </w:rPr>
              <w:t>反-1,2-二氯乙烯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反-1,2-二氯乙烯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二氯甲烷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二氯甲烷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18</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18</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1,2-二氯丙烷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19</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19</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1,1,1,2-四氯乙烷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20</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等线" w:cs="Times New Roman"/>
                <w:i w:val="0"/>
                <w:color w:val="auto"/>
                <w:kern w:val="0"/>
                <w:sz w:val="21"/>
                <w:szCs w:val="21"/>
                <w:u w:val="none"/>
                <w:lang w:val="en-US" w:eastAsia="zh-CN" w:bidi="ar"/>
              </w:rPr>
              <w:t>1,1,2,2-四氯乙烷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20</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1,1,2,2-四氯乙烷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等线" w:cs="Times New Roman"/>
                <w:i w:val="0"/>
                <w:color w:val="auto"/>
                <w:kern w:val="0"/>
                <w:sz w:val="21"/>
                <w:szCs w:val="21"/>
                <w:u w:val="none"/>
                <w:lang w:val="en-US" w:eastAsia="zh-CN" w:bidi="ar"/>
              </w:rPr>
              <w:t>四氯乙烯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四氯乙烯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等线" w:cs="Times New Roman"/>
                <w:i w:val="0"/>
                <w:color w:val="auto"/>
                <w:kern w:val="0"/>
                <w:sz w:val="21"/>
                <w:szCs w:val="21"/>
                <w:u w:val="none"/>
                <w:lang w:val="en-US" w:eastAsia="zh-CN" w:bidi="ar"/>
              </w:rPr>
              <w:t>1,1,1-三氯乙烷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1,1,1-三氯乙烷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1,1,2-三氯乙烷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等线" w:cs="Times New Roman"/>
                <w:i w:val="0"/>
                <w:color w:val="auto"/>
                <w:kern w:val="0"/>
                <w:sz w:val="21"/>
                <w:szCs w:val="21"/>
                <w:u w:val="none"/>
                <w:lang w:val="en-US" w:eastAsia="zh-CN" w:bidi="ar"/>
              </w:rPr>
              <w:t>三氯乙烯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三氯乙烯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1,2,3-三氯丙烷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1,2,3-三氯丙烷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28</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28</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29</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1,2-二氯苯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29</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1,2-二氯苯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30</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1,4-二氯苯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30</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1,4-二氯苯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乙苯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乙苯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间，对二甲苯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间，对二甲苯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邻二甲苯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邻二甲苯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苯胺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2-氯酚</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2-氯酚</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38</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硝基苯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38</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硝基苯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39</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苯并[a]蒽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39</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等线" w:cs="Times New Roman"/>
                <w:i w:val="0"/>
                <w:color w:val="auto"/>
                <w:kern w:val="0"/>
                <w:sz w:val="21"/>
                <w:szCs w:val="21"/>
                <w:u w:val="none"/>
                <w:lang w:val="en-US" w:eastAsia="zh-CN" w:bidi="ar"/>
              </w:rPr>
              <w:t>苯并[a]蒽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40</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苯并[a]芘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40</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苯并[a]芘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苯并[b]荧蒽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苯并[b]荧蒽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苯并[k]荧蒽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苯并[k]荧蒽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䓛</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䓛</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二苯并[a, h]蒽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二苯并[a, h]蒽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茚并[1,2,3-cd]芘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石油烃</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石油烃</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苯并[b]荧蒽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8.48</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8.37</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8.42</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苯并[b]荧蒽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8.29</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8.14</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苯并[k]荧蒽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苯并[k]荧蒽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43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䓛</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3.75</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3.63</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3.51</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snapToGrid w:val="0"/>
                <w:color w:val="auto"/>
                <w:kern w:val="0"/>
                <w:sz w:val="21"/>
                <w:szCs w:val="21"/>
              </w:rPr>
              <w:t>43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䓛</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4.22</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4.35</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4.29</w:t>
            </w:r>
          </w:p>
        </w:tc>
      </w:tr>
    </w:tbl>
    <w:p>
      <w:pPr>
        <w:pStyle w:val="7"/>
        <w:numPr>
          <w:ilvl w:val="4"/>
          <w:numId w:val="2"/>
        </w:numPr>
        <w:bidi w:val="0"/>
        <w:rPr>
          <w:color w:val="auto"/>
          <w:sz w:val="28"/>
          <w:szCs w:val="28"/>
        </w:rPr>
      </w:pPr>
      <w:r>
        <w:rPr>
          <w:rFonts w:hAnsi="宋体"/>
          <w:color w:val="auto"/>
          <w:sz w:val="28"/>
          <w:szCs w:val="28"/>
        </w:rPr>
        <w:t>土壤现状监测结果</w:t>
      </w:r>
      <w:r>
        <w:rPr>
          <w:color w:val="auto"/>
          <w:sz w:val="28"/>
          <w:szCs w:val="28"/>
        </w:rPr>
        <w:t xml:space="preserve">          </w:t>
      </w:r>
      <w:r>
        <w:rPr>
          <w:rFonts w:hAnsi="宋体"/>
          <w:color w:val="auto"/>
          <w:sz w:val="28"/>
          <w:szCs w:val="28"/>
        </w:rPr>
        <w:t>单位：</w:t>
      </w:r>
      <w:r>
        <w:rPr>
          <w:color w:val="auto"/>
          <w:sz w:val="28"/>
          <w:szCs w:val="28"/>
        </w:rPr>
        <w:t xml:space="preserve">mg/kg </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48"/>
        <w:gridCol w:w="1548"/>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547"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序号</w:t>
            </w:r>
          </w:p>
        </w:tc>
        <w:tc>
          <w:tcPr>
            <w:tcW w:w="1548"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监测项目</w:t>
            </w:r>
          </w:p>
        </w:tc>
        <w:tc>
          <w:tcPr>
            <w:tcW w:w="1548"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kern w:val="0"/>
                <w:szCs w:val="21"/>
              </w:rPr>
            </w:pPr>
            <w:r>
              <w:rPr>
                <w:rFonts w:hint="default" w:hAnsi="宋体"/>
                <w:color w:val="auto"/>
                <w:kern w:val="0"/>
                <w:szCs w:val="21"/>
              </w:rPr>
              <w:t>监测点位</w:t>
            </w:r>
          </w:p>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T</w:t>
            </w:r>
            <w:r>
              <w:rPr>
                <w:rFonts w:hint="eastAsia"/>
                <w:color w:val="auto"/>
                <w:kern w:val="0"/>
                <w:szCs w:val="21"/>
              </w:rPr>
              <w:t>5</w:t>
            </w:r>
            <w:r>
              <w:rPr>
                <w:rFonts w:hint="default" w:hAnsi="宋体"/>
                <w:color w:val="auto"/>
                <w:kern w:val="0"/>
                <w:szCs w:val="21"/>
              </w:rPr>
              <w:t>（</w:t>
            </w:r>
            <w:r>
              <w:rPr>
                <w:rFonts w:hint="default"/>
                <w:color w:val="auto"/>
                <w:szCs w:val="21"/>
              </w:rPr>
              <w:t>0-0.2m</w:t>
            </w:r>
            <w:r>
              <w:rPr>
                <w:rFonts w:hint="default" w:hAnsi="宋体"/>
                <w:color w:val="auto"/>
                <w:szCs w:val="21"/>
              </w:rPr>
              <w:t>）</w:t>
            </w:r>
          </w:p>
        </w:tc>
        <w:tc>
          <w:tcPr>
            <w:tcW w:w="1548"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kern w:val="0"/>
                <w:szCs w:val="21"/>
              </w:rPr>
            </w:pPr>
            <w:r>
              <w:rPr>
                <w:rFonts w:hint="default" w:hAnsi="宋体"/>
                <w:color w:val="auto"/>
                <w:kern w:val="0"/>
                <w:szCs w:val="21"/>
              </w:rPr>
              <w:t>序号</w:t>
            </w:r>
          </w:p>
        </w:tc>
        <w:tc>
          <w:tcPr>
            <w:tcW w:w="1548"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hAnsi="宋体"/>
                <w:color w:val="auto"/>
                <w:kern w:val="0"/>
                <w:szCs w:val="21"/>
              </w:rPr>
            </w:pPr>
            <w:r>
              <w:rPr>
                <w:rFonts w:hint="default" w:hAnsi="宋体"/>
                <w:color w:val="auto"/>
                <w:kern w:val="0"/>
                <w:szCs w:val="21"/>
              </w:rPr>
              <w:t>监测项目</w:t>
            </w:r>
          </w:p>
        </w:tc>
        <w:tc>
          <w:tcPr>
            <w:tcW w:w="1548"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kern w:val="0"/>
                <w:szCs w:val="21"/>
              </w:rPr>
            </w:pPr>
            <w:r>
              <w:rPr>
                <w:rFonts w:hint="default" w:hAnsi="宋体"/>
                <w:color w:val="auto"/>
                <w:kern w:val="0"/>
                <w:szCs w:val="21"/>
              </w:rPr>
              <w:t>监测点位</w:t>
            </w:r>
          </w:p>
          <w:p>
            <w:pPr>
              <w:keepNext w:val="0"/>
              <w:keepLines w:val="0"/>
              <w:suppressLineNumbers w:val="0"/>
              <w:spacing w:before="0" w:beforeAutospacing="0" w:after="0" w:afterAutospacing="0" w:line="240" w:lineRule="exact"/>
              <w:ind w:left="0" w:right="0"/>
              <w:jc w:val="center"/>
              <w:rPr>
                <w:rFonts w:hint="default" w:hAnsi="宋体"/>
                <w:color w:val="auto"/>
                <w:kern w:val="0"/>
                <w:szCs w:val="21"/>
              </w:rPr>
            </w:pPr>
            <w:r>
              <w:rPr>
                <w:rFonts w:hint="default"/>
                <w:color w:val="auto"/>
                <w:kern w:val="0"/>
                <w:szCs w:val="21"/>
              </w:rPr>
              <w:t>T</w:t>
            </w:r>
            <w:r>
              <w:rPr>
                <w:rFonts w:hint="eastAsia"/>
                <w:color w:val="auto"/>
                <w:kern w:val="0"/>
                <w:szCs w:val="21"/>
              </w:rPr>
              <w:t>5</w:t>
            </w:r>
            <w:r>
              <w:rPr>
                <w:rFonts w:hint="default" w:hAnsi="宋体"/>
                <w:color w:val="auto"/>
                <w:kern w:val="0"/>
                <w:szCs w:val="21"/>
              </w:rPr>
              <w:t>（</w:t>
            </w:r>
            <w:r>
              <w:rPr>
                <w:rFonts w:hint="default"/>
                <w:color w:val="auto"/>
                <w:szCs w:val="21"/>
              </w:rPr>
              <w:t>0-0.2m</w:t>
            </w:r>
            <w:r>
              <w:rPr>
                <w:rFonts w:hint="default"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1</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石油烃</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ND</w:t>
            </w:r>
          </w:p>
        </w:tc>
        <w:tc>
          <w:tcPr>
            <w:tcW w:w="154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6</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铜</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2</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砷</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3.75</w:t>
            </w:r>
          </w:p>
        </w:tc>
        <w:tc>
          <w:tcPr>
            <w:tcW w:w="154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7</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铅</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3</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镉</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0.1</w:t>
            </w:r>
          </w:p>
        </w:tc>
        <w:tc>
          <w:tcPr>
            <w:tcW w:w="154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8</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汞</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4</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锌</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57</w:t>
            </w:r>
          </w:p>
        </w:tc>
        <w:tc>
          <w:tcPr>
            <w:tcW w:w="154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9</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镍</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47"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5</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铬</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55</w:t>
            </w:r>
          </w:p>
        </w:tc>
        <w:tc>
          <w:tcPr>
            <w:tcW w:w="154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10</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pH</w:t>
            </w:r>
          </w:p>
        </w:tc>
        <w:tc>
          <w:tcPr>
            <w:tcW w:w="15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8.42</w:t>
            </w:r>
          </w:p>
        </w:tc>
      </w:tr>
    </w:tbl>
    <w:p>
      <w:pPr>
        <w:pStyle w:val="7"/>
        <w:numPr>
          <w:ilvl w:val="4"/>
          <w:numId w:val="2"/>
        </w:numPr>
        <w:bidi w:val="0"/>
        <w:rPr>
          <w:color w:val="auto"/>
          <w:sz w:val="28"/>
          <w:szCs w:val="28"/>
        </w:rPr>
      </w:pPr>
      <w:r>
        <w:rPr>
          <w:rFonts w:hAnsi="宋体"/>
          <w:color w:val="auto"/>
          <w:sz w:val="28"/>
          <w:szCs w:val="28"/>
        </w:rPr>
        <w:t>土壤现状监测结果</w:t>
      </w:r>
      <w:r>
        <w:rPr>
          <w:color w:val="auto"/>
          <w:sz w:val="28"/>
          <w:szCs w:val="28"/>
        </w:rPr>
        <w:t xml:space="preserve">          </w:t>
      </w:r>
      <w:r>
        <w:rPr>
          <w:rFonts w:hAnsi="宋体"/>
          <w:color w:val="auto"/>
          <w:sz w:val="28"/>
          <w:szCs w:val="28"/>
        </w:rPr>
        <w:t>单位：</w:t>
      </w:r>
      <w:r>
        <w:rPr>
          <w:color w:val="auto"/>
          <w:sz w:val="28"/>
          <w:szCs w:val="28"/>
        </w:rPr>
        <w:t xml:space="preserve">mg/kg </w:t>
      </w:r>
    </w:p>
    <w:tbl>
      <w:tblPr>
        <w:tblStyle w:val="3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88"/>
        <w:gridCol w:w="1442"/>
        <w:gridCol w:w="1735"/>
        <w:gridCol w:w="1445"/>
        <w:gridCol w:w="1442"/>
        <w:gridCol w:w="1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8" w:hRule="atLeast"/>
          <w:jc w:val="center"/>
        </w:trPr>
        <w:tc>
          <w:tcPr>
            <w:tcW w:w="8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检测点位</w:t>
            </w:r>
          </w:p>
        </w:tc>
        <w:tc>
          <w:tcPr>
            <w:tcW w:w="253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T2</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T4</w:t>
            </w:r>
          </w:p>
        </w:tc>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8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检测项目</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0~0.5m</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0.5~1.5m</w:t>
            </w:r>
          </w:p>
        </w:tc>
        <w:tc>
          <w:tcPr>
            <w:tcW w:w="7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1.5~3m</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0~0.5m</w:t>
            </w:r>
          </w:p>
        </w:tc>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8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pH</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8.38</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8.32</w:t>
            </w:r>
          </w:p>
        </w:tc>
        <w:tc>
          <w:tcPr>
            <w:tcW w:w="7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8.28</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8.39</w:t>
            </w:r>
          </w:p>
        </w:tc>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jc w:val="center"/>
        </w:trPr>
        <w:tc>
          <w:tcPr>
            <w:tcW w:w="8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石油烃（C</w:t>
            </w:r>
            <w:r>
              <w:rPr>
                <w:rFonts w:hint="default" w:ascii="Times New Roman" w:hAnsi="Times New Roman" w:eastAsia="宋体" w:cs="Times New Roman"/>
                <w:i w:val="0"/>
                <w:color w:val="auto"/>
                <w:kern w:val="0"/>
                <w:sz w:val="21"/>
                <w:szCs w:val="21"/>
                <w:u w:val="none"/>
                <w:vertAlign w:val="subscript"/>
                <w:lang w:val="en-US" w:eastAsia="zh-CN" w:bidi="ar"/>
              </w:rPr>
              <w:t>10</w:t>
            </w:r>
            <w:r>
              <w:rPr>
                <w:rFonts w:hint="default" w:ascii="Times New Roman" w:hAnsi="Times New Roman" w:eastAsia="宋体" w:cs="Times New Roman"/>
                <w:i w:val="0"/>
                <w:color w:val="auto"/>
                <w:kern w:val="0"/>
                <w:sz w:val="21"/>
                <w:szCs w:val="21"/>
                <w:u w:val="none"/>
                <w:lang w:val="en-US" w:eastAsia="zh-CN" w:bidi="ar"/>
              </w:rPr>
              <w:t>-C</w:t>
            </w:r>
            <w:r>
              <w:rPr>
                <w:rFonts w:hint="default" w:ascii="Times New Roman" w:hAnsi="Times New Roman" w:eastAsia="宋体" w:cs="Times New Roman"/>
                <w:i w:val="0"/>
                <w:color w:val="auto"/>
                <w:kern w:val="0"/>
                <w:sz w:val="21"/>
                <w:szCs w:val="21"/>
                <w:u w:val="none"/>
                <w:vertAlign w:val="subscript"/>
                <w:lang w:val="en-US" w:eastAsia="zh-CN" w:bidi="ar"/>
              </w:rPr>
              <w:t>40</w:t>
            </w:r>
            <w:r>
              <w:rPr>
                <w:rFonts w:hint="default" w:ascii="Times New Roman" w:hAnsi="Times New Roman" w:eastAsia="宋体" w:cs="Times New Roman"/>
                <w:i w:val="0"/>
                <w:color w:val="auto"/>
                <w:kern w:val="0"/>
                <w:sz w:val="21"/>
                <w:szCs w:val="21"/>
                <w:u w:val="none"/>
                <w:lang w:val="en-US" w:eastAsia="zh-CN" w:bidi="ar"/>
              </w:rPr>
              <w:t>）</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7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ND</w:t>
            </w:r>
          </w:p>
        </w:tc>
      </w:tr>
    </w:tbl>
    <w:p>
      <w:pPr>
        <w:pStyle w:val="6"/>
        <w:numPr>
          <w:ilvl w:val="3"/>
          <w:numId w:val="2"/>
        </w:numPr>
        <w:bidi w:val="0"/>
        <w:rPr>
          <w:rFonts w:hint="eastAsia" w:hAnsi="宋体"/>
          <w:b w:val="0"/>
          <w:snapToGrid w:val="0"/>
          <w:color w:val="auto"/>
          <w:kern w:val="0"/>
          <w:sz w:val="28"/>
          <w:szCs w:val="28"/>
        </w:rPr>
      </w:pPr>
      <w:r>
        <w:rPr>
          <w:rFonts w:hAnsi="宋体"/>
          <w:b w:val="0"/>
          <w:snapToGrid w:val="0"/>
          <w:color w:val="auto"/>
          <w:kern w:val="0"/>
          <w:sz w:val="28"/>
          <w:szCs w:val="28"/>
        </w:rPr>
        <w:t>现状评价</w:t>
      </w:r>
    </w:p>
    <w:p>
      <w:pPr>
        <w:snapToGrid w:val="0"/>
        <w:spacing w:line="480" w:lineRule="exact"/>
        <w:ind w:firstLine="544" w:firstLineChars="200"/>
        <w:rPr>
          <w:color w:val="auto"/>
          <w:spacing w:val="-4"/>
          <w:sz w:val="28"/>
          <w:szCs w:val="28"/>
        </w:rPr>
      </w:pPr>
      <w:r>
        <w:rPr>
          <w:color w:val="auto"/>
          <w:spacing w:val="-4"/>
          <w:sz w:val="28"/>
          <w:szCs w:val="28"/>
        </w:rPr>
        <w:t>（1）评价方法</w:t>
      </w:r>
    </w:p>
    <w:p>
      <w:pPr>
        <w:snapToGrid w:val="0"/>
        <w:spacing w:line="480" w:lineRule="exact"/>
        <w:ind w:firstLine="544" w:firstLineChars="200"/>
        <w:rPr>
          <w:color w:val="auto"/>
          <w:spacing w:val="-4"/>
          <w:sz w:val="28"/>
          <w:szCs w:val="28"/>
        </w:rPr>
      </w:pPr>
      <w:r>
        <w:rPr>
          <w:color w:val="auto"/>
          <w:spacing w:val="-4"/>
          <w:sz w:val="28"/>
          <w:szCs w:val="28"/>
        </w:rPr>
        <w:t>采用指数法进行土壤环境质量现状评价，即通过指数的大小来反映土壤环境受污染的程度，指数小于1即为达标。</w:t>
      </w:r>
    </w:p>
    <w:p>
      <w:pPr>
        <w:snapToGrid w:val="0"/>
        <w:spacing w:line="480" w:lineRule="exact"/>
        <w:ind w:firstLine="544" w:firstLineChars="200"/>
        <w:rPr>
          <w:color w:val="auto"/>
          <w:spacing w:val="-4"/>
          <w:sz w:val="28"/>
          <w:szCs w:val="28"/>
        </w:rPr>
      </w:pPr>
      <w:r>
        <w:rPr>
          <w:color w:val="auto"/>
          <w:spacing w:val="-4"/>
          <w:sz w:val="28"/>
          <w:szCs w:val="28"/>
        </w:rPr>
        <w:t>公式为：</w:t>
      </w:r>
    </w:p>
    <w:p>
      <w:pPr>
        <w:snapToGrid w:val="0"/>
        <w:spacing w:line="480" w:lineRule="exact"/>
        <w:ind w:firstLine="544" w:firstLineChars="200"/>
        <w:rPr>
          <w:color w:val="auto"/>
          <w:spacing w:val="-4"/>
          <w:sz w:val="28"/>
          <w:szCs w:val="28"/>
        </w:rPr>
      </w:pPr>
      <w:r>
        <w:rPr>
          <w:color w:val="auto"/>
          <w:spacing w:val="-4"/>
          <w:sz w:val="28"/>
          <w:szCs w:val="28"/>
        </w:rPr>
        <w:t>K</w:t>
      </w:r>
      <w:r>
        <w:rPr>
          <w:color w:val="auto"/>
          <w:spacing w:val="-4"/>
          <w:sz w:val="28"/>
          <w:szCs w:val="28"/>
          <w:vertAlign w:val="subscript"/>
        </w:rPr>
        <w:t>i</w:t>
      </w:r>
      <w:r>
        <w:rPr>
          <w:color w:val="auto"/>
          <w:spacing w:val="-4"/>
          <w:sz w:val="28"/>
          <w:szCs w:val="28"/>
        </w:rPr>
        <w:t>=X</w:t>
      </w:r>
      <w:r>
        <w:rPr>
          <w:color w:val="auto"/>
          <w:spacing w:val="-4"/>
          <w:sz w:val="28"/>
          <w:szCs w:val="28"/>
          <w:vertAlign w:val="subscript"/>
        </w:rPr>
        <w:t>i</w:t>
      </w:r>
      <w:r>
        <w:rPr>
          <w:color w:val="auto"/>
          <w:spacing w:val="-4"/>
          <w:sz w:val="28"/>
          <w:szCs w:val="28"/>
        </w:rPr>
        <w:t>/X</w:t>
      </w:r>
      <w:r>
        <w:rPr>
          <w:color w:val="auto"/>
          <w:spacing w:val="-4"/>
          <w:sz w:val="28"/>
          <w:szCs w:val="28"/>
          <w:vertAlign w:val="subscript"/>
        </w:rPr>
        <w:t>oi</w:t>
      </w:r>
    </w:p>
    <w:p>
      <w:pPr>
        <w:snapToGrid w:val="0"/>
        <w:spacing w:line="480" w:lineRule="exact"/>
        <w:ind w:firstLine="544" w:firstLineChars="200"/>
        <w:rPr>
          <w:color w:val="auto"/>
          <w:spacing w:val="-4"/>
          <w:sz w:val="28"/>
          <w:szCs w:val="28"/>
        </w:rPr>
      </w:pPr>
      <w:r>
        <w:rPr>
          <w:color w:val="auto"/>
          <w:spacing w:val="-4"/>
          <w:sz w:val="28"/>
          <w:szCs w:val="28"/>
        </w:rPr>
        <w:t>式中：K</w:t>
      </w:r>
      <w:r>
        <w:rPr>
          <w:color w:val="auto"/>
          <w:spacing w:val="-4"/>
          <w:sz w:val="28"/>
          <w:szCs w:val="28"/>
          <w:vertAlign w:val="subscript"/>
        </w:rPr>
        <w:t>i</w:t>
      </w:r>
      <w:r>
        <w:rPr>
          <w:color w:val="auto"/>
          <w:spacing w:val="-4"/>
          <w:sz w:val="28"/>
          <w:szCs w:val="28"/>
        </w:rPr>
        <w:t>：第i项分指数；</w:t>
      </w:r>
    </w:p>
    <w:p>
      <w:pPr>
        <w:snapToGrid w:val="0"/>
        <w:spacing w:line="480" w:lineRule="exact"/>
        <w:ind w:firstLine="544" w:firstLineChars="200"/>
        <w:rPr>
          <w:color w:val="auto"/>
          <w:spacing w:val="-4"/>
          <w:sz w:val="28"/>
          <w:szCs w:val="28"/>
        </w:rPr>
      </w:pPr>
      <w:r>
        <w:rPr>
          <w:color w:val="auto"/>
          <w:spacing w:val="-4"/>
          <w:sz w:val="28"/>
          <w:szCs w:val="28"/>
        </w:rPr>
        <w:t>X</w:t>
      </w:r>
      <w:r>
        <w:rPr>
          <w:color w:val="auto"/>
          <w:spacing w:val="-4"/>
          <w:sz w:val="28"/>
          <w:szCs w:val="28"/>
          <w:vertAlign w:val="subscript"/>
        </w:rPr>
        <w:t>i</w:t>
      </w:r>
      <w:r>
        <w:rPr>
          <w:color w:val="auto"/>
          <w:spacing w:val="-4"/>
          <w:sz w:val="28"/>
          <w:szCs w:val="28"/>
        </w:rPr>
        <w:t>：土壤中i污染物的实测含量mg/kg；</w:t>
      </w:r>
    </w:p>
    <w:p>
      <w:pPr>
        <w:snapToGrid w:val="0"/>
        <w:spacing w:line="480" w:lineRule="exact"/>
        <w:ind w:firstLine="544" w:firstLineChars="200"/>
        <w:rPr>
          <w:color w:val="auto"/>
          <w:spacing w:val="-4"/>
          <w:sz w:val="28"/>
          <w:szCs w:val="28"/>
        </w:rPr>
      </w:pPr>
      <w:r>
        <w:rPr>
          <w:color w:val="auto"/>
          <w:spacing w:val="-4"/>
          <w:sz w:val="28"/>
          <w:szCs w:val="28"/>
        </w:rPr>
        <w:t>X</w:t>
      </w:r>
      <w:r>
        <w:rPr>
          <w:color w:val="auto"/>
          <w:spacing w:val="-4"/>
          <w:sz w:val="28"/>
          <w:szCs w:val="28"/>
          <w:vertAlign w:val="subscript"/>
        </w:rPr>
        <w:t>oi</w:t>
      </w:r>
      <w:r>
        <w:rPr>
          <w:color w:val="auto"/>
          <w:spacing w:val="-4"/>
          <w:sz w:val="28"/>
          <w:szCs w:val="28"/>
        </w:rPr>
        <w:t>：土壤中i污染物的标准值mg/kg。</w:t>
      </w:r>
    </w:p>
    <w:p>
      <w:pPr>
        <w:snapToGrid w:val="0"/>
        <w:spacing w:line="480" w:lineRule="exact"/>
        <w:ind w:firstLine="544" w:firstLineChars="200"/>
        <w:rPr>
          <w:color w:val="auto"/>
          <w:spacing w:val="-4"/>
          <w:sz w:val="28"/>
          <w:szCs w:val="28"/>
        </w:rPr>
      </w:pPr>
      <w:r>
        <w:rPr>
          <w:color w:val="auto"/>
          <w:spacing w:val="-4"/>
          <w:sz w:val="28"/>
          <w:szCs w:val="28"/>
        </w:rPr>
        <w:t>（2）评价结果</w:t>
      </w:r>
    </w:p>
    <w:p>
      <w:pPr>
        <w:snapToGrid w:val="0"/>
        <w:spacing w:line="480" w:lineRule="exact"/>
        <w:ind w:firstLine="544" w:firstLineChars="200"/>
        <w:rPr>
          <w:rFonts w:hAnsi="宋体"/>
          <w:color w:val="auto"/>
          <w:spacing w:val="-4"/>
          <w:sz w:val="28"/>
          <w:szCs w:val="28"/>
        </w:rPr>
      </w:pPr>
      <w:r>
        <w:rPr>
          <w:rFonts w:hAnsi="宋体"/>
          <w:color w:val="auto"/>
          <w:spacing w:val="-4"/>
          <w:sz w:val="28"/>
          <w:szCs w:val="28"/>
        </w:rPr>
        <w:t>区域内土壤现状环境评价结果见表</w:t>
      </w:r>
      <w:r>
        <w:rPr>
          <w:color w:val="auto"/>
          <w:spacing w:val="-4"/>
          <w:sz w:val="28"/>
          <w:szCs w:val="28"/>
        </w:rPr>
        <w:t>4.3-</w:t>
      </w:r>
      <w:r>
        <w:rPr>
          <w:rFonts w:hint="eastAsia"/>
          <w:color w:val="auto"/>
          <w:spacing w:val="-4"/>
          <w:sz w:val="28"/>
          <w:szCs w:val="28"/>
          <w:lang w:val="en-US" w:eastAsia="zh-CN"/>
        </w:rPr>
        <w:t>16</w:t>
      </w:r>
      <w:r>
        <w:rPr>
          <w:rFonts w:hint="eastAsia" w:hAnsi="宋体"/>
          <w:color w:val="auto"/>
          <w:spacing w:val="-4"/>
          <w:sz w:val="28"/>
          <w:szCs w:val="28"/>
          <w:lang w:val="en-US" w:eastAsia="zh-CN"/>
        </w:rPr>
        <w:t>~</w:t>
      </w:r>
      <w:r>
        <w:rPr>
          <w:rFonts w:hAnsi="宋体"/>
          <w:color w:val="auto"/>
          <w:spacing w:val="-4"/>
          <w:sz w:val="28"/>
          <w:szCs w:val="28"/>
        </w:rPr>
        <w:t>表</w:t>
      </w:r>
      <w:r>
        <w:rPr>
          <w:color w:val="auto"/>
          <w:spacing w:val="-4"/>
          <w:sz w:val="28"/>
          <w:szCs w:val="28"/>
        </w:rPr>
        <w:t>4.3-</w:t>
      </w:r>
      <w:r>
        <w:rPr>
          <w:rFonts w:hint="eastAsia"/>
          <w:color w:val="auto"/>
          <w:spacing w:val="-4"/>
          <w:sz w:val="28"/>
          <w:szCs w:val="28"/>
          <w:lang w:val="en-US" w:eastAsia="zh-CN"/>
        </w:rPr>
        <w:t>18</w:t>
      </w:r>
      <w:r>
        <w:rPr>
          <w:rFonts w:hAnsi="宋体"/>
          <w:color w:val="auto"/>
          <w:spacing w:val="-4"/>
          <w:sz w:val="28"/>
          <w:szCs w:val="28"/>
        </w:rPr>
        <w:t>。</w:t>
      </w:r>
    </w:p>
    <w:p>
      <w:pPr>
        <w:pStyle w:val="7"/>
        <w:numPr>
          <w:ilvl w:val="4"/>
          <w:numId w:val="2"/>
        </w:numPr>
        <w:bidi w:val="0"/>
        <w:rPr>
          <w:rFonts w:hAnsi="宋体"/>
          <w:color w:val="auto"/>
          <w:spacing w:val="-4"/>
          <w:sz w:val="28"/>
          <w:szCs w:val="28"/>
        </w:rPr>
      </w:pPr>
      <w:r>
        <w:rPr>
          <w:rFonts w:hAnsi="宋体"/>
          <w:color w:val="auto"/>
          <w:spacing w:val="-4"/>
          <w:sz w:val="28"/>
          <w:szCs w:val="28"/>
        </w:rPr>
        <w:t>土壤环境质量现状指数（</w:t>
      </w:r>
      <w:r>
        <w:rPr>
          <w:snapToGrid w:val="0"/>
          <w:color w:val="auto"/>
          <w:kern w:val="0"/>
          <w:sz w:val="28"/>
          <w:szCs w:val="28"/>
        </w:rPr>
        <w:t>K</w:t>
      </w:r>
      <w:r>
        <w:rPr>
          <w:snapToGrid w:val="0"/>
          <w:color w:val="auto"/>
          <w:kern w:val="0"/>
          <w:sz w:val="28"/>
          <w:szCs w:val="28"/>
          <w:vertAlign w:val="subscript"/>
        </w:rPr>
        <w:t>i</w:t>
      </w:r>
      <w:r>
        <w:rPr>
          <w:rFonts w:hAnsi="宋体"/>
          <w:color w:val="auto"/>
          <w:spacing w:val="-4"/>
          <w:sz w:val="28"/>
          <w:szCs w:val="28"/>
        </w:rPr>
        <w:t>）评价结果</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407"/>
        <w:gridCol w:w="850"/>
        <w:gridCol w:w="850"/>
        <w:gridCol w:w="850"/>
        <w:gridCol w:w="850"/>
        <w:gridCol w:w="1402"/>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28"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序号</w:t>
            </w:r>
          </w:p>
        </w:tc>
        <w:tc>
          <w:tcPr>
            <w:tcW w:w="1407"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污染物项目</w:t>
            </w:r>
          </w:p>
        </w:tc>
        <w:tc>
          <w:tcPr>
            <w:tcW w:w="7352" w:type="dxa"/>
            <w:gridSpan w:val="8"/>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监测点位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28" w:type="dxa"/>
            <w:vMerge w:val="continue"/>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p>
        </w:tc>
        <w:tc>
          <w:tcPr>
            <w:tcW w:w="1407" w:type="dxa"/>
            <w:vMerge w:val="continue"/>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T1</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0-0.5m</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T1</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0.5-1.5m</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T1</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1.5-3.0m</w:t>
            </w:r>
          </w:p>
        </w:tc>
        <w:tc>
          <w:tcPr>
            <w:tcW w:w="850"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序号</w:t>
            </w:r>
          </w:p>
        </w:tc>
        <w:tc>
          <w:tcPr>
            <w:tcW w:w="1402"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污染物项目</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T</w:t>
            </w:r>
            <w:r>
              <w:rPr>
                <w:rFonts w:hint="eastAsia" w:cs="Times New Roman"/>
                <w:color w:val="auto"/>
                <w:kern w:val="0"/>
                <w:sz w:val="18"/>
                <w:szCs w:val="18"/>
                <w:lang w:val="en-US" w:eastAsia="zh-CN"/>
              </w:rPr>
              <w:t>3</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0-0.5m</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T</w:t>
            </w:r>
            <w:r>
              <w:rPr>
                <w:rFonts w:hint="eastAsia" w:cs="Times New Roman"/>
                <w:color w:val="auto"/>
                <w:kern w:val="0"/>
                <w:sz w:val="18"/>
                <w:szCs w:val="18"/>
                <w:lang w:val="en-US" w:eastAsia="zh-CN"/>
              </w:rPr>
              <w:t>3</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0.5-1.5m</w:t>
            </w:r>
          </w:p>
        </w:tc>
        <w:tc>
          <w:tcPr>
            <w:tcW w:w="850"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T</w:t>
            </w:r>
            <w:r>
              <w:rPr>
                <w:rFonts w:hint="eastAsia" w:cs="Times New Roman"/>
                <w:color w:val="auto"/>
                <w:kern w:val="0"/>
                <w:sz w:val="18"/>
                <w:szCs w:val="18"/>
                <w:lang w:val="en-US" w:eastAsia="zh-CN"/>
              </w:rPr>
              <w:t>3</w:t>
            </w:r>
          </w:p>
          <w:p>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等线" w:cs="Times New Roman"/>
                <w:i w:val="0"/>
                <w:color w:val="auto"/>
                <w:kern w:val="0"/>
                <w:sz w:val="18"/>
                <w:szCs w:val="18"/>
                <w:u w:val="none"/>
                <w:lang w:val="en-US" w:eastAsia="zh-CN" w:bidi="ar"/>
              </w:rPr>
              <w:t>pH</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21"/>
                <w:szCs w:val="21"/>
                <w:u w:val="none"/>
                <w:lang w:val="en-US" w:eastAsia="zh-CN" w:bidi="ar"/>
              </w:rPr>
              <w:t>/</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21"/>
                <w:szCs w:val="21"/>
                <w:u w:val="none"/>
                <w:lang w:val="en-US" w:eastAsia="zh-CN" w:bidi="ar"/>
              </w:rPr>
              <w:t>/</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21"/>
                <w:szCs w:val="21"/>
                <w:u w:val="none"/>
                <w:lang w:val="en-US" w:eastAsia="zh-CN" w:bidi="ar"/>
              </w:rPr>
              <w:t>/</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等线" w:cs="Times New Roman"/>
                <w:i w:val="0"/>
                <w:color w:val="auto"/>
                <w:kern w:val="0"/>
                <w:sz w:val="18"/>
                <w:szCs w:val="18"/>
                <w:u w:val="none"/>
                <w:lang w:val="en-US" w:eastAsia="zh-CN" w:bidi="ar"/>
              </w:rPr>
              <w:t>pH</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铬（六价）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铬（六价）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0.063</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0.061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0.059</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0.07</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0.073</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镉</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镉</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0.002</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铜</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铜</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铅</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0.026</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0.025</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0.024</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铅</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0.023</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0.021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汞</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汞</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0.001</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8</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镍</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0.024</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0.022</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21"/>
                <w:szCs w:val="21"/>
                <w:u w:val="none"/>
                <w:lang w:val="en-US" w:eastAsia="zh-CN" w:bidi="ar"/>
              </w:rPr>
              <w:t>0.021</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8</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镍</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0.026</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0.024</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21"/>
                <w:szCs w:val="21"/>
                <w:u w:val="none"/>
                <w:lang w:val="en-US" w:eastAsia="zh-CN"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9</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四氯化碳</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24"/>
                <w:sz w:val="18"/>
                <w:szCs w:val="18"/>
              </w:rPr>
            </w:pPr>
            <w:r>
              <w:rPr>
                <w:rFonts w:hint="default" w:ascii="Times New Roman" w:hAnsi="Times New Roman" w:cs="Times New Roman"/>
                <w:snapToGrid w:val="0"/>
                <w:color w:val="auto"/>
                <w:kern w:val="0"/>
                <w:sz w:val="18"/>
                <w:szCs w:val="18"/>
              </w:rPr>
              <w:t>9</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四氯化碳</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10</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氯仿</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10</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氯仿</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氯甲烷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氯甲烷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1,1-二氯乙烷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1,1-二氯乙烷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1,2-二氯乙烷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1,2-二氯乙烷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等线" w:cs="Times New Roman"/>
                <w:i w:val="0"/>
                <w:color w:val="auto"/>
                <w:kern w:val="0"/>
                <w:sz w:val="18"/>
                <w:szCs w:val="18"/>
                <w:u w:val="none"/>
                <w:lang w:val="en-US" w:eastAsia="zh-CN" w:bidi="ar"/>
              </w:rPr>
              <w:t>1,1-二氯乙烯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1,1-二氯乙烯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等线" w:cs="Times New Roman"/>
                <w:i w:val="0"/>
                <w:color w:val="auto"/>
                <w:kern w:val="0"/>
                <w:sz w:val="18"/>
                <w:szCs w:val="18"/>
                <w:u w:val="none"/>
                <w:lang w:val="en-US" w:eastAsia="zh-CN" w:bidi="ar"/>
              </w:rPr>
              <w:t>顺-1,2-二氯乙烯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顺-1,2-二氯乙烯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等线" w:cs="Times New Roman"/>
                <w:i w:val="0"/>
                <w:color w:val="auto"/>
                <w:kern w:val="0"/>
                <w:sz w:val="18"/>
                <w:szCs w:val="18"/>
                <w:u w:val="none"/>
                <w:lang w:val="en-US" w:eastAsia="zh-CN" w:bidi="ar"/>
              </w:rPr>
              <w:t>反-1,2-二氯乙烯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反-1,2-二氯乙烯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二氯甲烷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二氯甲烷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18</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18"/>
                <w:szCs w:val="18"/>
              </w:rPr>
            </w:pPr>
            <w:r>
              <w:rPr>
                <w:rFonts w:hint="default" w:ascii="Times New Roman" w:hAnsi="Times New Roman" w:eastAsia="宋体" w:cs="Times New Roman"/>
                <w:i w:val="0"/>
                <w:color w:val="auto"/>
                <w:kern w:val="0"/>
                <w:sz w:val="18"/>
                <w:szCs w:val="18"/>
                <w:u w:val="none"/>
                <w:lang w:val="en-US" w:eastAsia="zh-CN" w:bidi="ar"/>
              </w:rPr>
              <w:t>1,2-二氯丙烷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18</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1,2-二氯丙烷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19</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1,1,1,2-四氯乙烷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19</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1,1,1,2-四氯乙烷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20</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等线" w:cs="Times New Roman"/>
                <w:i w:val="0"/>
                <w:color w:val="auto"/>
                <w:kern w:val="0"/>
                <w:sz w:val="18"/>
                <w:szCs w:val="18"/>
                <w:u w:val="none"/>
                <w:lang w:val="en-US" w:eastAsia="zh-CN" w:bidi="ar"/>
              </w:rPr>
              <w:t>1,1,2,2-四氯乙烷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20</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1,1,2,2-四氯乙烷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等线" w:cs="Times New Roman"/>
                <w:i w:val="0"/>
                <w:color w:val="auto"/>
                <w:kern w:val="0"/>
                <w:sz w:val="18"/>
                <w:szCs w:val="18"/>
                <w:u w:val="none"/>
                <w:lang w:val="en-US" w:eastAsia="zh-CN" w:bidi="ar"/>
              </w:rPr>
              <w:t>四氯乙烯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四氯乙烯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等线" w:cs="Times New Roman"/>
                <w:i w:val="0"/>
                <w:color w:val="auto"/>
                <w:kern w:val="0"/>
                <w:sz w:val="18"/>
                <w:szCs w:val="18"/>
                <w:u w:val="none"/>
                <w:lang w:val="en-US" w:eastAsia="zh-CN" w:bidi="ar"/>
              </w:rPr>
              <w:t>1,1,1-三氯乙烷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1,1,1-三氯乙烷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1,1,2-三氯乙烷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1,1,2-三氯乙烷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default" w:ascii="Times New Roman" w:hAnsi="Times New Roman" w:eastAsia="等线" w:cs="Times New Roman"/>
                <w:i w:val="0"/>
                <w:color w:val="auto"/>
                <w:kern w:val="0"/>
                <w:sz w:val="18"/>
                <w:szCs w:val="18"/>
                <w:u w:val="none"/>
                <w:lang w:val="en-US" w:eastAsia="zh-CN" w:bidi="ar"/>
              </w:rPr>
              <w:t>三氯乙烯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4"/>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三氯乙烯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等线" w:cs="Times New Roman"/>
                <w:i w:val="0"/>
                <w:color w:val="auto"/>
                <w:kern w:val="0"/>
                <w:sz w:val="18"/>
                <w:szCs w:val="18"/>
                <w:u w:val="none"/>
                <w:lang w:val="en-US" w:eastAsia="zh-CN" w:bidi="ar"/>
              </w:rPr>
              <w:t>1,2,3-三氯丙烷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1,2,3-三氯丙烷</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等线" w:cs="Times New Roman"/>
                <w:i w:val="0"/>
                <w:color w:val="auto"/>
                <w:kern w:val="0"/>
                <w:sz w:val="18"/>
                <w:szCs w:val="18"/>
                <w:u w:val="none"/>
                <w:lang w:val="en-US" w:eastAsia="zh-CN" w:bidi="ar"/>
              </w:rPr>
              <w:t>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28</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28</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29</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1,2-二氯苯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29</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1,2-二氯苯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30</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1,4-二氯苯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30</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1,4-二氯苯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等线" w:cs="Times New Roman"/>
                <w:i w:val="0"/>
                <w:color w:val="auto"/>
                <w:kern w:val="0"/>
                <w:sz w:val="18"/>
                <w:szCs w:val="18"/>
                <w:u w:val="none"/>
                <w:lang w:val="en-US" w:eastAsia="zh-CN" w:bidi="ar"/>
              </w:rPr>
              <w:t>乙苯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乙苯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等线" w:cs="Times New Roman"/>
                <w:i w:val="0"/>
                <w:color w:val="auto"/>
                <w:kern w:val="0"/>
                <w:sz w:val="18"/>
                <w:szCs w:val="18"/>
                <w:u w:val="none"/>
                <w:lang w:val="en-US" w:eastAsia="zh-CN" w:bidi="ar"/>
              </w:rPr>
              <w:t>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苯乙烯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间，对二甲苯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间，对二甲苯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邻二甲苯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邻二甲苯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苯胺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苯胺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2-氯酚</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2-氯酚</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38</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硝基苯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38</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硝基苯</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39</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等线" w:cs="Times New Roman"/>
                <w:i w:val="0"/>
                <w:color w:val="auto"/>
                <w:kern w:val="0"/>
                <w:sz w:val="18"/>
                <w:szCs w:val="18"/>
                <w:u w:val="none"/>
                <w:lang w:val="en-US" w:eastAsia="zh-CN" w:bidi="ar"/>
              </w:rPr>
              <w:t>苯并[a]蒽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39</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等线" w:cs="Times New Roman"/>
                <w:i w:val="0"/>
                <w:color w:val="auto"/>
                <w:kern w:val="0"/>
                <w:sz w:val="18"/>
                <w:szCs w:val="18"/>
                <w:u w:val="none"/>
                <w:lang w:val="en-US" w:eastAsia="zh-CN" w:bidi="ar"/>
              </w:rPr>
              <w:t>苯并[a]蒽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40</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苯并[a]芘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40</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苯并[a]芘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41</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苯并[b]荧蒽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41</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苯并[b]荧蒽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42</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苯并[k]荧蒽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42</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苯并[k]荧蒽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43</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䓛</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43</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䓛</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44</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二苯并[a, h]蒽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44</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二苯并[a, h]蒽</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45</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茚并[1,2,3-cd]芘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45</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茚并[1,2,3-cd]芘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46</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46</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萘</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47</w:t>
            </w:r>
          </w:p>
        </w:tc>
        <w:tc>
          <w:tcPr>
            <w:tcW w:w="140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石油烃</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snapToGrid w:val="0"/>
                <w:color w:val="auto"/>
                <w:kern w:val="0"/>
                <w:sz w:val="18"/>
                <w:szCs w:val="18"/>
              </w:rPr>
              <w:t>47</w:t>
            </w:r>
          </w:p>
        </w:tc>
        <w:tc>
          <w:tcPr>
            <w:tcW w:w="140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auto"/>
                <w:kern w:val="0"/>
                <w:sz w:val="18"/>
                <w:szCs w:val="18"/>
                <w:u w:val="none"/>
                <w:lang w:val="en-US" w:eastAsia="zh-CN" w:bidi="ar"/>
              </w:rPr>
              <w:t>石油烃</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c>
          <w:tcPr>
            <w:tcW w:w="850"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rPr>
            </w:pPr>
            <w:r>
              <w:rPr>
                <w:rFonts w:hint="eastAsia" w:ascii="Times New Roman" w:hAnsi="Times New Roman" w:cs="Times New Roman"/>
                <w:i w:val="0"/>
                <w:color w:val="auto"/>
                <w:kern w:val="0"/>
                <w:sz w:val="21"/>
                <w:szCs w:val="21"/>
                <w:u w:val="none"/>
                <w:lang w:val="en-US" w:eastAsia="zh-CN" w:bidi="ar"/>
              </w:rPr>
              <w:t>未检出</w:t>
            </w:r>
          </w:p>
        </w:tc>
      </w:tr>
    </w:tbl>
    <w:p>
      <w:pPr>
        <w:pStyle w:val="7"/>
        <w:numPr>
          <w:ilvl w:val="4"/>
          <w:numId w:val="2"/>
        </w:numPr>
        <w:bidi w:val="0"/>
        <w:rPr>
          <w:color w:val="auto"/>
          <w:sz w:val="28"/>
          <w:szCs w:val="28"/>
        </w:rPr>
      </w:pPr>
      <w:r>
        <w:rPr>
          <w:rFonts w:hAnsi="宋体"/>
          <w:color w:val="auto"/>
          <w:spacing w:val="-4"/>
          <w:sz w:val="28"/>
          <w:szCs w:val="28"/>
        </w:rPr>
        <w:t>土壤环境质量现状指数（</w:t>
      </w:r>
      <w:r>
        <w:rPr>
          <w:snapToGrid w:val="0"/>
          <w:color w:val="auto"/>
          <w:kern w:val="0"/>
          <w:sz w:val="28"/>
          <w:szCs w:val="28"/>
        </w:rPr>
        <w:t>K</w:t>
      </w:r>
      <w:r>
        <w:rPr>
          <w:snapToGrid w:val="0"/>
          <w:color w:val="auto"/>
          <w:kern w:val="0"/>
          <w:sz w:val="28"/>
          <w:szCs w:val="28"/>
          <w:vertAlign w:val="subscript"/>
        </w:rPr>
        <w:t>i</w:t>
      </w:r>
      <w:r>
        <w:rPr>
          <w:rFonts w:hAnsi="宋体"/>
          <w:color w:val="auto"/>
          <w:spacing w:val="-4"/>
          <w:sz w:val="28"/>
          <w:szCs w:val="28"/>
        </w:rPr>
        <w:t>）评价结果</w:t>
      </w:r>
      <w:r>
        <w:rPr>
          <w:color w:val="auto"/>
          <w:sz w:val="28"/>
          <w:szCs w:val="28"/>
        </w:rPr>
        <w:t xml:space="preserve"> </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48"/>
        <w:gridCol w:w="1548"/>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1" w:hRule="exact"/>
          <w:jc w:val="center"/>
        </w:trPr>
        <w:tc>
          <w:tcPr>
            <w:tcW w:w="1134"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序号</w:t>
            </w:r>
          </w:p>
        </w:tc>
        <w:tc>
          <w:tcPr>
            <w:tcW w:w="1134"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监测项目</w:t>
            </w:r>
          </w:p>
        </w:tc>
        <w:tc>
          <w:tcPr>
            <w:tcW w:w="1134"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kern w:val="0"/>
                <w:szCs w:val="21"/>
              </w:rPr>
            </w:pPr>
            <w:r>
              <w:rPr>
                <w:rFonts w:hint="default" w:hAnsi="宋体"/>
                <w:color w:val="auto"/>
                <w:kern w:val="0"/>
                <w:szCs w:val="21"/>
              </w:rPr>
              <w:t>监测点位</w:t>
            </w:r>
          </w:p>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T</w:t>
            </w:r>
            <w:r>
              <w:rPr>
                <w:rFonts w:hint="eastAsia"/>
                <w:color w:val="auto"/>
                <w:kern w:val="0"/>
                <w:szCs w:val="21"/>
              </w:rPr>
              <w:t>5</w:t>
            </w:r>
            <w:r>
              <w:rPr>
                <w:rFonts w:hint="default" w:hAnsi="宋体"/>
                <w:color w:val="auto"/>
                <w:kern w:val="0"/>
                <w:szCs w:val="21"/>
              </w:rPr>
              <w:t>（</w:t>
            </w:r>
            <w:r>
              <w:rPr>
                <w:rFonts w:hint="default"/>
                <w:color w:val="auto"/>
                <w:szCs w:val="21"/>
              </w:rPr>
              <w:t>0-0.2m</w:t>
            </w:r>
            <w:r>
              <w:rPr>
                <w:rFonts w:hint="default" w:hAnsi="宋体"/>
                <w:color w:val="auto"/>
                <w:szCs w:val="21"/>
              </w:rPr>
              <w:t>）</w:t>
            </w:r>
          </w:p>
        </w:tc>
        <w:tc>
          <w:tcPr>
            <w:tcW w:w="1134"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kern w:val="0"/>
                <w:szCs w:val="21"/>
              </w:rPr>
            </w:pPr>
            <w:r>
              <w:rPr>
                <w:rFonts w:hint="default" w:hAnsi="宋体"/>
                <w:color w:val="auto"/>
                <w:kern w:val="0"/>
                <w:szCs w:val="21"/>
              </w:rPr>
              <w:t>序号</w:t>
            </w:r>
          </w:p>
        </w:tc>
        <w:tc>
          <w:tcPr>
            <w:tcW w:w="1134"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hAnsi="宋体"/>
                <w:color w:val="auto"/>
                <w:kern w:val="0"/>
                <w:szCs w:val="21"/>
              </w:rPr>
            </w:pPr>
            <w:r>
              <w:rPr>
                <w:rFonts w:hint="default" w:hAnsi="宋体"/>
                <w:color w:val="auto"/>
                <w:kern w:val="0"/>
                <w:szCs w:val="21"/>
              </w:rPr>
              <w:t>监测项目</w:t>
            </w:r>
          </w:p>
        </w:tc>
        <w:tc>
          <w:tcPr>
            <w:tcW w:w="1134"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kern w:val="0"/>
                <w:szCs w:val="21"/>
              </w:rPr>
            </w:pPr>
            <w:r>
              <w:rPr>
                <w:rFonts w:hint="default" w:hAnsi="宋体"/>
                <w:color w:val="auto"/>
                <w:kern w:val="0"/>
                <w:szCs w:val="21"/>
              </w:rPr>
              <w:t>监测点位</w:t>
            </w:r>
          </w:p>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T</w:t>
            </w:r>
            <w:r>
              <w:rPr>
                <w:rFonts w:hint="eastAsia"/>
                <w:color w:val="auto"/>
                <w:kern w:val="0"/>
                <w:szCs w:val="21"/>
              </w:rPr>
              <w:t>5</w:t>
            </w:r>
            <w:r>
              <w:rPr>
                <w:rFonts w:hint="default" w:hAnsi="宋体"/>
                <w:color w:val="auto"/>
                <w:kern w:val="0"/>
                <w:szCs w:val="21"/>
              </w:rPr>
              <w:t>（</w:t>
            </w:r>
            <w:r>
              <w:rPr>
                <w:rFonts w:hint="default"/>
                <w:color w:val="auto"/>
                <w:szCs w:val="21"/>
              </w:rPr>
              <w:t>0-0.2m</w:t>
            </w:r>
            <w:r>
              <w:rPr>
                <w:rFonts w:hint="default"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1</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石油烃</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kern w:val="24"/>
                <w:szCs w:val="21"/>
                <w:lang w:val="en-US" w:eastAsia="zh-CN"/>
              </w:rPr>
            </w:pPr>
            <w:r>
              <w:rPr>
                <w:rFonts w:hint="eastAsia"/>
                <w:color w:val="auto"/>
                <w:kern w:val="24"/>
                <w:szCs w:val="21"/>
                <w:lang w:val="en-US" w:eastAsia="zh-CN"/>
              </w:rPr>
              <w:t>/</w:t>
            </w:r>
          </w:p>
        </w:tc>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eastAsia"/>
                <w:color w:val="auto"/>
                <w:kern w:val="24"/>
                <w:szCs w:val="21"/>
                <w:lang w:val="en-US" w:eastAsia="zh-CN"/>
              </w:rPr>
            </w:pPr>
            <w:r>
              <w:rPr>
                <w:rFonts w:hint="default"/>
                <w:snapToGrid w:val="0"/>
                <w:color w:val="auto"/>
                <w:kern w:val="0"/>
                <w:szCs w:val="21"/>
              </w:rPr>
              <w:t>6</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24"/>
                <w:szCs w:val="21"/>
                <w:lang w:val="en-US" w:eastAsia="zh-CN"/>
              </w:rPr>
            </w:pPr>
            <w:r>
              <w:rPr>
                <w:rFonts w:hint="eastAsia" w:ascii="宋体" w:hAnsi="宋体" w:eastAsia="宋体" w:cs="宋体"/>
                <w:i w:val="0"/>
                <w:color w:val="auto"/>
                <w:kern w:val="0"/>
                <w:sz w:val="21"/>
                <w:szCs w:val="21"/>
                <w:u w:val="none"/>
                <w:lang w:val="en-US" w:eastAsia="zh-CN" w:bidi="ar"/>
              </w:rPr>
              <w:t>铜</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24"/>
                <w:szCs w:val="21"/>
                <w:lang w:val="en-US" w:eastAsia="zh-CN"/>
              </w:rPr>
            </w:pPr>
            <w:r>
              <w:rPr>
                <w:rFonts w:hint="default" w:ascii="Times New Roman" w:hAnsi="Times New Roman" w:eastAsia="等线" w:cs="Times New Roman"/>
                <w:i w:val="0"/>
                <w:color w:val="auto"/>
                <w:kern w:val="0"/>
                <w:sz w:val="21"/>
                <w:szCs w:val="21"/>
                <w:u w:val="none"/>
                <w:lang w:val="en-US" w:eastAsia="zh-CN" w:bidi="ar"/>
              </w:rPr>
              <w:t xml:space="preserve">0.1400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2</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砷</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 xml:space="preserve">0.1500 </w:t>
            </w:r>
          </w:p>
        </w:tc>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7</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铅</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 xml:space="preserve">0.1412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3</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镉</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 xml:space="preserve">0.1667 </w:t>
            </w:r>
          </w:p>
        </w:tc>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8</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汞</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 xml:space="preserve">0.0065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4</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锌</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 xml:space="preserve">0.1900 </w:t>
            </w:r>
          </w:p>
        </w:tc>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9</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镍</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 xml:space="preserve">0.1158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snapToGrid w:val="0"/>
                <w:color w:val="auto"/>
                <w:kern w:val="0"/>
                <w:szCs w:val="21"/>
              </w:rPr>
            </w:pPr>
            <w:r>
              <w:rPr>
                <w:rFonts w:hint="default"/>
                <w:snapToGrid w:val="0"/>
                <w:color w:val="auto"/>
                <w:kern w:val="0"/>
                <w:szCs w:val="21"/>
              </w:rPr>
              <w:t>5</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eastAsia" w:ascii="宋体" w:hAnsi="宋体" w:eastAsia="宋体" w:cs="宋体"/>
                <w:i w:val="0"/>
                <w:color w:val="auto"/>
                <w:kern w:val="0"/>
                <w:sz w:val="21"/>
                <w:szCs w:val="21"/>
                <w:u w:val="none"/>
                <w:lang w:val="en-US" w:eastAsia="zh-CN" w:bidi="ar"/>
              </w:rPr>
              <w:t>铬</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kern w:val="24"/>
                <w:szCs w:val="21"/>
              </w:rPr>
            </w:pPr>
            <w:r>
              <w:rPr>
                <w:rFonts w:hint="default" w:ascii="Times New Roman" w:hAnsi="Times New Roman" w:eastAsia="等线" w:cs="Times New Roman"/>
                <w:i w:val="0"/>
                <w:color w:val="auto"/>
                <w:kern w:val="0"/>
                <w:sz w:val="21"/>
                <w:szCs w:val="21"/>
                <w:u w:val="none"/>
                <w:lang w:val="en-US" w:eastAsia="zh-CN" w:bidi="ar"/>
              </w:rPr>
              <w:t xml:space="preserve">0.2200 </w:t>
            </w:r>
          </w:p>
        </w:tc>
        <w:tc>
          <w:tcPr>
            <w:tcW w:w="1134"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等线" w:cs="Times New Roman"/>
                <w:i w:val="0"/>
                <w:color w:val="auto"/>
                <w:kern w:val="0"/>
                <w:sz w:val="21"/>
                <w:szCs w:val="21"/>
                <w:u w:val="none"/>
                <w:lang w:val="en-US" w:eastAsia="zh-CN" w:bidi="ar"/>
              </w:rPr>
            </w:pPr>
            <w:r>
              <w:rPr>
                <w:rFonts w:hint="default"/>
                <w:snapToGrid w:val="0"/>
                <w:color w:val="auto"/>
                <w:kern w:val="0"/>
                <w:szCs w:val="21"/>
              </w:rPr>
              <w:t>10</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default" w:ascii="Times New Roman" w:hAnsi="Times New Roman" w:eastAsia="等线" w:cs="Times New Roman"/>
                <w:i w:val="0"/>
                <w:color w:val="auto"/>
                <w:kern w:val="0"/>
                <w:sz w:val="21"/>
                <w:szCs w:val="21"/>
                <w:u w:val="none"/>
                <w:lang w:val="en-US" w:eastAsia="zh-CN" w:bidi="ar"/>
              </w:rPr>
              <w:t>pH</w:t>
            </w:r>
          </w:p>
        </w:tc>
        <w:tc>
          <w:tcPr>
            <w:tcW w:w="1134"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i w:val="0"/>
                <w:color w:val="auto"/>
                <w:kern w:val="0"/>
                <w:sz w:val="21"/>
                <w:szCs w:val="21"/>
                <w:u w:val="none"/>
                <w:lang w:val="en-US" w:eastAsia="zh-CN" w:bidi="ar"/>
              </w:rPr>
            </w:pPr>
            <w:r>
              <w:rPr>
                <w:rFonts w:hint="eastAsia" w:eastAsia="等线" w:cs="Times New Roman"/>
                <w:i w:val="0"/>
                <w:color w:val="auto"/>
                <w:kern w:val="0"/>
                <w:sz w:val="21"/>
                <w:szCs w:val="21"/>
                <w:u w:val="none"/>
                <w:lang w:val="en-US" w:eastAsia="zh-CN" w:bidi="ar"/>
              </w:rPr>
              <w:t>/</w:t>
            </w:r>
          </w:p>
        </w:tc>
      </w:tr>
    </w:tbl>
    <w:p>
      <w:pPr>
        <w:pStyle w:val="7"/>
        <w:numPr>
          <w:ilvl w:val="4"/>
          <w:numId w:val="2"/>
        </w:numPr>
        <w:bidi w:val="0"/>
        <w:rPr>
          <w:b w:val="0"/>
          <w:snapToGrid w:val="0"/>
          <w:color w:val="auto"/>
          <w:kern w:val="0"/>
          <w:sz w:val="28"/>
          <w:szCs w:val="28"/>
        </w:rPr>
      </w:pPr>
      <w:r>
        <w:rPr>
          <w:rFonts w:hAnsi="宋体"/>
          <w:color w:val="auto"/>
          <w:spacing w:val="-4"/>
          <w:sz w:val="28"/>
          <w:szCs w:val="28"/>
        </w:rPr>
        <w:t>土壤环境质量现状指数（</w:t>
      </w:r>
      <w:r>
        <w:rPr>
          <w:snapToGrid w:val="0"/>
          <w:color w:val="auto"/>
          <w:kern w:val="0"/>
          <w:sz w:val="28"/>
          <w:szCs w:val="28"/>
        </w:rPr>
        <w:t>K</w:t>
      </w:r>
      <w:r>
        <w:rPr>
          <w:snapToGrid w:val="0"/>
          <w:color w:val="auto"/>
          <w:kern w:val="0"/>
          <w:sz w:val="28"/>
          <w:szCs w:val="28"/>
          <w:vertAlign w:val="subscript"/>
        </w:rPr>
        <w:t>i</w:t>
      </w:r>
      <w:r>
        <w:rPr>
          <w:rFonts w:hAnsi="宋体"/>
          <w:color w:val="auto"/>
          <w:spacing w:val="-4"/>
          <w:sz w:val="28"/>
          <w:szCs w:val="28"/>
        </w:rPr>
        <w:t>）评价结果</w:t>
      </w:r>
      <w:r>
        <w:rPr>
          <w:color w:val="auto"/>
          <w:sz w:val="28"/>
          <w:szCs w:val="28"/>
        </w:rPr>
        <w:t xml:space="preserve"> </w:t>
      </w:r>
    </w:p>
    <w:tbl>
      <w:tblPr>
        <w:tblStyle w:val="3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88"/>
        <w:gridCol w:w="1442"/>
        <w:gridCol w:w="1735"/>
        <w:gridCol w:w="1445"/>
        <w:gridCol w:w="1442"/>
        <w:gridCol w:w="1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8" w:hRule="atLeast"/>
          <w:jc w:val="center"/>
        </w:trPr>
        <w:tc>
          <w:tcPr>
            <w:tcW w:w="8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检测点位</w:t>
            </w:r>
          </w:p>
        </w:tc>
        <w:tc>
          <w:tcPr>
            <w:tcW w:w="2539"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T2</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T4</w:t>
            </w:r>
          </w:p>
        </w:tc>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jc w:val="center"/>
        </w:trPr>
        <w:tc>
          <w:tcPr>
            <w:tcW w:w="8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检测项目</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0~0.5m</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0.5~1.5m</w:t>
            </w:r>
          </w:p>
        </w:tc>
        <w:tc>
          <w:tcPr>
            <w:tcW w:w="7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1.5~3m</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0~0.5m</w:t>
            </w:r>
          </w:p>
        </w:tc>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8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pH</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lang w:val="en-US" w:eastAsia="zh-CN"/>
              </w:rPr>
            </w:pPr>
            <w:r>
              <w:rPr>
                <w:rFonts w:hint="eastAsia" w:cs="Times New Roman"/>
                <w:i w:val="0"/>
                <w:color w:val="auto"/>
                <w:sz w:val="21"/>
                <w:szCs w:val="21"/>
                <w:u w:val="none"/>
                <w:lang w:val="en-US" w:eastAsia="zh-CN"/>
              </w:rPr>
              <w:t>未检出</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c>
          <w:tcPr>
            <w:tcW w:w="7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jc w:val="center"/>
        </w:trPr>
        <w:tc>
          <w:tcPr>
            <w:tcW w:w="87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石油烃（C</w:t>
            </w:r>
            <w:r>
              <w:rPr>
                <w:rFonts w:hint="default" w:ascii="Times New Roman" w:hAnsi="Times New Roman" w:eastAsia="宋体" w:cs="Times New Roman"/>
                <w:i w:val="0"/>
                <w:color w:val="auto"/>
                <w:kern w:val="0"/>
                <w:sz w:val="21"/>
                <w:szCs w:val="21"/>
                <w:u w:val="none"/>
                <w:vertAlign w:val="subscript"/>
                <w:lang w:val="en-US" w:eastAsia="zh-CN" w:bidi="ar"/>
              </w:rPr>
              <w:t>10</w:t>
            </w:r>
            <w:r>
              <w:rPr>
                <w:rFonts w:hint="default" w:ascii="Times New Roman" w:hAnsi="Times New Roman" w:eastAsia="宋体" w:cs="Times New Roman"/>
                <w:i w:val="0"/>
                <w:color w:val="auto"/>
                <w:kern w:val="0"/>
                <w:sz w:val="21"/>
                <w:szCs w:val="21"/>
                <w:u w:val="none"/>
                <w:lang w:val="en-US" w:eastAsia="zh-CN" w:bidi="ar"/>
              </w:rPr>
              <w:t>-C</w:t>
            </w:r>
            <w:r>
              <w:rPr>
                <w:rFonts w:hint="default" w:ascii="Times New Roman" w:hAnsi="Times New Roman" w:eastAsia="宋体" w:cs="Times New Roman"/>
                <w:i w:val="0"/>
                <w:color w:val="auto"/>
                <w:kern w:val="0"/>
                <w:sz w:val="21"/>
                <w:szCs w:val="21"/>
                <w:u w:val="none"/>
                <w:vertAlign w:val="subscript"/>
                <w:lang w:val="en-US" w:eastAsia="zh-CN" w:bidi="ar"/>
              </w:rPr>
              <w:t>40</w:t>
            </w:r>
            <w:r>
              <w:rPr>
                <w:rFonts w:hint="default" w:ascii="Times New Roman" w:hAnsi="Times New Roman" w:eastAsia="宋体" w:cs="Times New Roman"/>
                <w:i w:val="0"/>
                <w:color w:val="auto"/>
                <w:kern w:val="0"/>
                <w:sz w:val="21"/>
                <w:szCs w:val="21"/>
                <w:u w:val="none"/>
                <w:lang w:val="en-US" w:eastAsia="zh-CN" w:bidi="ar"/>
              </w:rPr>
              <w:t>）</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c>
          <w:tcPr>
            <w:tcW w:w="9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c>
          <w:tcPr>
            <w:tcW w:w="7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c>
          <w:tcPr>
            <w:tcW w:w="7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sz w:val="21"/>
                <w:szCs w:val="21"/>
                <w:u w:val="none"/>
              </w:rPr>
            </w:pPr>
            <w:r>
              <w:rPr>
                <w:rFonts w:hint="eastAsia" w:cs="Times New Roman"/>
                <w:i w:val="0"/>
                <w:color w:val="auto"/>
                <w:sz w:val="21"/>
                <w:szCs w:val="21"/>
                <w:u w:val="none"/>
                <w:lang w:val="en-US" w:eastAsia="zh-CN"/>
              </w:rPr>
              <w:t>未检出</w:t>
            </w:r>
          </w:p>
        </w:tc>
      </w:tr>
    </w:tbl>
    <w:p>
      <w:pPr>
        <w:pStyle w:val="6"/>
        <w:numPr>
          <w:ilvl w:val="3"/>
          <w:numId w:val="2"/>
        </w:numPr>
        <w:bidi w:val="0"/>
        <w:rPr>
          <w:b w:val="0"/>
          <w:snapToGrid w:val="0"/>
          <w:color w:val="auto"/>
          <w:kern w:val="0"/>
          <w:sz w:val="28"/>
          <w:szCs w:val="28"/>
        </w:rPr>
      </w:pPr>
      <w:r>
        <w:rPr>
          <w:rFonts w:hAnsi="宋体"/>
          <w:b w:val="0"/>
          <w:snapToGrid w:val="0"/>
          <w:color w:val="auto"/>
          <w:kern w:val="0"/>
          <w:sz w:val="28"/>
          <w:szCs w:val="28"/>
        </w:rPr>
        <w:t>评价结论</w:t>
      </w:r>
    </w:p>
    <w:p>
      <w:pPr>
        <w:snapToGrid w:val="0"/>
        <w:spacing w:line="480" w:lineRule="exact"/>
        <w:ind w:firstLine="544" w:firstLineChars="200"/>
        <w:rPr>
          <w:rFonts w:hint="eastAsia" w:hAnsi="宋体"/>
          <w:color w:val="auto"/>
          <w:spacing w:val="-4"/>
          <w:sz w:val="28"/>
          <w:szCs w:val="28"/>
        </w:rPr>
      </w:pPr>
      <w:r>
        <w:rPr>
          <w:rFonts w:hAnsi="宋体"/>
          <w:color w:val="auto"/>
          <w:spacing w:val="-4"/>
          <w:sz w:val="28"/>
          <w:szCs w:val="28"/>
        </w:rPr>
        <w:t>本项目</w:t>
      </w:r>
      <w:r>
        <w:rPr>
          <w:color w:val="auto"/>
          <w:spacing w:val="-4"/>
          <w:sz w:val="28"/>
          <w:szCs w:val="28"/>
        </w:rPr>
        <w:t>T1-T</w:t>
      </w:r>
      <w:r>
        <w:rPr>
          <w:rFonts w:hint="eastAsia"/>
          <w:color w:val="auto"/>
          <w:spacing w:val="-4"/>
          <w:sz w:val="28"/>
          <w:szCs w:val="28"/>
        </w:rPr>
        <w:t>4</w:t>
      </w:r>
      <w:r>
        <w:rPr>
          <w:rFonts w:hint="eastAsia"/>
          <w:color w:val="auto"/>
          <w:spacing w:val="-4"/>
          <w:sz w:val="28"/>
          <w:szCs w:val="28"/>
          <w:lang w:eastAsia="zh-CN"/>
        </w:rPr>
        <w:t>、</w:t>
      </w:r>
      <w:r>
        <w:rPr>
          <w:rFonts w:hint="eastAsia"/>
          <w:color w:val="auto"/>
          <w:spacing w:val="-4"/>
          <w:sz w:val="28"/>
          <w:szCs w:val="28"/>
          <w:lang w:val="en-US" w:eastAsia="zh-CN"/>
        </w:rPr>
        <w:t>T6</w:t>
      </w:r>
      <w:r>
        <w:rPr>
          <w:rFonts w:hAnsi="宋体"/>
          <w:color w:val="auto"/>
          <w:spacing w:val="-4"/>
          <w:sz w:val="28"/>
          <w:szCs w:val="28"/>
        </w:rPr>
        <w:t>监测点的土壤中各项指标能够满足《土壤环境质量</w:t>
      </w:r>
      <w:r>
        <w:rPr>
          <w:color w:val="auto"/>
          <w:spacing w:val="-4"/>
          <w:sz w:val="28"/>
          <w:szCs w:val="28"/>
        </w:rPr>
        <w:t xml:space="preserve"> </w:t>
      </w:r>
      <w:r>
        <w:rPr>
          <w:rFonts w:hAnsi="宋体"/>
          <w:color w:val="auto"/>
          <w:spacing w:val="-4"/>
          <w:sz w:val="28"/>
          <w:szCs w:val="28"/>
        </w:rPr>
        <w:t>建设用地土壤污染风险管控标准（试行）》（</w:t>
      </w:r>
      <w:r>
        <w:rPr>
          <w:color w:val="auto"/>
          <w:spacing w:val="-4"/>
          <w:sz w:val="28"/>
          <w:szCs w:val="28"/>
        </w:rPr>
        <w:t>GB36600-2018</w:t>
      </w:r>
      <w:r>
        <w:rPr>
          <w:rFonts w:hAnsi="宋体"/>
          <w:color w:val="auto"/>
          <w:spacing w:val="-4"/>
          <w:sz w:val="28"/>
          <w:szCs w:val="28"/>
        </w:rPr>
        <w:t>）要求，</w:t>
      </w:r>
      <w:r>
        <w:rPr>
          <w:color w:val="auto"/>
          <w:spacing w:val="-4"/>
          <w:sz w:val="28"/>
          <w:szCs w:val="28"/>
        </w:rPr>
        <w:t>T</w:t>
      </w:r>
      <w:r>
        <w:rPr>
          <w:rFonts w:hint="eastAsia"/>
          <w:color w:val="auto"/>
          <w:spacing w:val="-4"/>
          <w:sz w:val="28"/>
          <w:szCs w:val="28"/>
        </w:rPr>
        <w:t>5</w:t>
      </w:r>
      <w:r>
        <w:rPr>
          <w:rFonts w:hAnsi="宋体"/>
          <w:color w:val="auto"/>
          <w:spacing w:val="-4"/>
          <w:sz w:val="28"/>
          <w:szCs w:val="28"/>
        </w:rPr>
        <w:t>监测点的土壤中各项指标能够满足《土壤环境质量农用地土壤污染风险管控标准（试行）》（</w:t>
      </w:r>
      <w:r>
        <w:rPr>
          <w:color w:val="auto"/>
          <w:spacing w:val="-4"/>
          <w:sz w:val="28"/>
          <w:szCs w:val="28"/>
        </w:rPr>
        <w:t>GB15618-2018</w:t>
      </w:r>
      <w:r>
        <w:rPr>
          <w:rFonts w:hAnsi="宋体"/>
          <w:color w:val="auto"/>
          <w:spacing w:val="-4"/>
          <w:sz w:val="28"/>
          <w:szCs w:val="28"/>
        </w:rPr>
        <w:t>）要求，土壤环境质量状况良好。</w:t>
      </w:r>
    </w:p>
    <w:p>
      <w:pPr>
        <w:pStyle w:val="33"/>
        <w:rPr>
          <w:color w:val="auto"/>
        </w:rPr>
      </w:pPr>
      <w:r>
        <w:rPr>
          <w:color w:val="auto"/>
        </w:rPr>
        <w:t>根据检测结果可知，评价区域内农用地所监测到的各项污染物含量均不超过国家</w:t>
      </w:r>
      <w:r>
        <w:rPr>
          <w:color w:val="auto"/>
          <w:kern w:val="2"/>
          <w:lang w:val="zh-CN"/>
        </w:rPr>
        <w:t>《土壤环境质量 农用地土壤污染风险管控标准》（GB15618-2018）标准要求</w:t>
      </w:r>
      <w:r>
        <w:rPr>
          <w:color w:val="auto"/>
        </w:rPr>
        <w:t>，建设用地各项污染物含量均不超过</w:t>
      </w:r>
      <w:r>
        <w:rPr>
          <w:color w:val="auto"/>
          <w:kern w:val="2"/>
          <w:lang w:val="zh-CN"/>
        </w:rPr>
        <w:t>《土壤环境质量 建设用地土壤污染风险管控标准（试行）》（GB</w:t>
      </w:r>
      <w:r>
        <w:rPr>
          <w:color w:val="auto"/>
          <w:kern w:val="2"/>
        </w:rPr>
        <w:t>36600</w:t>
      </w:r>
      <w:r>
        <w:rPr>
          <w:color w:val="auto"/>
          <w:kern w:val="2"/>
          <w:lang w:val="zh-CN"/>
        </w:rPr>
        <w:t>-2018）中筛选值，</w:t>
      </w:r>
      <w:r>
        <w:rPr>
          <w:color w:val="auto"/>
        </w:rPr>
        <w:t>评价指数均＜1，</w:t>
      </w:r>
      <w:r>
        <w:rPr>
          <w:rFonts w:hAnsi="宋体"/>
          <w:color w:val="auto"/>
          <w:spacing w:val="-4"/>
          <w:sz w:val="28"/>
          <w:szCs w:val="28"/>
        </w:rPr>
        <w:t>土壤环境质量状况良好</w:t>
      </w:r>
      <w:r>
        <w:rPr>
          <w:color w:val="auto"/>
        </w:rPr>
        <w:t>。</w:t>
      </w:r>
    </w:p>
    <w:p>
      <w:pPr>
        <w:pStyle w:val="5"/>
        <w:numPr>
          <w:ilvl w:val="2"/>
          <w:numId w:val="2"/>
        </w:numPr>
        <w:spacing w:before="159" w:beforeLines="50" w:after="159" w:afterLines="50" w:line="480" w:lineRule="exact"/>
        <w:rPr>
          <w:b w:val="0"/>
          <w:snapToGrid w:val="0"/>
          <w:color w:val="auto"/>
          <w:kern w:val="0"/>
          <w:sz w:val="28"/>
          <w:szCs w:val="28"/>
        </w:rPr>
      </w:pPr>
      <w:bookmarkStart w:id="527" w:name="_Toc414867370"/>
      <w:bookmarkStart w:id="528" w:name="_Toc490471559"/>
      <w:bookmarkStart w:id="529" w:name="_Toc487446167"/>
      <w:bookmarkStart w:id="530" w:name="_Toc490471664"/>
      <w:bookmarkStart w:id="531" w:name="_Toc490463081"/>
      <w:r>
        <w:rPr>
          <w:rFonts w:hAnsi="宋体"/>
          <w:b w:val="0"/>
          <w:snapToGrid w:val="0"/>
          <w:color w:val="auto"/>
          <w:kern w:val="0"/>
          <w:sz w:val="28"/>
          <w:szCs w:val="28"/>
        </w:rPr>
        <w:t>生态现状调查与评价</w:t>
      </w:r>
      <w:bookmarkEnd w:id="527"/>
      <w:bookmarkEnd w:id="528"/>
      <w:bookmarkEnd w:id="529"/>
      <w:bookmarkEnd w:id="530"/>
      <w:bookmarkEnd w:id="531"/>
    </w:p>
    <w:p>
      <w:pPr>
        <w:pStyle w:val="6"/>
        <w:numPr>
          <w:ilvl w:val="3"/>
          <w:numId w:val="2"/>
        </w:numPr>
        <w:bidi w:val="0"/>
        <w:rPr>
          <w:b w:val="0"/>
          <w:snapToGrid w:val="0"/>
          <w:color w:val="auto"/>
          <w:kern w:val="0"/>
          <w:sz w:val="28"/>
          <w:szCs w:val="28"/>
        </w:rPr>
      </w:pPr>
      <w:r>
        <w:rPr>
          <w:rFonts w:hAnsi="宋体"/>
          <w:b w:val="0"/>
          <w:snapToGrid w:val="0"/>
          <w:color w:val="auto"/>
          <w:kern w:val="0"/>
          <w:sz w:val="28"/>
          <w:szCs w:val="28"/>
        </w:rPr>
        <w:t>生态功能区划</w:t>
      </w:r>
    </w:p>
    <w:p>
      <w:pPr>
        <w:snapToGrid w:val="0"/>
        <w:spacing w:line="480" w:lineRule="exact"/>
        <w:ind w:firstLine="560" w:firstLineChars="200"/>
        <w:rPr>
          <w:color w:val="auto"/>
          <w:kern w:val="0"/>
          <w:sz w:val="28"/>
          <w:szCs w:val="28"/>
        </w:rPr>
      </w:pPr>
      <w:r>
        <w:rPr>
          <w:rFonts w:hAnsi="宋体"/>
          <w:color w:val="auto"/>
          <w:kern w:val="0"/>
          <w:sz w:val="28"/>
          <w:szCs w:val="28"/>
        </w:rPr>
        <w:t>根据《黑龙江省生态功能区划》，评价区属于</w:t>
      </w:r>
      <w:r>
        <w:rPr>
          <w:color w:val="auto"/>
          <w:kern w:val="0"/>
          <w:sz w:val="28"/>
          <w:szCs w:val="28"/>
        </w:rPr>
        <w:t>“</w:t>
      </w:r>
      <w:r>
        <w:rPr>
          <w:rFonts w:hAnsi="宋体"/>
          <w:color w:val="auto"/>
          <w:kern w:val="0"/>
          <w:sz w:val="28"/>
          <w:szCs w:val="28"/>
        </w:rPr>
        <w:t>松嫩平原西部草甸草原生态区</w:t>
      </w:r>
      <w:r>
        <w:rPr>
          <w:color w:val="auto"/>
          <w:kern w:val="0"/>
          <w:sz w:val="28"/>
          <w:szCs w:val="28"/>
        </w:rPr>
        <w:t>-</w:t>
      </w:r>
      <w:r>
        <w:rPr>
          <w:rFonts w:hAnsi="宋体"/>
          <w:color w:val="auto"/>
          <w:kern w:val="0"/>
          <w:sz w:val="28"/>
          <w:szCs w:val="28"/>
        </w:rPr>
        <w:t>松嫩平原西部草甸草原与农业生态亚区</w:t>
      </w:r>
      <w:r>
        <w:rPr>
          <w:color w:val="auto"/>
          <w:kern w:val="0"/>
          <w:sz w:val="28"/>
          <w:szCs w:val="28"/>
        </w:rPr>
        <w:t>-</w:t>
      </w:r>
      <w:r>
        <w:rPr>
          <w:rFonts w:hAnsi="宋体"/>
          <w:color w:val="auto"/>
          <w:kern w:val="0"/>
          <w:sz w:val="28"/>
          <w:szCs w:val="28"/>
        </w:rPr>
        <w:t>安达</w:t>
      </w:r>
      <w:r>
        <w:rPr>
          <w:color w:val="auto"/>
          <w:kern w:val="0"/>
          <w:sz w:val="28"/>
          <w:szCs w:val="28"/>
        </w:rPr>
        <w:t>—</w:t>
      </w:r>
      <w:r>
        <w:rPr>
          <w:rFonts w:hint="eastAsia" w:hAnsi="宋体"/>
          <w:color w:val="auto"/>
          <w:kern w:val="0"/>
          <w:sz w:val="28"/>
          <w:szCs w:val="28"/>
        </w:rPr>
        <w:t>肇东</w:t>
      </w:r>
      <w:r>
        <w:rPr>
          <w:color w:val="auto"/>
          <w:kern w:val="0"/>
          <w:sz w:val="28"/>
          <w:szCs w:val="28"/>
        </w:rPr>
        <w:t>—</w:t>
      </w:r>
      <w:r>
        <w:rPr>
          <w:rFonts w:hAnsi="宋体"/>
          <w:color w:val="auto"/>
          <w:kern w:val="0"/>
          <w:sz w:val="28"/>
          <w:szCs w:val="28"/>
        </w:rPr>
        <w:t>肇源农、牧业与盐渍化控制生态功能区</w:t>
      </w:r>
      <w:r>
        <w:rPr>
          <w:color w:val="auto"/>
          <w:kern w:val="0"/>
          <w:sz w:val="28"/>
          <w:szCs w:val="28"/>
        </w:rPr>
        <w:t>”</w:t>
      </w:r>
      <w:r>
        <w:rPr>
          <w:rFonts w:hAnsi="宋体"/>
          <w:color w:val="auto"/>
          <w:kern w:val="0"/>
          <w:sz w:val="28"/>
          <w:szCs w:val="28"/>
        </w:rPr>
        <w:t>。</w:t>
      </w:r>
    </w:p>
    <w:p>
      <w:pPr>
        <w:pStyle w:val="6"/>
        <w:numPr>
          <w:ilvl w:val="3"/>
          <w:numId w:val="2"/>
        </w:numPr>
        <w:bidi w:val="0"/>
        <w:rPr>
          <w:b w:val="0"/>
          <w:snapToGrid w:val="0"/>
          <w:color w:val="auto"/>
          <w:kern w:val="0"/>
          <w:sz w:val="28"/>
          <w:szCs w:val="28"/>
        </w:rPr>
      </w:pPr>
      <w:r>
        <w:rPr>
          <w:rFonts w:hAnsi="宋体"/>
          <w:b w:val="0"/>
          <w:snapToGrid w:val="0"/>
          <w:color w:val="auto"/>
          <w:kern w:val="0"/>
          <w:sz w:val="28"/>
          <w:szCs w:val="28"/>
        </w:rPr>
        <w:t>主要生态特征</w:t>
      </w:r>
    </w:p>
    <w:p>
      <w:pPr>
        <w:snapToGrid w:val="0"/>
        <w:spacing w:line="480" w:lineRule="exact"/>
        <w:ind w:firstLine="560" w:firstLineChars="200"/>
        <w:rPr>
          <w:color w:val="auto"/>
          <w:spacing w:val="-4"/>
          <w:sz w:val="28"/>
          <w:szCs w:val="28"/>
        </w:rPr>
      </w:pPr>
      <w:r>
        <w:rPr>
          <w:rFonts w:hAnsi="宋体"/>
          <w:color w:val="auto"/>
          <w:sz w:val="28"/>
          <w:szCs w:val="28"/>
        </w:rPr>
        <w:t>安达市属于寒温带大陆性季风气候区。气候特点是冬季寒冷、干燥而漫长，夏季温热湿润而短暂，雨热同季，春季风大，升温较快，秋季晴朗，降温快。一年中寒暑温差大，年平均气温</w:t>
      </w:r>
      <w:r>
        <w:rPr>
          <w:color w:val="auto"/>
          <w:sz w:val="28"/>
          <w:szCs w:val="28"/>
        </w:rPr>
        <w:t>3.</w:t>
      </w:r>
      <w:r>
        <w:rPr>
          <w:rFonts w:hint="eastAsia"/>
          <w:color w:val="auto"/>
          <w:sz w:val="28"/>
          <w:szCs w:val="28"/>
        </w:rPr>
        <w:t>4</w:t>
      </w:r>
      <w:r>
        <w:rPr>
          <w:rFonts w:hAnsi="宋体"/>
          <w:color w:val="auto"/>
          <w:sz w:val="28"/>
          <w:szCs w:val="28"/>
        </w:rPr>
        <w:t>℃，极端最低气温</w:t>
      </w:r>
      <w:r>
        <w:rPr>
          <w:color w:val="auto"/>
          <w:sz w:val="28"/>
          <w:szCs w:val="28"/>
        </w:rPr>
        <w:t>-3</w:t>
      </w:r>
      <w:r>
        <w:rPr>
          <w:rFonts w:hint="eastAsia"/>
          <w:color w:val="auto"/>
          <w:sz w:val="28"/>
          <w:szCs w:val="28"/>
        </w:rPr>
        <w:t>6</w:t>
      </w:r>
      <w:r>
        <w:rPr>
          <w:rFonts w:hAnsi="宋体"/>
          <w:color w:val="auto"/>
          <w:sz w:val="28"/>
          <w:szCs w:val="28"/>
        </w:rPr>
        <w:t>℃，极端最高气温</w:t>
      </w:r>
      <w:r>
        <w:rPr>
          <w:color w:val="auto"/>
          <w:sz w:val="28"/>
          <w:szCs w:val="28"/>
        </w:rPr>
        <w:t>3</w:t>
      </w:r>
      <w:r>
        <w:rPr>
          <w:rFonts w:hint="eastAsia"/>
          <w:color w:val="auto"/>
          <w:sz w:val="28"/>
          <w:szCs w:val="28"/>
        </w:rPr>
        <w:t>6.2</w:t>
      </w:r>
      <w:r>
        <w:rPr>
          <w:rFonts w:hAnsi="宋体"/>
          <w:color w:val="auto"/>
          <w:sz w:val="28"/>
          <w:szCs w:val="28"/>
        </w:rPr>
        <w:t>℃。年平均蒸发量为</w:t>
      </w:r>
      <w:r>
        <w:rPr>
          <w:rFonts w:hint="eastAsia"/>
          <w:color w:val="auto"/>
          <w:sz w:val="28"/>
          <w:szCs w:val="28"/>
        </w:rPr>
        <w:t>1531.4</w:t>
      </w:r>
      <w:r>
        <w:rPr>
          <w:color w:val="auto"/>
          <w:sz w:val="28"/>
          <w:szCs w:val="28"/>
        </w:rPr>
        <w:t>mm</w:t>
      </w:r>
      <w:r>
        <w:rPr>
          <w:rFonts w:hAnsi="宋体"/>
          <w:color w:val="auto"/>
          <w:sz w:val="28"/>
          <w:szCs w:val="28"/>
        </w:rPr>
        <w:t>，年平均相对湿度为</w:t>
      </w:r>
      <w:r>
        <w:rPr>
          <w:rFonts w:hint="eastAsia"/>
          <w:color w:val="auto"/>
          <w:sz w:val="28"/>
          <w:szCs w:val="28"/>
        </w:rPr>
        <w:t>66</w:t>
      </w:r>
      <w:r>
        <w:rPr>
          <w:color w:val="auto"/>
          <w:sz w:val="28"/>
          <w:szCs w:val="28"/>
        </w:rPr>
        <w:t>%</w:t>
      </w:r>
      <w:r>
        <w:rPr>
          <w:rFonts w:hAnsi="宋体"/>
          <w:color w:val="auto"/>
          <w:sz w:val="28"/>
          <w:szCs w:val="28"/>
        </w:rPr>
        <w:t>，年平均降水量为</w:t>
      </w:r>
      <w:r>
        <w:rPr>
          <w:rFonts w:hint="eastAsia"/>
          <w:color w:val="auto"/>
          <w:sz w:val="28"/>
          <w:szCs w:val="28"/>
        </w:rPr>
        <w:t>440</w:t>
      </w:r>
      <w:r>
        <w:rPr>
          <w:color w:val="auto"/>
          <w:sz w:val="28"/>
          <w:szCs w:val="28"/>
        </w:rPr>
        <w:t>mm</w:t>
      </w:r>
      <w:r>
        <w:rPr>
          <w:rFonts w:hAnsi="宋体"/>
          <w:color w:val="auto"/>
          <w:sz w:val="28"/>
          <w:szCs w:val="28"/>
        </w:rPr>
        <w:t>。</w:t>
      </w:r>
      <w:r>
        <w:rPr>
          <w:rFonts w:hAnsi="宋体"/>
          <w:color w:val="auto"/>
          <w:spacing w:val="-4"/>
          <w:sz w:val="28"/>
          <w:szCs w:val="28"/>
        </w:rPr>
        <w:t>区内主要的植被以人工栽培植被为主，少量分布有天然的草丛。农田主要作物为玉米。</w:t>
      </w:r>
    </w:p>
    <w:p>
      <w:pPr>
        <w:pStyle w:val="6"/>
        <w:numPr>
          <w:ilvl w:val="3"/>
          <w:numId w:val="2"/>
        </w:numPr>
        <w:bidi w:val="0"/>
        <w:rPr>
          <w:b w:val="0"/>
          <w:snapToGrid w:val="0"/>
          <w:color w:val="auto"/>
          <w:kern w:val="0"/>
          <w:sz w:val="28"/>
          <w:szCs w:val="28"/>
        </w:rPr>
      </w:pPr>
      <w:r>
        <w:rPr>
          <w:rFonts w:hAnsi="宋体"/>
          <w:b w:val="0"/>
          <w:snapToGrid w:val="0"/>
          <w:color w:val="auto"/>
          <w:kern w:val="0"/>
          <w:sz w:val="28"/>
          <w:szCs w:val="28"/>
        </w:rPr>
        <w:t>土地利用现状</w:t>
      </w:r>
    </w:p>
    <w:p>
      <w:pPr>
        <w:pStyle w:val="83"/>
        <w:bidi w:val="0"/>
        <w:rPr>
          <w:color w:val="auto"/>
        </w:rPr>
      </w:pPr>
      <w:r>
        <w:rPr>
          <w:color w:val="auto"/>
        </w:rPr>
        <w:t>评价区土地利用类型包括耕地、草地、林地</w:t>
      </w:r>
      <w:r>
        <w:rPr>
          <w:rFonts w:hint="eastAsia"/>
          <w:color w:val="auto"/>
          <w:lang w:eastAsia="zh-CN"/>
        </w:rPr>
        <w:t>、住宅用地及</w:t>
      </w:r>
      <w:r>
        <w:rPr>
          <w:color w:val="auto"/>
        </w:rPr>
        <w:t>建设用地。耕地主要为旱地，种植玉米等农作物；草地为其他草地，以低洼草地为主；林地为其他林地，包括在村庄附近、道路两侧及耕地周围人工种植的防护林；建设用地主要为村镇住宅用地和农村道路用地</w:t>
      </w:r>
      <w:r>
        <w:rPr>
          <w:rFonts w:hint="eastAsia"/>
          <w:color w:val="auto"/>
        </w:rPr>
        <w:t>；</w:t>
      </w:r>
      <w:r>
        <w:rPr>
          <w:color w:val="auto"/>
        </w:rPr>
        <w:t>水域主要为</w:t>
      </w:r>
      <w:r>
        <w:rPr>
          <w:rFonts w:hint="eastAsia"/>
          <w:color w:val="auto"/>
        </w:rPr>
        <w:t>泡沼</w:t>
      </w:r>
      <w:r>
        <w:rPr>
          <w:color w:val="auto"/>
        </w:rPr>
        <w:t>。土地利用现状见表4.3-1</w:t>
      </w:r>
      <w:r>
        <w:rPr>
          <w:rFonts w:hint="eastAsia"/>
          <w:color w:val="auto"/>
          <w:lang w:val="en-US" w:eastAsia="zh-CN"/>
        </w:rPr>
        <w:t>9</w:t>
      </w:r>
      <w:r>
        <w:rPr>
          <w:color w:val="auto"/>
        </w:rPr>
        <w:t>及图4.3-</w:t>
      </w:r>
      <w:r>
        <w:rPr>
          <w:rFonts w:hint="eastAsia"/>
          <w:color w:val="auto"/>
        </w:rPr>
        <w:t>2</w:t>
      </w:r>
      <w:r>
        <w:rPr>
          <w:color w:val="auto"/>
        </w:rPr>
        <w:t>。</w:t>
      </w:r>
    </w:p>
    <w:p>
      <w:pPr>
        <w:pStyle w:val="7"/>
        <w:numPr>
          <w:ilvl w:val="4"/>
          <w:numId w:val="2"/>
        </w:numPr>
        <w:bidi w:val="0"/>
        <w:rPr>
          <w:color w:val="auto"/>
          <w:spacing w:val="-4"/>
          <w:sz w:val="28"/>
          <w:szCs w:val="28"/>
        </w:rPr>
      </w:pPr>
      <w:r>
        <w:rPr>
          <w:rFonts w:hAnsi="宋体"/>
          <w:color w:val="auto"/>
          <w:spacing w:val="-4"/>
          <w:sz w:val="28"/>
          <w:szCs w:val="28"/>
        </w:rPr>
        <w:t>评价范围内的土地利用现状</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4329"/>
        <w:gridCol w:w="2012"/>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序号</w:t>
            </w:r>
          </w:p>
        </w:tc>
        <w:tc>
          <w:tcPr>
            <w:tcW w:w="43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项目</w:t>
            </w:r>
          </w:p>
        </w:tc>
        <w:tc>
          <w:tcPr>
            <w:tcW w:w="2012"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面积（</w:t>
            </w:r>
            <w:r>
              <w:rPr>
                <w:rFonts w:hint="default"/>
                <w:color w:val="auto"/>
                <w:szCs w:val="21"/>
              </w:rPr>
              <w:t>hm</w:t>
            </w:r>
            <w:r>
              <w:rPr>
                <w:rFonts w:hint="default"/>
                <w:color w:val="auto"/>
                <w:szCs w:val="21"/>
                <w:vertAlign w:val="superscript"/>
              </w:rPr>
              <w:t>2</w:t>
            </w:r>
            <w:r>
              <w:rPr>
                <w:rFonts w:hint="default" w:hAnsi="宋体"/>
                <w:color w:val="auto"/>
                <w:szCs w:val="21"/>
              </w:rPr>
              <w:t>）</w:t>
            </w:r>
          </w:p>
        </w:tc>
        <w:tc>
          <w:tcPr>
            <w:tcW w:w="2061"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所占比例（</w:t>
            </w:r>
            <w:r>
              <w:rPr>
                <w:rFonts w:hint="default"/>
                <w:color w:val="auto"/>
                <w:szCs w:val="21"/>
              </w:rPr>
              <w:t>%</w:t>
            </w:r>
            <w:r>
              <w:rPr>
                <w:rFonts w:hint="default"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1</w:t>
            </w:r>
          </w:p>
        </w:tc>
        <w:tc>
          <w:tcPr>
            <w:tcW w:w="43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ascii="宋体" w:hAnsi="宋体" w:eastAsia="宋体" w:cs="宋体"/>
                <w:i w:val="0"/>
                <w:color w:val="auto"/>
                <w:kern w:val="0"/>
                <w:sz w:val="21"/>
                <w:szCs w:val="21"/>
                <w:u w:val="none"/>
                <w:lang w:val="en-US" w:eastAsia="zh-CN" w:bidi="ar"/>
              </w:rPr>
              <w:t>耕地</w:t>
            </w:r>
          </w:p>
        </w:tc>
        <w:tc>
          <w:tcPr>
            <w:tcW w:w="201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等线" w:cs="Times New Roman"/>
                <w:i w:val="0"/>
                <w:color w:val="auto"/>
                <w:kern w:val="0"/>
                <w:sz w:val="21"/>
                <w:szCs w:val="21"/>
                <w:u w:val="none"/>
                <w:lang w:val="en-US" w:eastAsia="zh-CN" w:bidi="ar"/>
              </w:rPr>
              <w:t>2120</w:t>
            </w:r>
          </w:p>
        </w:tc>
        <w:tc>
          <w:tcPr>
            <w:tcW w:w="206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default" w:ascii="Times New Roman" w:hAnsi="Times New Roman" w:eastAsia="等线" w:cs="Times New Roman"/>
                <w:i w:val="0"/>
                <w:color w:val="auto"/>
                <w:kern w:val="0"/>
                <w:sz w:val="21"/>
                <w:szCs w:val="21"/>
                <w:u w:val="none"/>
                <w:lang w:val="en-US" w:eastAsia="zh-CN" w:bidi="ar"/>
              </w:rPr>
              <w:t>80.21%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2</w:t>
            </w:r>
          </w:p>
        </w:tc>
        <w:tc>
          <w:tcPr>
            <w:tcW w:w="43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ascii="宋体" w:hAnsi="宋体" w:eastAsia="宋体" w:cs="宋体"/>
                <w:i w:val="0"/>
                <w:color w:val="auto"/>
                <w:kern w:val="0"/>
                <w:sz w:val="21"/>
                <w:szCs w:val="21"/>
                <w:u w:val="none"/>
                <w:lang w:val="en-US" w:eastAsia="zh-CN" w:bidi="ar"/>
              </w:rPr>
              <w:t>林地</w:t>
            </w:r>
          </w:p>
        </w:tc>
        <w:tc>
          <w:tcPr>
            <w:tcW w:w="201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等线" w:cs="Times New Roman"/>
                <w:i w:val="0"/>
                <w:color w:val="auto"/>
                <w:kern w:val="0"/>
                <w:sz w:val="21"/>
                <w:szCs w:val="21"/>
                <w:u w:val="none"/>
                <w:lang w:val="en-US" w:eastAsia="zh-CN" w:bidi="ar"/>
              </w:rPr>
              <w:t>53.6</w:t>
            </w:r>
          </w:p>
        </w:tc>
        <w:tc>
          <w:tcPr>
            <w:tcW w:w="206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default" w:ascii="Times New Roman" w:hAnsi="Times New Roman" w:eastAsia="等线" w:cs="Times New Roman"/>
                <w:i w:val="0"/>
                <w:color w:val="auto"/>
                <w:kern w:val="0"/>
                <w:sz w:val="21"/>
                <w:szCs w:val="21"/>
                <w:u w:val="none"/>
                <w:lang w:val="en-US" w:eastAsia="zh-CN" w:bidi="ar"/>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3</w:t>
            </w:r>
          </w:p>
        </w:tc>
        <w:tc>
          <w:tcPr>
            <w:tcW w:w="43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ascii="宋体" w:hAnsi="宋体" w:eastAsia="宋体" w:cs="宋体"/>
                <w:i w:val="0"/>
                <w:color w:val="auto"/>
                <w:kern w:val="0"/>
                <w:sz w:val="21"/>
                <w:szCs w:val="21"/>
                <w:u w:val="none"/>
                <w:lang w:val="en-US" w:eastAsia="zh-CN" w:bidi="ar"/>
              </w:rPr>
              <w:t>草地</w:t>
            </w:r>
          </w:p>
        </w:tc>
        <w:tc>
          <w:tcPr>
            <w:tcW w:w="201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等线" w:cs="Times New Roman"/>
                <w:i w:val="0"/>
                <w:color w:val="auto"/>
                <w:kern w:val="0"/>
                <w:sz w:val="21"/>
                <w:szCs w:val="21"/>
                <w:u w:val="none"/>
                <w:lang w:val="en-US" w:eastAsia="zh-CN" w:bidi="ar"/>
              </w:rPr>
              <w:t>145.6</w:t>
            </w:r>
          </w:p>
        </w:tc>
        <w:tc>
          <w:tcPr>
            <w:tcW w:w="206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default" w:ascii="Times New Roman" w:hAnsi="Times New Roman" w:eastAsia="等线" w:cs="Times New Roman"/>
                <w:i w:val="0"/>
                <w:color w:val="auto"/>
                <w:kern w:val="0"/>
                <w:sz w:val="21"/>
                <w:szCs w:val="21"/>
                <w:u w:val="none"/>
                <w:lang w:val="en-US" w:eastAsia="zh-CN" w:bidi="ar"/>
              </w:rPr>
              <w:t>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4</w:t>
            </w:r>
          </w:p>
        </w:tc>
        <w:tc>
          <w:tcPr>
            <w:tcW w:w="4329"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ascii="宋体" w:hAnsi="宋体" w:eastAsia="宋体" w:cs="宋体"/>
                <w:i w:val="0"/>
                <w:color w:val="auto"/>
                <w:kern w:val="0"/>
                <w:sz w:val="21"/>
                <w:szCs w:val="21"/>
                <w:u w:val="none"/>
                <w:lang w:val="en-US" w:eastAsia="zh-CN" w:bidi="ar"/>
              </w:rPr>
              <w:t>住宅用地</w:t>
            </w:r>
          </w:p>
        </w:tc>
        <w:tc>
          <w:tcPr>
            <w:tcW w:w="2012" w:type="dxa"/>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Cs w:val="21"/>
              </w:rPr>
            </w:pPr>
            <w:r>
              <w:rPr>
                <w:rFonts w:hint="default" w:ascii="Times New Roman" w:hAnsi="Times New Roman" w:eastAsia="等线" w:cs="Times New Roman"/>
                <w:i w:val="0"/>
                <w:color w:val="auto"/>
                <w:kern w:val="0"/>
                <w:sz w:val="22"/>
                <w:szCs w:val="22"/>
                <w:u w:val="none"/>
                <w:lang w:val="en-US" w:eastAsia="zh-CN" w:bidi="ar"/>
              </w:rPr>
              <w:t>183.7</w:t>
            </w:r>
          </w:p>
        </w:tc>
        <w:tc>
          <w:tcPr>
            <w:tcW w:w="206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default" w:ascii="Times New Roman" w:hAnsi="Times New Roman" w:eastAsia="等线" w:cs="Times New Roman"/>
                <w:i w:val="0"/>
                <w:color w:val="auto"/>
                <w:kern w:val="0"/>
                <w:sz w:val="21"/>
                <w:szCs w:val="21"/>
                <w:u w:val="none"/>
                <w:lang w:val="en-US" w:eastAsia="zh-CN" w:bidi="ar"/>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dxa"/>
            <w:noWrap w:val="0"/>
            <w:vAlign w:val="center"/>
          </w:tcPr>
          <w:p>
            <w:pPr>
              <w:keepNext w:val="0"/>
              <w:keepLines w:val="0"/>
              <w:suppressLineNumbers w:val="0"/>
              <w:spacing w:before="0" w:beforeAutospacing="0" w:after="0" w:afterAutospacing="0" w:line="240" w:lineRule="exact"/>
              <w:ind w:left="0" w:right="0"/>
              <w:jc w:val="center"/>
              <w:rPr>
                <w:rFonts w:hint="eastAsia"/>
                <w:color w:val="auto"/>
                <w:szCs w:val="21"/>
              </w:rPr>
            </w:pPr>
            <w:r>
              <w:rPr>
                <w:rFonts w:hint="eastAsia"/>
                <w:color w:val="auto"/>
                <w:szCs w:val="21"/>
              </w:rPr>
              <w:t>5</w:t>
            </w:r>
          </w:p>
        </w:tc>
        <w:tc>
          <w:tcPr>
            <w:tcW w:w="4329"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hAnsi="宋体"/>
                <w:color w:val="auto"/>
              </w:rPr>
            </w:pPr>
            <w:r>
              <w:rPr>
                <w:rFonts w:hint="eastAsia" w:ascii="宋体" w:hAnsi="宋体" w:eastAsia="宋体" w:cs="宋体"/>
                <w:i w:val="0"/>
                <w:color w:val="auto"/>
                <w:kern w:val="0"/>
                <w:sz w:val="21"/>
                <w:szCs w:val="21"/>
                <w:u w:val="none"/>
                <w:lang w:val="en-US" w:eastAsia="zh-CN" w:bidi="ar"/>
              </w:rPr>
              <w:t>建设用地</w:t>
            </w:r>
          </w:p>
        </w:tc>
        <w:tc>
          <w:tcPr>
            <w:tcW w:w="2012" w:type="dxa"/>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Cs w:val="21"/>
              </w:rPr>
            </w:pPr>
            <w:r>
              <w:rPr>
                <w:rFonts w:hint="default" w:ascii="Times New Roman" w:hAnsi="Times New Roman" w:eastAsia="等线" w:cs="Times New Roman"/>
                <w:i w:val="0"/>
                <w:color w:val="auto"/>
                <w:kern w:val="0"/>
                <w:sz w:val="22"/>
                <w:szCs w:val="22"/>
                <w:u w:val="none"/>
                <w:lang w:val="en-US" w:eastAsia="zh-CN" w:bidi="ar"/>
              </w:rPr>
              <w:t>140.3</w:t>
            </w:r>
          </w:p>
        </w:tc>
        <w:tc>
          <w:tcPr>
            <w:tcW w:w="206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default" w:ascii="Times New Roman" w:hAnsi="Times New Roman" w:eastAsia="等线" w:cs="Times New Roman"/>
                <w:i w:val="0"/>
                <w:color w:val="auto"/>
                <w:kern w:val="0"/>
                <w:sz w:val="21"/>
                <w:szCs w:val="21"/>
                <w:u w:val="none"/>
                <w:lang w:val="en-US" w:eastAsia="zh-CN" w:bidi="ar"/>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4" w:type="dxa"/>
            <w:gridSpan w:val="2"/>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eastAsia" w:hAnsi="宋体"/>
                <w:color w:val="auto"/>
                <w:szCs w:val="21"/>
                <w:lang w:val="en-US" w:eastAsia="zh-CN"/>
              </w:rPr>
              <w:t xml:space="preserve">        </w:t>
            </w:r>
            <w:r>
              <w:rPr>
                <w:rFonts w:hint="default" w:hAnsi="宋体"/>
                <w:color w:val="auto"/>
                <w:szCs w:val="21"/>
              </w:rPr>
              <w:t>合计</w:t>
            </w:r>
          </w:p>
        </w:tc>
        <w:tc>
          <w:tcPr>
            <w:tcW w:w="2012"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等线" w:cs="Times New Roman"/>
                <w:i w:val="0"/>
                <w:color w:val="auto"/>
                <w:kern w:val="0"/>
                <w:sz w:val="21"/>
                <w:szCs w:val="21"/>
                <w:u w:val="none"/>
                <w:lang w:val="en-US" w:eastAsia="zh-CN" w:bidi="ar"/>
              </w:rPr>
              <w:t>2643.20</w:t>
            </w:r>
          </w:p>
        </w:tc>
        <w:tc>
          <w:tcPr>
            <w:tcW w:w="2061" w:type="dxa"/>
            <w:noWrap w:val="0"/>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lang w:eastAsia="zh-CN"/>
              </w:rPr>
            </w:pPr>
            <w:r>
              <w:rPr>
                <w:rFonts w:hint="eastAsia"/>
                <w:color w:val="auto"/>
                <w:szCs w:val="21"/>
                <w:lang w:eastAsia="zh-CN"/>
              </w:rPr>
              <w:t>—</w:t>
            </w:r>
          </w:p>
        </w:tc>
      </w:tr>
    </w:tbl>
    <w:p>
      <w:pPr>
        <w:pStyle w:val="6"/>
        <w:numPr>
          <w:ilvl w:val="3"/>
          <w:numId w:val="2"/>
        </w:numPr>
        <w:bidi w:val="0"/>
        <w:rPr>
          <w:b w:val="0"/>
          <w:snapToGrid w:val="0"/>
          <w:color w:val="auto"/>
          <w:kern w:val="0"/>
          <w:sz w:val="28"/>
          <w:szCs w:val="28"/>
        </w:rPr>
      </w:pPr>
      <w:r>
        <w:rPr>
          <w:rFonts w:hAnsi="宋体"/>
          <w:b w:val="0"/>
          <w:snapToGrid w:val="0"/>
          <w:color w:val="auto"/>
          <w:kern w:val="0"/>
          <w:sz w:val="28"/>
          <w:szCs w:val="28"/>
        </w:rPr>
        <w:t>生态景观类型调查</w:t>
      </w:r>
    </w:p>
    <w:p>
      <w:pPr>
        <w:snapToGrid w:val="0"/>
        <w:spacing w:line="480" w:lineRule="exact"/>
        <w:ind w:firstLine="560" w:firstLineChars="200"/>
        <w:rPr>
          <w:color w:val="auto"/>
          <w:sz w:val="28"/>
        </w:rPr>
      </w:pPr>
      <w:r>
        <w:rPr>
          <w:rFonts w:hAnsi="宋体"/>
          <w:color w:val="auto"/>
          <w:sz w:val="28"/>
        </w:rPr>
        <w:t>采用地理信息系统技术并结合地面实际调查，对油田开发区所涉及</w:t>
      </w:r>
      <w:r>
        <w:rPr>
          <w:rFonts w:hAnsi="宋体"/>
          <w:color w:val="auto"/>
          <w:spacing w:val="-4"/>
          <w:sz w:val="28"/>
          <w:szCs w:val="28"/>
        </w:rPr>
        <w:t>区域</w:t>
      </w:r>
      <w:r>
        <w:rPr>
          <w:rFonts w:hAnsi="宋体"/>
          <w:color w:val="auto"/>
          <w:sz w:val="28"/>
        </w:rPr>
        <w:t>内的生态景观构成进行调查。景观调查以工程用地为中心，采用国家生态环境现状调查所用分类系统进行分类。区域内的景观共分为五类，主要由耕地景观、草甸景观、水域景观、林地景观和人工建筑景观构成。</w:t>
      </w:r>
    </w:p>
    <w:p>
      <w:pPr>
        <w:snapToGrid w:val="0"/>
        <w:spacing w:line="480" w:lineRule="exact"/>
        <w:ind w:firstLine="544" w:firstLineChars="200"/>
        <w:rPr>
          <w:color w:val="auto"/>
          <w:spacing w:val="-4"/>
          <w:sz w:val="28"/>
          <w:szCs w:val="28"/>
        </w:rPr>
      </w:pPr>
      <w:r>
        <w:rPr>
          <w:color w:val="auto"/>
          <w:spacing w:val="-4"/>
          <w:sz w:val="28"/>
          <w:szCs w:val="28"/>
        </w:rPr>
        <w:t>（1）生态景观类型调查</w:t>
      </w:r>
    </w:p>
    <w:p>
      <w:pPr>
        <w:snapToGrid w:val="0"/>
        <w:spacing w:line="480" w:lineRule="exact"/>
        <w:ind w:firstLine="560" w:firstLineChars="200"/>
        <w:rPr>
          <w:rFonts w:hint="eastAsia"/>
          <w:color w:val="auto"/>
          <w:sz w:val="28"/>
        </w:rPr>
      </w:pPr>
      <w:r>
        <w:rPr>
          <w:color w:val="auto"/>
          <w:sz w:val="28"/>
        </w:rPr>
        <w:t>采用地理信息系统技术并结合地面实际调查，对油田开发区所涉及</w:t>
      </w:r>
      <w:r>
        <w:rPr>
          <w:color w:val="auto"/>
          <w:spacing w:val="-4"/>
          <w:sz w:val="28"/>
          <w:szCs w:val="28"/>
        </w:rPr>
        <w:t>区域</w:t>
      </w:r>
      <w:r>
        <w:rPr>
          <w:color w:val="auto"/>
          <w:sz w:val="28"/>
        </w:rPr>
        <w:t>内的生态景观构成进行调查。景观调查以工程用地为中心，采用国家生态环境现状调查所用分类系统进行分类。区域内的景观共分为五类，主要由草甸景观、耕地景观、林地景观、水域景观和人工建筑用地景观构成。</w:t>
      </w:r>
    </w:p>
    <w:p>
      <w:pPr>
        <w:snapToGrid w:val="0"/>
        <w:spacing w:line="480" w:lineRule="exact"/>
        <w:ind w:firstLine="544" w:firstLineChars="200"/>
        <w:rPr>
          <w:color w:val="auto"/>
          <w:spacing w:val="-4"/>
          <w:sz w:val="28"/>
          <w:szCs w:val="28"/>
        </w:rPr>
      </w:pPr>
      <w:r>
        <w:rPr>
          <w:color w:val="auto"/>
          <w:spacing w:val="-4"/>
          <w:sz w:val="28"/>
          <w:szCs w:val="28"/>
        </w:rPr>
        <w:t>（2）植被现状</w:t>
      </w:r>
    </w:p>
    <w:p>
      <w:pPr>
        <w:snapToGrid w:val="0"/>
        <w:spacing w:line="480" w:lineRule="exact"/>
        <w:ind w:firstLine="544" w:firstLineChars="200"/>
        <w:rPr>
          <w:color w:val="auto"/>
          <w:spacing w:val="-4"/>
          <w:sz w:val="28"/>
          <w:szCs w:val="28"/>
        </w:rPr>
      </w:pPr>
      <w:bookmarkStart w:id="532" w:name="_Toc4827"/>
      <w:bookmarkStart w:id="533" w:name="_Toc29739"/>
      <w:bookmarkStart w:id="534" w:name="_Toc2204"/>
      <w:r>
        <w:rPr>
          <w:color w:val="auto"/>
          <w:spacing w:val="-4"/>
          <w:sz w:val="28"/>
          <w:szCs w:val="28"/>
        </w:rPr>
        <w:t>评价区域以草地生态系统为主，兼有耕地、林地生态系统</w:t>
      </w:r>
      <w:r>
        <w:rPr>
          <w:rFonts w:hint="eastAsia"/>
          <w:color w:val="auto"/>
          <w:spacing w:val="-4"/>
          <w:sz w:val="28"/>
          <w:szCs w:val="28"/>
        </w:rPr>
        <w:t>，本工程所在区域不涉及受保护野生植物</w:t>
      </w:r>
      <w:r>
        <w:rPr>
          <w:color w:val="auto"/>
          <w:spacing w:val="-4"/>
          <w:sz w:val="28"/>
          <w:szCs w:val="28"/>
        </w:rPr>
        <w:t>。</w:t>
      </w:r>
    </w:p>
    <w:p>
      <w:pPr>
        <w:snapToGrid w:val="0"/>
        <w:spacing w:line="480" w:lineRule="exact"/>
        <w:ind w:firstLine="544" w:firstLineChars="200"/>
        <w:rPr>
          <w:color w:val="auto"/>
          <w:spacing w:val="-4"/>
          <w:sz w:val="28"/>
          <w:szCs w:val="28"/>
        </w:rPr>
      </w:pPr>
      <w:r>
        <w:rPr>
          <w:color w:val="auto"/>
          <w:spacing w:val="-4"/>
          <w:sz w:val="28"/>
          <w:szCs w:val="28"/>
        </w:rPr>
        <w:t>1）草地生态系统</w:t>
      </w:r>
      <w:bookmarkEnd w:id="532"/>
      <w:bookmarkEnd w:id="533"/>
      <w:bookmarkEnd w:id="534"/>
    </w:p>
    <w:p>
      <w:pPr>
        <w:snapToGrid w:val="0"/>
        <w:spacing w:line="480" w:lineRule="exact"/>
        <w:ind w:firstLine="544" w:firstLineChars="200"/>
        <w:rPr>
          <w:color w:val="auto"/>
          <w:spacing w:val="-4"/>
          <w:sz w:val="28"/>
          <w:szCs w:val="28"/>
        </w:rPr>
      </w:pPr>
      <w:r>
        <w:rPr>
          <w:color w:val="auto"/>
          <w:spacing w:val="-4"/>
          <w:sz w:val="28"/>
          <w:szCs w:val="28"/>
        </w:rPr>
        <w:t>本工程所在区域草地以湿生草甸植被和碱草群落为主。湿生的草甸植被，主要以芦苇为主，还有香蒲、水葱、柳蒿、三棱草等，碱草群落主要以羊草、针茅、碱蓬、星星草等为主，另外还有盐爪爪、艾蒿、马蔺等，区域内产草量每亩约为200～300kg。</w:t>
      </w:r>
      <w:r>
        <w:rPr>
          <w:rFonts w:hint="eastAsia"/>
          <w:color w:val="auto"/>
          <w:spacing w:val="-4"/>
          <w:sz w:val="28"/>
          <w:szCs w:val="28"/>
        </w:rPr>
        <w:t>根据现场调查本工程所在区域草地均为基本草原。</w:t>
      </w:r>
    </w:p>
    <w:p>
      <w:pPr>
        <w:snapToGrid w:val="0"/>
        <w:spacing w:line="480" w:lineRule="exact"/>
        <w:ind w:firstLine="544" w:firstLineChars="200"/>
        <w:rPr>
          <w:color w:val="auto"/>
          <w:spacing w:val="-4"/>
          <w:sz w:val="28"/>
          <w:szCs w:val="28"/>
        </w:rPr>
      </w:pPr>
      <w:r>
        <w:rPr>
          <w:color w:val="auto"/>
          <w:spacing w:val="-4"/>
          <w:sz w:val="28"/>
          <w:szCs w:val="28"/>
        </w:rPr>
        <w:t>2）耕地生态系统</w:t>
      </w:r>
    </w:p>
    <w:p>
      <w:pPr>
        <w:snapToGrid w:val="0"/>
        <w:spacing w:line="460" w:lineRule="exact"/>
        <w:ind w:firstLine="544" w:firstLineChars="200"/>
        <w:rPr>
          <w:color w:val="auto"/>
          <w:spacing w:val="-4"/>
          <w:sz w:val="28"/>
          <w:szCs w:val="28"/>
        </w:rPr>
      </w:pPr>
      <w:r>
        <w:rPr>
          <w:color w:val="auto"/>
          <w:spacing w:val="-4"/>
          <w:sz w:val="28"/>
          <w:szCs w:val="28"/>
        </w:rPr>
        <w:t>农田生态系统是人工生态系统，植被是人工栽培的各种农作物，本区域主要种植农作物、经济作物和蔬菜等。本地区农田</w:t>
      </w:r>
      <w:r>
        <w:rPr>
          <w:rFonts w:hint="eastAsia"/>
          <w:color w:val="auto"/>
          <w:spacing w:val="-4"/>
          <w:sz w:val="28"/>
          <w:szCs w:val="28"/>
        </w:rPr>
        <w:t>以旱田为主</w:t>
      </w:r>
      <w:r>
        <w:rPr>
          <w:color w:val="auto"/>
          <w:spacing w:val="-4"/>
          <w:sz w:val="28"/>
          <w:szCs w:val="28"/>
        </w:rPr>
        <w:t>，旱田农作物主要以玉米为主，玉米产量约500~600kg/亩。蔬菜类主要有茄子、豆角和白菜等；水田农作物主要为水稻，产量约500~600kg/亩。</w:t>
      </w:r>
      <w:r>
        <w:rPr>
          <w:rFonts w:hint="eastAsia"/>
          <w:color w:val="auto"/>
          <w:spacing w:val="-4"/>
          <w:sz w:val="28"/>
          <w:szCs w:val="28"/>
        </w:rPr>
        <w:t>经现场调查本工程所在区域耕地均为基本农田。</w:t>
      </w:r>
    </w:p>
    <w:p>
      <w:pPr>
        <w:snapToGrid w:val="0"/>
        <w:spacing w:line="460" w:lineRule="exact"/>
        <w:ind w:firstLine="544" w:firstLineChars="200"/>
        <w:rPr>
          <w:color w:val="auto"/>
          <w:spacing w:val="-4"/>
          <w:sz w:val="28"/>
          <w:szCs w:val="28"/>
        </w:rPr>
      </w:pPr>
      <w:r>
        <w:rPr>
          <w:rFonts w:hint="eastAsia"/>
          <w:color w:val="auto"/>
          <w:spacing w:val="-4"/>
          <w:sz w:val="28"/>
          <w:szCs w:val="28"/>
        </w:rPr>
        <w:t>3</w:t>
      </w:r>
      <w:r>
        <w:rPr>
          <w:color w:val="auto"/>
          <w:spacing w:val="-4"/>
          <w:sz w:val="28"/>
          <w:szCs w:val="28"/>
        </w:rPr>
        <w:t>）林地生态系统</w:t>
      </w:r>
    </w:p>
    <w:p>
      <w:pPr>
        <w:pStyle w:val="83"/>
        <w:bidi w:val="0"/>
        <w:rPr>
          <w:color w:val="auto"/>
          <w:spacing w:val="-4"/>
          <w:szCs w:val="28"/>
        </w:rPr>
      </w:pPr>
      <w:r>
        <w:rPr>
          <w:color w:val="auto"/>
        </w:rPr>
        <w:t>在评价区内</w:t>
      </w:r>
      <w:r>
        <w:rPr>
          <w:rFonts w:hint="eastAsia"/>
          <w:color w:val="auto"/>
        </w:rPr>
        <w:t>有少量林地，</w:t>
      </w:r>
      <w:r>
        <w:rPr>
          <w:color w:val="auto"/>
        </w:rPr>
        <w:t>主要为杨树林。杨树林是评价区防护林的主要林种之一，也是评价区内分布最多，最广泛的林木，主要分布在道路两侧及农田周围。杨树林平均树高1</w:t>
      </w:r>
      <w:r>
        <w:rPr>
          <w:rFonts w:hint="eastAsia"/>
          <w:color w:val="auto"/>
        </w:rPr>
        <w:t>0～15m</w:t>
      </w:r>
      <w:r>
        <w:rPr>
          <w:color w:val="auto"/>
        </w:rPr>
        <w:t>，平均胸径15～25cm，平均冠幅2.5m×2.5m。</w:t>
      </w:r>
    </w:p>
    <w:p>
      <w:pPr>
        <w:pStyle w:val="2"/>
        <w:spacing w:line="500" w:lineRule="exact"/>
        <w:ind w:firstLine="544" w:firstLineChars="200"/>
        <w:rPr>
          <w:color w:val="auto"/>
          <w:spacing w:val="-4"/>
          <w:sz w:val="28"/>
          <w:szCs w:val="28"/>
        </w:rPr>
      </w:pPr>
      <w:r>
        <w:rPr>
          <w:color w:val="auto"/>
          <w:spacing w:val="-4"/>
          <w:sz w:val="28"/>
          <w:szCs w:val="28"/>
        </w:rPr>
        <w:t>经过实地考察与参考相关资料，评价区地表植被分类系统情况见表4.3-</w:t>
      </w:r>
      <w:r>
        <w:rPr>
          <w:rFonts w:hint="eastAsia"/>
          <w:color w:val="auto"/>
          <w:spacing w:val="-4"/>
          <w:sz w:val="28"/>
          <w:szCs w:val="28"/>
          <w:lang w:val="en-US" w:eastAsia="zh-CN"/>
        </w:rPr>
        <w:t>20</w:t>
      </w:r>
      <w:r>
        <w:rPr>
          <w:color w:val="auto"/>
          <w:spacing w:val="-4"/>
          <w:sz w:val="28"/>
          <w:szCs w:val="28"/>
        </w:rPr>
        <w:t>。</w:t>
      </w:r>
    </w:p>
    <w:p>
      <w:pPr>
        <w:pStyle w:val="7"/>
        <w:numPr>
          <w:ilvl w:val="4"/>
          <w:numId w:val="2"/>
        </w:numPr>
        <w:bidi w:val="0"/>
        <w:rPr>
          <w:color w:val="auto"/>
        </w:rPr>
      </w:pPr>
      <w:r>
        <w:rPr>
          <w:color w:val="auto"/>
        </w:rPr>
        <w:t>评价区主要地表植被类型</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419"/>
        <w:gridCol w:w="1984"/>
        <w:gridCol w:w="3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2"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植被型组</w:t>
            </w:r>
          </w:p>
        </w:tc>
        <w:tc>
          <w:tcPr>
            <w:tcW w:w="1419"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植被型</w:t>
            </w:r>
          </w:p>
        </w:tc>
        <w:tc>
          <w:tcPr>
            <w:tcW w:w="1984"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群丛</w:t>
            </w:r>
          </w:p>
        </w:tc>
        <w:tc>
          <w:tcPr>
            <w:tcW w:w="3932"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群丛拉丁文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2" w:type="dxa"/>
            <w:vMerge w:val="restart"/>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自然植被</w:t>
            </w:r>
          </w:p>
        </w:tc>
        <w:tc>
          <w:tcPr>
            <w:tcW w:w="1419" w:type="dxa"/>
            <w:vMerge w:val="restart"/>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草甸</w:t>
            </w:r>
          </w:p>
        </w:tc>
        <w:tc>
          <w:tcPr>
            <w:tcW w:w="1984"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羊草群丛</w:t>
            </w:r>
          </w:p>
        </w:tc>
        <w:tc>
          <w:tcPr>
            <w:tcW w:w="3932" w:type="dxa"/>
            <w:noWrap w:val="0"/>
            <w:vAlign w:val="center"/>
          </w:tcPr>
          <w:p>
            <w:pPr>
              <w:pStyle w:val="102"/>
              <w:keepNext w:val="0"/>
              <w:keepLines w:val="0"/>
              <w:suppressLineNumbers w:val="0"/>
              <w:spacing w:before="0" w:beforeAutospacing="0" w:after="0" w:afterAutospacing="0"/>
              <w:ind w:left="0" w:right="0"/>
              <w:rPr>
                <w:rFonts w:hint="default"/>
                <w:i/>
                <w:color w:val="auto"/>
                <w:lang w:val="en-US" w:eastAsia="zh-CN"/>
              </w:rPr>
            </w:pPr>
            <w:r>
              <w:rPr>
                <w:rFonts w:hint="default"/>
                <w:i/>
                <w:color w:val="auto"/>
                <w:lang w:val="en-US" w:eastAsia="zh-CN"/>
              </w:rPr>
              <w:t>ASS.Leymus chinensis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2" w:type="dxa"/>
            <w:vMerge w:val="continue"/>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p>
        </w:tc>
        <w:tc>
          <w:tcPr>
            <w:tcW w:w="1419" w:type="dxa"/>
            <w:vMerge w:val="continue"/>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p>
        </w:tc>
        <w:tc>
          <w:tcPr>
            <w:tcW w:w="1984"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针茅群丛</w:t>
            </w:r>
          </w:p>
        </w:tc>
        <w:tc>
          <w:tcPr>
            <w:tcW w:w="3932" w:type="dxa"/>
            <w:noWrap w:val="0"/>
            <w:vAlign w:val="center"/>
          </w:tcPr>
          <w:p>
            <w:pPr>
              <w:pStyle w:val="102"/>
              <w:keepNext w:val="0"/>
              <w:keepLines w:val="0"/>
              <w:suppressLineNumbers w:val="0"/>
              <w:spacing w:before="0" w:beforeAutospacing="0" w:after="0" w:afterAutospacing="0"/>
              <w:ind w:left="0" w:right="0"/>
              <w:rPr>
                <w:rFonts w:hint="default"/>
                <w:i/>
                <w:color w:val="auto"/>
                <w:lang w:val="en-US" w:eastAsia="zh-CN"/>
              </w:rPr>
            </w:pPr>
            <w:r>
              <w:rPr>
                <w:rFonts w:hint="default"/>
                <w:i/>
                <w:color w:val="auto"/>
                <w:lang w:val="en-US" w:eastAsia="zh-CN"/>
              </w:rPr>
              <w:t>ASS.S.grandis P.smirn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2" w:type="dxa"/>
            <w:vMerge w:val="continue"/>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p>
        </w:tc>
        <w:tc>
          <w:tcPr>
            <w:tcW w:w="1419" w:type="dxa"/>
            <w:vMerge w:val="continue"/>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p>
        </w:tc>
        <w:tc>
          <w:tcPr>
            <w:tcW w:w="1984" w:type="dxa"/>
            <w:noWrap w:val="0"/>
            <w:vAlign w:val="center"/>
          </w:tcPr>
          <w:p>
            <w:pPr>
              <w:pStyle w:val="102"/>
              <w:keepNext w:val="0"/>
              <w:keepLines w:val="0"/>
              <w:suppressLineNumbers w:val="0"/>
              <w:spacing w:before="0" w:beforeAutospacing="0" w:after="0" w:afterAutospacing="0"/>
              <w:ind w:left="0" w:right="0"/>
              <w:rPr>
                <w:rFonts w:hint="default" w:ascii="宋体" w:hAnsi="宋体" w:eastAsia="宋体" w:cs="宋体"/>
                <w:color w:val="auto"/>
                <w:lang w:val="en-US" w:eastAsia="zh-CN"/>
              </w:rPr>
            </w:pPr>
            <w:r>
              <w:rPr>
                <w:rFonts w:hint="default" w:ascii="宋体" w:hAnsi="宋体" w:eastAsia="宋体" w:cs="宋体"/>
                <w:color w:val="auto"/>
                <w:lang w:val="en-US" w:eastAsia="zh-CN"/>
              </w:rPr>
              <w:t>芦苇群丛</w:t>
            </w:r>
          </w:p>
        </w:tc>
        <w:tc>
          <w:tcPr>
            <w:tcW w:w="3932" w:type="dxa"/>
            <w:noWrap w:val="0"/>
            <w:vAlign w:val="center"/>
          </w:tcPr>
          <w:p>
            <w:pPr>
              <w:pStyle w:val="102"/>
              <w:keepNext w:val="0"/>
              <w:keepLines w:val="0"/>
              <w:suppressLineNumbers w:val="0"/>
              <w:spacing w:before="0" w:beforeAutospacing="0" w:after="0" w:afterAutospacing="0"/>
              <w:ind w:left="0" w:right="0"/>
              <w:rPr>
                <w:rFonts w:hint="default"/>
                <w:i/>
                <w:color w:val="auto"/>
                <w:lang w:val="en-US" w:eastAsia="zh-CN"/>
              </w:rPr>
            </w:pPr>
            <w:r>
              <w:rPr>
                <w:rFonts w:hint="default"/>
                <w:i/>
                <w:color w:val="auto"/>
                <w:lang w:val="en-US" w:eastAsia="zh-CN"/>
              </w:rPr>
              <w:t>ASS.  P.austrlias (Cav)Trin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2" w:type="dxa"/>
            <w:vMerge w:val="continue"/>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p>
        </w:tc>
        <w:tc>
          <w:tcPr>
            <w:tcW w:w="1419" w:type="dxa"/>
            <w:vMerge w:val="continue"/>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p>
        </w:tc>
        <w:tc>
          <w:tcPr>
            <w:tcW w:w="1984"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碱蓬</w:t>
            </w:r>
            <w:r>
              <w:rPr>
                <w:rFonts w:hint="default"/>
                <w:color w:val="auto"/>
                <w:lang w:val="en-US" w:eastAsia="zh-CN"/>
              </w:rPr>
              <w:t>-</w:t>
            </w:r>
            <w:r>
              <w:rPr>
                <w:rFonts w:hint="eastAsia" w:ascii="宋体" w:hAnsi="宋体" w:eastAsia="宋体" w:cs="宋体"/>
                <w:color w:val="auto"/>
                <w:lang w:val="en-US" w:eastAsia="zh-CN"/>
              </w:rPr>
              <w:t>星星草群丛</w:t>
            </w:r>
          </w:p>
        </w:tc>
        <w:tc>
          <w:tcPr>
            <w:tcW w:w="3932" w:type="dxa"/>
            <w:noWrap w:val="0"/>
            <w:vAlign w:val="center"/>
          </w:tcPr>
          <w:p>
            <w:pPr>
              <w:pStyle w:val="102"/>
              <w:keepNext w:val="0"/>
              <w:keepLines w:val="0"/>
              <w:suppressLineNumbers w:val="0"/>
              <w:spacing w:before="0" w:beforeAutospacing="0" w:after="0" w:afterAutospacing="0"/>
              <w:ind w:left="0" w:right="0"/>
              <w:rPr>
                <w:rFonts w:hint="default"/>
                <w:i/>
                <w:color w:val="auto"/>
                <w:lang w:val="en-US" w:eastAsia="zh-CN"/>
              </w:rPr>
            </w:pPr>
            <w:r>
              <w:rPr>
                <w:rFonts w:hint="default"/>
                <w:i/>
                <w:color w:val="auto"/>
                <w:lang w:val="en-US" w:eastAsia="zh-CN"/>
              </w:rPr>
              <w:t>ASS.Suaeda glauca-Puccinellia enuiflora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2"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人工植被</w:t>
            </w:r>
          </w:p>
        </w:tc>
        <w:tc>
          <w:tcPr>
            <w:tcW w:w="1419"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防护林</w:t>
            </w:r>
          </w:p>
        </w:tc>
        <w:tc>
          <w:tcPr>
            <w:tcW w:w="1984"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杨树林</w:t>
            </w:r>
          </w:p>
        </w:tc>
        <w:tc>
          <w:tcPr>
            <w:tcW w:w="3932" w:type="dxa"/>
            <w:noWrap w:val="0"/>
            <w:vAlign w:val="center"/>
          </w:tcPr>
          <w:p>
            <w:pPr>
              <w:pStyle w:val="102"/>
              <w:keepNext w:val="0"/>
              <w:keepLines w:val="0"/>
              <w:suppressLineNumbers w:val="0"/>
              <w:spacing w:before="0" w:beforeAutospacing="0" w:after="0" w:afterAutospacing="0"/>
              <w:ind w:left="0" w:right="0"/>
              <w:rPr>
                <w:rFonts w:hint="default"/>
                <w:i/>
                <w:color w:val="auto"/>
                <w:lang w:val="en-US" w:eastAsia="zh-CN"/>
              </w:rPr>
            </w:pPr>
            <w:r>
              <w:rPr>
                <w:rFonts w:hint="default"/>
                <w:i/>
                <w:color w:val="auto"/>
                <w:lang w:val="en-US" w:eastAsia="zh-CN"/>
              </w:rPr>
              <w:t>ASS.Populus canadensis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2"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农业植被</w:t>
            </w:r>
          </w:p>
        </w:tc>
        <w:tc>
          <w:tcPr>
            <w:tcW w:w="1419" w:type="dxa"/>
            <w:noWrap w:val="0"/>
            <w:vAlign w:val="center"/>
          </w:tcPr>
          <w:p>
            <w:pPr>
              <w:pStyle w:val="102"/>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lang w:val="en-US" w:eastAsia="zh-CN"/>
              </w:rPr>
              <w:t>农作物</w:t>
            </w:r>
          </w:p>
        </w:tc>
        <w:tc>
          <w:tcPr>
            <w:tcW w:w="5916" w:type="dxa"/>
            <w:gridSpan w:val="2"/>
            <w:noWrap w:val="0"/>
            <w:vAlign w:val="center"/>
          </w:tcPr>
          <w:p>
            <w:pPr>
              <w:pStyle w:val="102"/>
              <w:keepNext w:val="0"/>
              <w:keepLines w:val="0"/>
              <w:suppressLineNumbers w:val="0"/>
              <w:spacing w:before="0" w:beforeAutospacing="0" w:after="0" w:afterAutospacing="0"/>
              <w:ind w:left="0" w:right="0"/>
              <w:rPr>
                <w:rFonts w:hint="eastAsia" w:eastAsia="等线"/>
                <w:color w:val="auto"/>
                <w:lang w:val="en-US" w:eastAsia="zh-CN"/>
              </w:rPr>
            </w:pPr>
            <w:r>
              <w:rPr>
                <w:rFonts w:hint="eastAsia" w:ascii="宋体" w:hAnsi="宋体" w:eastAsia="宋体" w:cs="宋体"/>
                <w:color w:val="auto"/>
                <w:lang w:val="en-US" w:eastAsia="zh-CN"/>
              </w:rPr>
              <w:t>粮食作物：玉米</w:t>
            </w:r>
          </w:p>
        </w:tc>
      </w:tr>
    </w:tbl>
    <w:p>
      <w:pPr>
        <w:pStyle w:val="6"/>
        <w:numPr>
          <w:ilvl w:val="3"/>
          <w:numId w:val="2"/>
        </w:numPr>
        <w:bidi w:val="0"/>
        <w:rPr>
          <w:b w:val="0"/>
          <w:snapToGrid w:val="0"/>
          <w:color w:val="auto"/>
          <w:kern w:val="0"/>
          <w:sz w:val="28"/>
          <w:szCs w:val="28"/>
        </w:rPr>
      </w:pPr>
      <w:r>
        <w:rPr>
          <w:rFonts w:hAnsi="宋体"/>
          <w:b w:val="0"/>
          <w:snapToGrid w:val="0"/>
          <w:color w:val="auto"/>
          <w:kern w:val="0"/>
          <w:sz w:val="28"/>
          <w:szCs w:val="28"/>
        </w:rPr>
        <w:t>植被现状</w:t>
      </w:r>
    </w:p>
    <w:p>
      <w:pPr>
        <w:pStyle w:val="19"/>
        <w:spacing w:line="480" w:lineRule="exact"/>
        <w:ind w:firstLine="560" w:firstLineChars="200"/>
        <w:rPr>
          <w:rFonts w:ascii="Times New Roman" w:hAnsi="Times New Roman"/>
          <w:color w:val="auto"/>
          <w:sz w:val="28"/>
        </w:rPr>
      </w:pPr>
      <w:r>
        <w:rPr>
          <w:rFonts w:ascii="Times New Roman" w:hAnsi="宋体"/>
          <w:color w:val="auto"/>
          <w:sz w:val="28"/>
        </w:rPr>
        <w:t>经过实地考察与参考相关资料，评价区的植被分类系统、主要植被情况见表</w:t>
      </w:r>
      <w:r>
        <w:rPr>
          <w:rFonts w:ascii="Times New Roman" w:hAnsi="Times New Roman"/>
          <w:color w:val="auto"/>
          <w:sz w:val="28"/>
        </w:rPr>
        <w:t>4.3-</w:t>
      </w:r>
      <w:r>
        <w:rPr>
          <w:rFonts w:hint="eastAsia" w:ascii="Times New Roman" w:hAnsi="Times New Roman"/>
          <w:color w:val="auto"/>
          <w:sz w:val="28"/>
          <w:lang w:val="en-US" w:eastAsia="zh-CN"/>
        </w:rPr>
        <w:t>21</w:t>
      </w:r>
      <w:r>
        <w:rPr>
          <w:rFonts w:ascii="Times New Roman" w:hAnsi="宋体"/>
          <w:color w:val="auto"/>
          <w:sz w:val="28"/>
        </w:rPr>
        <w:t>。</w:t>
      </w:r>
    </w:p>
    <w:p>
      <w:pPr>
        <w:pStyle w:val="7"/>
        <w:numPr>
          <w:ilvl w:val="4"/>
          <w:numId w:val="2"/>
        </w:numPr>
        <w:bidi w:val="0"/>
        <w:rPr>
          <w:rFonts w:ascii="Times New Roman" w:hAnsi="Times New Roman"/>
          <w:color w:val="auto"/>
          <w:sz w:val="28"/>
        </w:rPr>
      </w:pPr>
      <w:r>
        <w:rPr>
          <w:rFonts w:ascii="Times New Roman" w:hAnsi="宋体"/>
          <w:color w:val="auto"/>
          <w:sz w:val="28"/>
        </w:rPr>
        <w:t>评价区主要植被类型</w:t>
      </w:r>
    </w:p>
    <w:tbl>
      <w:tblPr>
        <w:tblStyle w:val="3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16"/>
        <w:gridCol w:w="1445"/>
        <w:gridCol w:w="2069"/>
        <w:gridCol w:w="43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1416"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植被型组</w:t>
            </w:r>
          </w:p>
        </w:tc>
        <w:tc>
          <w:tcPr>
            <w:tcW w:w="1445"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植被型</w:t>
            </w:r>
          </w:p>
        </w:tc>
        <w:tc>
          <w:tcPr>
            <w:tcW w:w="2069"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群丛</w:t>
            </w:r>
          </w:p>
        </w:tc>
        <w:tc>
          <w:tcPr>
            <w:tcW w:w="4357"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bookmarkStart w:id="535" w:name="_Toc308801028"/>
            <w:bookmarkStart w:id="536" w:name="_Toc309557369"/>
            <w:bookmarkStart w:id="537" w:name="_Toc309391233"/>
            <w:bookmarkStart w:id="538" w:name="_Toc1559"/>
            <w:bookmarkStart w:id="539" w:name="_Toc21665"/>
            <w:bookmarkStart w:id="540" w:name="_Toc308794890"/>
            <w:r>
              <w:rPr>
                <w:rFonts w:hint="default" w:hAnsi="宋体"/>
                <w:color w:val="auto"/>
                <w:szCs w:val="21"/>
              </w:rPr>
              <w:t>群丛拉丁名</w:t>
            </w:r>
            <w:bookmarkEnd w:id="535"/>
            <w:bookmarkEnd w:id="536"/>
            <w:bookmarkEnd w:id="537"/>
            <w:bookmarkEnd w:id="538"/>
            <w:bookmarkEnd w:id="539"/>
            <w:bookmarkEnd w:id="540"/>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1416" w:type="dxa"/>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自然植被</w:t>
            </w:r>
          </w:p>
        </w:tc>
        <w:tc>
          <w:tcPr>
            <w:tcW w:w="1445" w:type="dxa"/>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草甸</w:t>
            </w:r>
          </w:p>
        </w:tc>
        <w:tc>
          <w:tcPr>
            <w:tcW w:w="2069"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羊草群丛</w:t>
            </w:r>
          </w:p>
        </w:tc>
        <w:tc>
          <w:tcPr>
            <w:tcW w:w="4357" w:type="dxa"/>
            <w:noWrap w:val="0"/>
            <w:vAlign w:val="center"/>
          </w:tcPr>
          <w:p>
            <w:pPr>
              <w:keepNext w:val="0"/>
              <w:keepLines w:val="0"/>
              <w:suppressLineNumbers w:val="0"/>
              <w:spacing w:before="0" w:beforeAutospacing="0" w:after="0" w:afterAutospacing="0"/>
              <w:ind w:left="0" w:right="0"/>
              <w:rPr>
                <w:rFonts w:hint="default"/>
                <w:i/>
                <w:color w:val="auto"/>
                <w:szCs w:val="21"/>
              </w:rPr>
            </w:pPr>
            <w:r>
              <w:rPr>
                <w:rFonts w:hint="default"/>
                <w:color w:val="auto"/>
                <w:szCs w:val="21"/>
              </w:rPr>
              <w:t>ASS.</w:t>
            </w:r>
            <w:r>
              <w:rPr>
                <w:rFonts w:hint="default"/>
                <w:i/>
                <w:color w:val="auto"/>
                <w:szCs w:val="21"/>
              </w:rPr>
              <w:t xml:space="preserve"> Leymus chinensis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1416" w:type="dxa"/>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445" w:type="dxa"/>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2069"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针茅群丛</w:t>
            </w:r>
          </w:p>
        </w:tc>
        <w:tc>
          <w:tcPr>
            <w:tcW w:w="4357" w:type="dxa"/>
            <w:noWrap w:val="0"/>
            <w:vAlign w:val="center"/>
          </w:tcPr>
          <w:p>
            <w:pPr>
              <w:keepNext w:val="0"/>
              <w:keepLines w:val="0"/>
              <w:suppressLineNumbers w:val="0"/>
              <w:spacing w:before="0" w:beforeAutospacing="0" w:after="0" w:afterAutospacing="0"/>
              <w:ind w:left="0" w:right="0"/>
              <w:rPr>
                <w:rFonts w:hint="default"/>
                <w:i/>
                <w:color w:val="auto"/>
                <w:szCs w:val="21"/>
              </w:rPr>
            </w:pPr>
            <w:r>
              <w:rPr>
                <w:rFonts w:hint="default"/>
                <w:color w:val="auto"/>
                <w:szCs w:val="21"/>
              </w:rPr>
              <w:t>ASS.</w:t>
            </w:r>
            <w:r>
              <w:rPr>
                <w:rFonts w:hint="default"/>
                <w:i/>
                <w:color w:val="auto"/>
                <w:szCs w:val="21"/>
              </w:rPr>
              <w:t>S.grandis P.Smirn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1416" w:type="dxa"/>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1445" w:type="dxa"/>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2069"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芦苇群丛</w:t>
            </w:r>
          </w:p>
        </w:tc>
        <w:tc>
          <w:tcPr>
            <w:tcW w:w="4357" w:type="dxa"/>
            <w:noWrap w:val="0"/>
            <w:vAlign w:val="center"/>
          </w:tcPr>
          <w:p>
            <w:pPr>
              <w:keepNext w:val="0"/>
              <w:keepLines w:val="0"/>
              <w:suppressLineNumbers w:val="0"/>
              <w:spacing w:before="0" w:beforeAutospacing="0" w:after="0" w:afterAutospacing="0"/>
              <w:ind w:left="0" w:right="0"/>
              <w:rPr>
                <w:rFonts w:hint="default"/>
                <w:i/>
                <w:color w:val="auto"/>
                <w:szCs w:val="21"/>
              </w:rPr>
            </w:pPr>
            <w:r>
              <w:rPr>
                <w:rFonts w:hint="default"/>
                <w:color w:val="auto"/>
                <w:szCs w:val="21"/>
                <w:lang w:val="pt-BR"/>
              </w:rPr>
              <w:t>ASS.</w:t>
            </w:r>
            <w:r>
              <w:rPr>
                <w:rFonts w:hint="default"/>
                <w:i/>
                <w:color w:val="auto"/>
                <w:szCs w:val="21"/>
                <w:lang w:val="pt-BR"/>
              </w:rPr>
              <w:t xml:space="preserve">  P.austrlias (Cav)Trin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1416" w:type="dxa"/>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1"/>
                <w:lang w:val="pt-BR"/>
              </w:rPr>
            </w:pPr>
          </w:p>
        </w:tc>
        <w:tc>
          <w:tcPr>
            <w:tcW w:w="1445" w:type="dxa"/>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1"/>
                <w:lang w:val="pt-BR"/>
              </w:rPr>
            </w:pPr>
          </w:p>
        </w:tc>
        <w:tc>
          <w:tcPr>
            <w:tcW w:w="2069"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hAnsi="宋体"/>
                <w:color w:val="auto"/>
                <w:szCs w:val="21"/>
              </w:rPr>
              <w:t>碱蓬</w:t>
            </w:r>
            <w:r>
              <w:rPr>
                <w:rFonts w:hint="default"/>
                <w:color w:val="auto"/>
                <w:szCs w:val="21"/>
              </w:rPr>
              <w:t>-</w:t>
            </w:r>
            <w:r>
              <w:rPr>
                <w:rFonts w:hint="default" w:hAnsi="宋体"/>
                <w:color w:val="auto"/>
                <w:szCs w:val="21"/>
              </w:rPr>
              <w:t>星星草群丛</w:t>
            </w:r>
          </w:p>
        </w:tc>
        <w:tc>
          <w:tcPr>
            <w:tcW w:w="4357" w:type="dxa"/>
            <w:noWrap w:val="0"/>
            <w:vAlign w:val="center"/>
          </w:tcPr>
          <w:p>
            <w:pPr>
              <w:keepNext w:val="0"/>
              <w:keepLines w:val="0"/>
              <w:suppressLineNumbers w:val="0"/>
              <w:spacing w:before="0" w:beforeAutospacing="0" w:after="0" w:afterAutospacing="0"/>
              <w:ind w:left="0" w:right="0"/>
              <w:jc w:val="left"/>
              <w:rPr>
                <w:rFonts w:hint="default"/>
                <w:i/>
                <w:color w:val="auto"/>
                <w:szCs w:val="21"/>
                <w:lang w:val="pt-BR"/>
              </w:rPr>
            </w:pPr>
            <w:bookmarkStart w:id="541" w:name="_Toc308801033"/>
            <w:bookmarkStart w:id="542" w:name="_Toc308794895"/>
            <w:bookmarkStart w:id="543" w:name="_Toc309557374"/>
            <w:bookmarkStart w:id="544" w:name="_Toc309391238"/>
            <w:bookmarkStart w:id="545" w:name="_Toc22020"/>
            <w:bookmarkStart w:id="546" w:name="_Toc30116"/>
            <w:r>
              <w:rPr>
                <w:rFonts w:hint="default"/>
                <w:color w:val="auto"/>
                <w:szCs w:val="21"/>
                <w:lang w:val="pt-BR"/>
              </w:rPr>
              <w:t>ASS.</w:t>
            </w:r>
            <w:bookmarkEnd w:id="541"/>
            <w:bookmarkEnd w:id="542"/>
            <w:bookmarkEnd w:id="543"/>
            <w:bookmarkEnd w:id="544"/>
            <w:r>
              <w:rPr>
                <w:rFonts w:hint="default"/>
                <w:i/>
                <w:color w:val="auto"/>
                <w:szCs w:val="21"/>
                <w:lang w:val="pt-BR"/>
              </w:rPr>
              <w:t>Suaeda glauca-Puccinellia enuiflora</w:t>
            </w:r>
            <w:bookmarkEnd w:id="545"/>
            <w:bookmarkEnd w:id="546"/>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1416" w:type="dxa"/>
            <w:noWrap w:val="0"/>
            <w:vAlign w:val="center"/>
          </w:tcPr>
          <w:p>
            <w:pPr>
              <w:keepNext w:val="0"/>
              <w:keepLines w:val="0"/>
              <w:widowControl/>
              <w:suppressLineNumbers w:val="0"/>
              <w:spacing w:before="0" w:beforeAutospacing="0" w:after="0" w:afterAutospacing="0"/>
              <w:ind w:left="0" w:right="0"/>
              <w:jc w:val="center"/>
              <w:rPr>
                <w:rFonts w:hint="default"/>
                <w:color w:val="auto"/>
                <w:szCs w:val="21"/>
                <w:lang w:val="pt-BR"/>
              </w:rPr>
            </w:pPr>
            <w:r>
              <w:rPr>
                <w:rFonts w:hint="default" w:hAnsi="宋体"/>
                <w:color w:val="auto"/>
                <w:szCs w:val="21"/>
              </w:rPr>
              <w:t>人工植被</w:t>
            </w:r>
          </w:p>
        </w:tc>
        <w:tc>
          <w:tcPr>
            <w:tcW w:w="1445" w:type="dxa"/>
            <w:noWrap w:val="0"/>
            <w:vAlign w:val="center"/>
          </w:tcPr>
          <w:p>
            <w:pPr>
              <w:keepNext w:val="0"/>
              <w:keepLines w:val="0"/>
              <w:widowControl/>
              <w:suppressLineNumbers w:val="0"/>
              <w:spacing w:before="0" w:beforeAutospacing="0" w:after="0" w:afterAutospacing="0"/>
              <w:ind w:left="0" w:right="0"/>
              <w:jc w:val="center"/>
              <w:rPr>
                <w:rFonts w:hint="default"/>
                <w:color w:val="auto"/>
                <w:szCs w:val="21"/>
                <w:lang w:val="pt-BR"/>
              </w:rPr>
            </w:pPr>
            <w:r>
              <w:rPr>
                <w:rFonts w:hint="eastAsia" w:hAnsi="宋体"/>
                <w:color w:val="auto"/>
                <w:szCs w:val="21"/>
                <w:lang w:eastAsia="zh-CN"/>
              </w:rPr>
              <w:t>防护</w:t>
            </w:r>
            <w:r>
              <w:rPr>
                <w:rFonts w:hint="default" w:hAnsi="宋体"/>
                <w:color w:val="auto"/>
                <w:szCs w:val="21"/>
              </w:rPr>
              <w:t>林</w:t>
            </w:r>
          </w:p>
        </w:tc>
        <w:tc>
          <w:tcPr>
            <w:tcW w:w="2069" w:type="dxa"/>
            <w:noWrap w:val="0"/>
            <w:vAlign w:val="center"/>
          </w:tcPr>
          <w:p>
            <w:pPr>
              <w:keepNext w:val="0"/>
              <w:keepLines w:val="0"/>
              <w:suppressLineNumbers w:val="0"/>
              <w:spacing w:before="0" w:beforeAutospacing="0" w:after="0" w:afterAutospacing="0"/>
              <w:ind w:left="0" w:right="0"/>
              <w:jc w:val="center"/>
              <w:rPr>
                <w:rFonts w:hint="default"/>
                <w:color w:val="auto"/>
                <w:szCs w:val="21"/>
                <w:lang w:val="pt-BR"/>
              </w:rPr>
            </w:pPr>
            <w:r>
              <w:rPr>
                <w:rFonts w:hint="default" w:hAnsi="宋体"/>
                <w:color w:val="auto"/>
                <w:szCs w:val="21"/>
              </w:rPr>
              <w:t>杨树</w:t>
            </w:r>
          </w:p>
        </w:tc>
        <w:tc>
          <w:tcPr>
            <w:tcW w:w="4357" w:type="dxa"/>
            <w:noWrap w:val="0"/>
            <w:vAlign w:val="center"/>
          </w:tcPr>
          <w:p>
            <w:pPr>
              <w:keepNext w:val="0"/>
              <w:keepLines w:val="0"/>
              <w:suppressLineNumbers w:val="0"/>
              <w:spacing w:before="0" w:beforeAutospacing="0" w:after="0" w:afterAutospacing="0"/>
              <w:ind w:left="0" w:right="0"/>
              <w:rPr>
                <w:rFonts w:hint="default"/>
                <w:i/>
                <w:color w:val="auto"/>
                <w:szCs w:val="21"/>
                <w:lang w:val="pt-BR"/>
              </w:rPr>
            </w:pPr>
            <w:r>
              <w:rPr>
                <w:rFonts w:hint="default"/>
                <w:color w:val="auto"/>
                <w:szCs w:val="21"/>
                <w:lang w:val="pt-BR"/>
              </w:rPr>
              <w:t>ASS</w:t>
            </w:r>
            <w:r>
              <w:rPr>
                <w:rFonts w:hint="default"/>
                <w:i/>
                <w:color w:val="auto"/>
                <w:szCs w:val="21"/>
                <w:lang w:val="pt-BR"/>
              </w:rPr>
              <w:t>. Populus canadensis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340" w:hRule="exact"/>
          <w:jc w:val="center"/>
        </w:trPr>
        <w:tc>
          <w:tcPr>
            <w:tcW w:w="1416" w:type="dxa"/>
            <w:noWrap w:val="0"/>
            <w:vAlign w:val="center"/>
          </w:tcPr>
          <w:p>
            <w:pPr>
              <w:keepNext w:val="0"/>
              <w:keepLines w:val="0"/>
              <w:suppressLineNumbers w:val="0"/>
              <w:spacing w:before="0" w:beforeAutospacing="0" w:after="0" w:afterAutospacing="0"/>
              <w:ind w:left="0" w:right="0"/>
              <w:jc w:val="center"/>
              <w:rPr>
                <w:rFonts w:hint="default"/>
                <w:color w:val="auto"/>
                <w:szCs w:val="21"/>
                <w:lang w:val="pt-BR"/>
              </w:rPr>
            </w:pPr>
            <w:r>
              <w:rPr>
                <w:rFonts w:hint="default" w:hAnsi="宋体"/>
                <w:color w:val="auto"/>
                <w:szCs w:val="21"/>
              </w:rPr>
              <w:t>农业植被</w:t>
            </w:r>
          </w:p>
        </w:tc>
        <w:tc>
          <w:tcPr>
            <w:tcW w:w="1445" w:type="dxa"/>
            <w:noWrap w:val="0"/>
            <w:vAlign w:val="center"/>
          </w:tcPr>
          <w:p>
            <w:pPr>
              <w:keepNext w:val="0"/>
              <w:keepLines w:val="0"/>
              <w:suppressLineNumbers w:val="0"/>
              <w:spacing w:before="0" w:beforeAutospacing="0" w:after="0" w:afterAutospacing="0"/>
              <w:ind w:left="0" w:right="0"/>
              <w:jc w:val="center"/>
              <w:rPr>
                <w:rFonts w:hint="default"/>
                <w:color w:val="auto"/>
                <w:szCs w:val="21"/>
                <w:lang w:val="pt-BR"/>
              </w:rPr>
            </w:pPr>
            <w:r>
              <w:rPr>
                <w:rFonts w:hint="default" w:hAnsi="宋体"/>
                <w:color w:val="auto"/>
                <w:szCs w:val="21"/>
              </w:rPr>
              <w:t>农作物</w:t>
            </w:r>
          </w:p>
        </w:tc>
        <w:tc>
          <w:tcPr>
            <w:tcW w:w="6426" w:type="dxa"/>
            <w:gridSpan w:val="2"/>
            <w:noWrap w:val="0"/>
            <w:vAlign w:val="center"/>
          </w:tcPr>
          <w:p>
            <w:pPr>
              <w:keepNext w:val="0"/>
              <w:keepLines w:val="0"/>
              <w:suppressLineNumbers w:val="0"/>
              <w:spacing w:before="0" w:beforeAutospacing="0" w:after="0" w:afterAutospacing="0"/>
              <w:ind w:left="0" w:right="0"/>
              <w:jc w:val="center"/>
              <w:rPr>
                <w:rFonts w:hint="default"/>
                <w:color w:val="auto"/>
                <w:szCs w:val="21"/>
                <w:lang w:val="pt-BR"/>
              </w:rPr>
            </w:pPr>
            <w:bookmarkStart w:id="547" w:name="_Toc308794899"/>
            <w:bookmarkStart w:id="548" w:name="_Toc308801037"/>
            <w:bookmarkStart w:id="549" w:name="_Toc309557378"/>
            <w:bookmarkStart w:id="550" w:name="_Toc309391242"/>
            <w:bookmarkStart w:id="551" w:name="_Toc6083"/>
            <w:bookmarkStart w:id="552" w:name="_Toc26358"/>
            <w:r>
              <w:rPr>
                <w:rFonts w:hint="default" w:hAnsi="宋体"/>
                <w:color w:val="auto"/>
                <w:szCs w:val="21"/>
              </w:rPr>
              <w:t>粮食作物</w:t>
            </w:r>
            <w:r>
              <w:rPr>
                <w:rFonts w:hint="default" w:hAnsi="宋体"/>
                <w:color w:val="auto"/>
                <w:szCs w:val="21"/>
                <w:lang w:val="pt-BR"/>
              </w:rPr>
              <w:t>：</w:t>
            </w:r>
            <w:bookmarkEnd w:id="547"/>
            <w:bookmarkEnd w:id="548"/>
            <w:bookmarkEnd w:id="549"/>
            <w:bookmarkEnd w:id="550"/>
            <w:r>
              <w:rPr>
                <w:rFonts w:hint="default" w:hAnsi="宋体"/>
                <w:color w:val="auto"/>
                <w:szCs w:val="21"/>
              </w:rPr>
              <w:t>玉米</w:t>
            </w:r>
            <w:bookmarkEnd w:id="551"/>
            <w:bookmarkEnd w:id="552"/>
          </w:p>
        </w:tc>
      </w:tr>
    </w:tbl>
    <w:p>
      <w:pPr>
        <w:spacing w:line="480" w:lineRule="exact"/>
        <w:ind w:firstLine="560"/>
        <w:rPr>
          <w:color w:val="auto"/>
          <w:sz w:val="28"/>
          <w:szCs w:val="28"/>
        </w:rPr>
      </w:pPr>
      <w:r>
        <w:rPr>
          <w:rFonts w:hAnsi="宋体"/>
          <w:color w:val="auto"/>
          <w:sz w:val="28"/>
          <w:szCs w:val="28"/>
        </w:rPr>
        <w:t>（</w:t>
      </w:r>
      <w:r>
        <w:rPr>
          <w:color w:val="auto"/>
          <w:sz w:val="28"/>
          <w:szCs w:val="28"/>
        </w:rPr>
        <w:t>1</w:t>
      </w:r>
      <w:r>
        <w:rPr>
          <w:rFonts w:hAnsi="宋体"/>
          <w:color w:val="auto"/>
          <w:sz w:val="28"/>
          <w:szCs w:val="28"/>
        </w:rPr>
        <w:t>）农业植被</w:t>
      </w:r>
    </w:p>
    <w:p>
      <w:pPr>
        <w:snapToGrid w:val="0"/>
        <w:spacing w:line="480" w:lineRule="exact"/>
        <w:ind w:firstLine="560" w:firstLineChars="200"/>
        <w:rPr>
          <w:color w:val="auto"/>
          <w:spacing w:val="-4"/>
          <w:sz w:val="28"/>
          <w:szCs w:val="28"/>
        </w:rPr>
      </w:pPr>
      <w:r>
        <w:rPr>
          <w:rFonts w:hAnsi="宋体"/>
          <w:color w:val="auto"/>
          <w:sz w:val="28"/>
          <w:szCs w:val="28"/>
        </w:rPr>
        <w:t>评价区属于松嫩平原区，农耕历史悠久，栽培植被是最重要的植被类型，为</w:t>
      </w:r>
      <w:r>
        <w:rPr>
          <w:rFonts w:hAnsi="宋体"/>
          <w:color w:val="auto"/>
          <w:spacing w:val="-4"/>
          <w:sz w:val="28"/>
          <w:szCs w:val="28"/>
        </w:rPr>
        <w:t>人工种植的各种农作物。区域中农作物主要以玉米为主。玉米是一年生</w:t>
      </w:r>
      <w:r>
        <w:rPr>
          <w:color w:val="auto"/>
          <w:spacing w:val="-4"/>
          <w:sz w:val="28"/>
          <w:szCs w:val="28"/>
        </w:rPr>
        <w:fldChar w:fldCharType="begin"/>
      </w:r>
      <w:r>
        <w:rPr>
          <w:color w:val="auto"/>
          <w:spacing w:val="-4"/>
          <w:sz w:val="28"/>
          <w:szCs w:val="28"/>
        </w:rPr>
        <w:instrText xml:space="preserve"> HYPERLINK "http://baike.baidu.com/view/39012.htm" </w:instrText>
      </w:r>
      <w:r>
        <w:rPr>
          <w:color w:val="auto"/>
          <w:spacing w:val="-4"/>
          <w:sz w:val="28"/>
          <w:szCs w:val="28"/>
        </w:rPr>
        <w:fldChar w:fldCharType="separate"/>
      </w:r>
      <w:r>
        <w:rPr>
          <w:rFonts w:hAnsi="宋体"/>
          <w:color w:val="auto"/>
          <w:spacing w:val="-4"/>
          <w:sz w:val="28"/>
          <w:szCs w:val="28"/>
        </w:rPr>
        <w:t>禾本科植物</w:t>
      </w:r>
      <w:r>
        <w:rPr>
          <w:color w:val="auto"/>
          <w:spacing w:val="-4"/>
          <w:sz w:val="28"/>
          <w:szCs w:val="28"/>
        </w:rPr>
        <w:fldChar w:fldCharType="end"/>
      </w:r>
      <w:r>
        <w:rPr>
          <w:rFonts w:hAnsi="宋体"/>
          <w:color w:val="auto"/>
          <w:spacing w:val="-4"/>
          <w:sz w:val="28"/>
          <w:szCs w:val="28"/>
        </w:rPr>
        <w:t>，是喜温作物，全生育期要求较高的温度，产量约为</w:t>
      </w:r>
      <w:r>
        <w:rPr>
          <w:color w:val="auto"/>
          <w:spacing w:val="-4"/>
          <w:sz w:val="28"/>
          <w:szCs w:val="28"/>
        </w:rPr>
        <w:t>650kg/</w:t>
      </w:r>
      <w:r>
        <w:rPr>
          <w:rFonts w:hAnsi="宋体"/>
          <w:color w:val="auto"/>
          <w:spacing w:val="-4"/>
          <w:sz w:val="28"/>
          <w:szCs w:val="28"/>
        </w:rPr>
        <w:t>亩。经济作物主要有甜菜、芝麻、向日葵等。蔬菜类主要有茄子、豆角和白菜等。</w:t>
      </w:r>
    </w:p>
    <w:tbl>
      <w:tblPr>
        <w:tblStyle w:val="35"/>
        <w:tblW w:w="50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6"/>
        <w:gridCol w:w="47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27" w:type="dxa"/>
            <w:noWrap w:val="0"/>
            <w:vAlign w:val="top"/>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eastAsia="宋体"/>
                <w:color w:val="auto"/>
                <w:lang w:eastAsia="zh-CN"/>
              </w:rPr>
              <w:drawing>
                <wp:inline distT="0" distB="0" distL="114300" distR="114300">
                  <wp:extent cx="2863215" cy="2147570"/>
                  <wp:effectExtent l="0" t="0" r="13335" b="5080"/>
                  <wp:docPr id="8" name="图片 8" descr="2022-01-05 12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01-05 125846"/>
                          <pic:cNvPicPr>
                            <a:picLocks noChangeAspect="1"/>
                          </pic:cNvPicPr>
                        </pic:nvPicPr>
                        <pic:blipFill>
                          <a:blip r:embed="rId27"/>
                          <a:stretch>
                            <a:fillRect/>
                          </a:stretch>
                        </pic:blipFill>
                        <pic:spPr>
                          <a:xfrm>
                            <a:off x="0" y="0"/>
                            <a:ext cx="2863215" cy="2147570"/>
                          </a:xfrm>
                          <a:prstGeom prst="rect">
                            <a:avLst/>
                          </a:prstGeom>
                        </pic:spPr>
                      </pic:pic>
                    </a:graphicData>
                  </a:graphic>
                </wp:inline>
              </w:drawing>
            </w:r>
          </w:p>
        </w:tc>
        <w:tc>
          <w:tcPr>
            <w:tcW w:w="4736" w:type="dxa"/>
            <w:noWrap w:val="0"/>
            <w:vAlign w:val="top"/>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eastAsia="宋体"/>
                <w:color w:val="auto"/>
                <w:lang w:eastAsia="zh-CN"/>
              </w:rPr>
              <w:drawing>
                <wp:inline distT="0" distB="0" distL="114300" distR="114300">
                  <wp:extent cx="2851150" cy="2138045"/>
                  <wp:effectExtent l="0" t="0" r="6350" b="14605"/>
                  <wp:docPr id="10" name="图片 10" descr="拟建平台1-生态现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拟建平台1-生态现状 (2)"/>
                          <pic:cNvPicPr>
                            <a:picLocks noChangeAspect="1"/>
                          </pic:cNvPicPr>
                        </pic:nvPicPr>
                        <pic:blipFill>
                          <a:blip r:embed="rId28"/>
                          <a:stretch>
                            <a:fillRect/>
                          </a:stretch>
                        </pic:blipFill>
                        <pic:spPr>
                          <a:xfrm>
                            <a:off x="0" y="0"/>
                            <a:ext cx="2851150" cy="2138045"/>
                          </a:xfrm>
                          <a:prstGeom prst="rect">
                            <a:avLst/>
                          </a:prstGeom>
                        </pic:spPr>
                      </pic:pic>
                    </a:graphicData>
                  </a:graphic>
                </wp:inline>
              </w:drawing>
            </w:r>
          </w:p>
        </w:tc>
      </w:tr>
    </w:tbl>
    <w:p>
      <w:pPr>
        <w:pStyle w:val="8"/>
        <w:numPr>
          <w:ilvl w:val="5"/>
          <w:numId w:val="2"/>
        </w:numPr>
        <w:bidi w:val="0"/>
        <w:rPr>
          <w:color w:val="auto"/>
        </w:rPr>
      </w:pPr>
      <w:r>
        <w:rPr>
          <w:rFonts w:hint="eastAsia"/>
          <w:color w:val="auto"/>
        </w:rPr>
        <w:t>植被现状图</w:t>
      </w:r>
      <w:r>
        <w:rPr>
          <w:rFonts w:hint="eastAsia"/>
          <w:color w:val="auto"/>
          <w:lang w:eastAsia="zh-CN"/>
        </w:rPr>
        <w:t>（</w:t>
      </w:r>
      <w:r>
        <w:rPr>
          <w:rFonts w:hint="eastAsia"/>
          <w:color w:val="auto"/>
          <w:lang w:val="en-US" w:eastAsia="zh-CN"/>
        </w:rPr>
        <w:t>1</w:t>
      </w:r>
      <w:r>
        <w:rPr>
          <w:rFonts w:hint="eastAsia"/>
          <w:color w:val="auto"/>
          <w:lang w:eastAsia="zh-CN"/>
        </w:rPr>
        <w:t>）</w:t>
      </w:r>
    </w:p>
    <w:p>
      <w:pPr>
        <w:spacing w:line="480" w:lineRule="exact"/>
        <w:ind w:firstLine="560"/>
        <w:rPr>
          <w:color w:val="auto"/>
          <w:sz w:val="28"/>
          <w:szCs w:val="28"/>
        </w:rPr>
      </w:pPr>
      <w:r>
        <w:rPr>
          <w:rFonts w:hAnsi="宋体"/>
          <w:color w:val="auto"/>
          <w:sz w:val="28"/>
          <w:szCs w:val="28"/>
        </w:rPr>
        <w:t>（</w:t>
      </w:r>
      <w:r>
        <w:rPr>
          <w:color w:val="auto"/>
          <w:sz w:val="28"/>
          <w:szCs w:val="28"/>
        </w:rPr>
        <w:t>2</w:t>
      </w:r>
      <w:r>
        <w:rPr>
          <w:rFonts w:hAnsi="宋体"/>
          <w:color w:val="auto"/>
          <w:sz w:val="28"/>
          <w:szCs w:val="28"/>
        </w:rPr>
        <w:t>）草甸</w:t>
      </w:r>
    </w:p>
    <w:p>
      <w:pPr>
        <w:spacing w:line="480" w:lineRule="exact"/>
        <w:ind w:firstLine="560" w:firstLineChars="200"/>
        <w:rPr>
          <w:color w:val="auto"/>
          <w:sz w:val="28"/>
          <w:szCs w:val="28"/>
        </w:rPr>
      </w:pPr>
      <w:r>
        <w:rPr>
          <w:rFonts w:hAnsi="宋体"/>
          <w:color w:val="auto"/>
          <w:sz w:val="28"/>
          <w:szCs w:val="28"/>
        </w:rPr>
        <w:t>本区域草地主要以羊草和芦苇为优势种，同时和狼尾草、毛水苏、三棱草、星星草等植物混生。在漫岗的缓坡和呈碱性的低地上还生长有碱草植物群落，碱草植物群落以碱草为主，并有野古草、野苜宿、黄芪、柴胡等植物。群系高</w:t>
      </w:r>
      <w:r>
        <w:rPr>
          <w:color w:val="auto"/>
          <w:sz w:val="28"/>
          <w:szCs w:val="28"/>
        </w:rPr>
        <w:t>0.2</w:t>
      </w:r>
      <w:r>
        <w:rPr>
          <w:rFonts w:hAnsi="宋体"/>
          <w:color w:val="auto"/>
          <w:sz w:val="28"/>
          <w:szCs w:val="28"/>
        </w:rPr>
        <w:t>～</w:t>
      </w:r>
      <w:r>
        <w:rPr>
          <w:color w:val="auto"/>
          <w:sz w:val="28"/>
          <w:szCs w:val="28"/>
        </w:rPr>
        <w:t>0.6m</w:t>
      </w:r>
      <w:r>
        <w:rPr>
          <w:rFonts w:hAnsi="宋体"/>
          <w:color w:val="auto"/>
          <w:sz w:val="28"/>
          <w:szCs w:val="28"/>
        </w:rPr>
        <w:t>，盖度</w:t>
      </w:r>
      <w:r>
        <w:rPr>
          <w:color w:val="auto"/>
          <w:sz w:val="28"/>
          <w:szCs w:val="28"/>
        </w:rPr>
        <w:t>50</w:t>
      </w:r>
      <w:r>
        <w:rPr>
          <w:rFonts w:hAnsi="宋体"/>
          <w:color w:val="auto"/>
          <w:sz w:val="28"/>
          <w:szCs w:val="28"/>
        </w:rPr>
        <w:t>～</w:t>
      </w:r>
      <w:r>
        <w:rPr>
          <w:color w:val="auto"/>
          <w:sz w:val="28"/>
          <w:szCs w:val="28"/>
        </w:rPr>
        <w:t>70%</w:t>
      </w:r>
      <w:r>
        <w:rPr>
          <w:rFonts w:hAnsi="宋体"/>
          <w:color w:val="auto"/>
          <w:sz w:val="28"/>
          <w:szCs w:val="28"/>
        </w:rPr>
        <w:t>。目前草</w:t>
      </w:r>
      <w:r>
        <w:rPr>
          <w:rFonts w:hint="eastAsia" w:hAnsi="宋体"/>
          <w:color w:val="auto"/>
          <w:sz w:val="28"/>
          <w:szCs w:val="28"/>
        </w:rPr>
        <w:t>地</w:t>
      </w:r>
      <w:r>
        <w:rPr>
          <w:rFonts w:hAnsi="宋体"/>
          <w:color w:val="auto"/>
          <w:sz w:val="28"/>
          <w:szCs w:val="28"/>
        </w:rPr>
        <w:t>平均亩产干草在</w:t>
      </w:r>
      <w:r>
        <w:rPr>
          <w:color w:val="auto"/>
          <w:sz w:val="28"/>
          <w:szCs w:val="28"/>
        </w:rPr>
        <w:t>150</w:t>
      </w:r>
      <w:r>
        <w:rPr>
          <w:rFonts w:hAnsi="宋体"/>
          <w:color w:val="auto"/>
          <w:sz w:val="28"/>
          <w:szCs w:val="28"/>
        </w:rPr>
        <w:t>公斤左右。</w:t>
      </w:r>
    </w:p>
    <w:tbl>
      <w:tblPr>
        <w:tblStyle w:val="35"/>
        <w:tblW w:w="509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27"/>
        <w:gridCol w:w="4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27" w:type="dxa"/>
            <w:noWrap w:val="0"/>
            <w:vAlign w:val="top"/>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eastAsia="宋体"/>
                <w:color w:val="auto"/>
                <w:lang w:eastAsia="zh-CN"/>
              </w:rPr>
              <w:drawing>
                <wp:inline distT="0" distB="0" distL="114300" distR="114300">
                  <wp:extent cx="2816225" cy="2112010"/>
                  <wp:effectExtent l="0" t="0" r="3175" b="2540"/>
                  <wp:docPr id="11" name="图片 11" descr="2022-01-05 1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2-01-05 133415"/>
                          <pic:cNvPicPr>
                            <a:picLocks noChangeAspect="1"/>
                          </pic:cNvPicPr>
                        </pic:nvPicPr>
                        <pic:blipFill>
                          <a:blip r:embed="rId29"/>
                          <a:stretch>
                            <a:fillRect/>
                          </a:stretch>
                        </pic:blipFill>
                        <pic:spPr>
                          <a:xfrm>
                            <a:off x="0" y="0"/>
                            <a:ext cx="2816225" cy="2112010"/>
                          </a:xfrm>
                          <a:prstGeom prst="rect">
                            <a:avLst/>
                          </a:prstGeom>
                        </pic:spPr>
                      </pic:pic>
                    </a:graphicData>
                  </a:graphic>
                </wp:inline>
              </w:drawing>
            </w:r>
          </w:p>
        </w:tc>
        <w:tc>
          <w:tcPr>
            <w:tcW w:w="4727" w:type="dxa"/>
            <w:noWrap w:val="0"/>
            <w:vAlign w:val="top"/>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eastAsia="宋体"/>
                <w:color w:val="auto"/>
                <w:lang w:eastAsia="zh-CN"/>
              </w:rPr>
              <w:drawing>
                <wp:inline distT="0" distB="0" distL="114300" distR="114300">
                  <wp:extent cx="2816225" cy="2112010"/>
                  <wp:effectExtent l="0" t="0" r="3175" b="2540"/>
                  <wp:docPr id="12" name="图片 12" descr="2022-01-05 13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2-01-05 133419"/>
                          <pic:cNvPicPr>
                            <a:picLocks noChangeAspect="1"/>
                          </pic:cNvPicPr>
                        </pic:nvPicPr>
                        <pic:blipFill>
                          <a:blip r:embed="rId30"/>
                          <a:stretch>
                            <a:fillRect/>
                          </a:stretch>
                        </pic:blipFill>
                        <pic:spPr>
                          <a:xfrm>
                            <a:off x="0" y="0"/>
                            <a:ext cx="2816225" cy="2112010"/>
                          </a:xfrm>
                          <a:prstGeom prst="rect">
                            <a:avLst/>
                          </a:prstGeom>
                        </pic:spPr>
                      </pic:pic>
                    </a:graphicData>
                  </a:graphic>
                </wp:inline>
              </w:drawing>
            </w:r>
          </w:p>
        </w:tc>
      </w:tr>
    </w:tbl>
    <w:p>
      <w:pPr>
        <w:pStyle w:val="8"/>
        <w:numPr>
          <w:ilvl w:val="5"/>
          <w:numId w:val="2"/>
        </w:numPr>
        <w:bidi w:val="0"/>
        <w:rPr>
          <w:color w:val="auto"/>
        </w:rPr>
      </w:pPr>
      <w:r>
        <w:rPr>
          <w:rFonts w:hint="eastAsia"/>
          <w:color w:val="auto"/>
        </w:rPr>
        <w:t>植被现状图</w:t>
      </w:r>
      <w:r>
        <w:rPr>
          <w:rFonts w:hint="eastAsia"/>
          <w:color w:val="auto"/>
          <w:lang w:eastAsia="zh-CN"/>
        </w:rPr>
        <w:t>（</w:t>
      </w:r>
      <w:r>
        <w:rPr>
          <w:rFonts w:hint="eastAsia"/>
          <w:color w:val="auto"/>
          <w:lang w:val="en-US" w:eastAsia="zh-CN"/>
        </w:rPr>
        <w:t>2</w:t>
      </w:r>
      <w:r>
        <w:rPr>
          <w:rFonts w:hint="eastAsia"/>
          <w:color w:val="auto"/>
          <w:lang w:eastAsia="zh-CN"/>
        </w:rPr>
        <w:t>）</w:t>
      </w:r>
    </w:p>
    <w:p>
      <w:pPr>
        <w:spacing w:line="480" w:lineRule="exact"/>
        <w:ind w:firstLine="560"/>
        <w:rPr>
          <w:color w:val="auto"/>
          <w:sz w:val="28"/>
          <w:szCs w:val="28"/>
        </w:rPr>
      </w:pPr>
      <w:r>
        <w:rPr>
          <w:rFonts w:hAnsi="宋体"/>
          <w:color w:val="auto"/>
          <w:sz w:val="28"/>
          <w:szCs w:val="28"/>
        </w:rPr>
        <w:t>（</w:t>
      </w:r>
      <w:r>
        <w:rPr>
          <w:color w:val="auto"/>
          <w:sz w:val="28"/>
          <w:szCs w:val="28"/>
        </w:rPr>
        <w:t>3</w:t>
      </w:r>
      <w:r>
        <w:rPr>
          <w:rFonts w:hAnsi="宋体"/>
          <w:color w:val="auto"/>
          <w:sz w:val="28"/>
          <w:szCs w:val="28"/>
        </w:rPr>
        <w:t>）人工林</w:t>
      </w:r>
    </w:p>
    <w:p>
      <w:pPr>
        <w:spacing w:line="480" w:lineRule="exact"/>
        <w:ind w:firstLine="560" w:firstLineChars="200"/>
        <w:rPr>
          <w:color w:val="auto"/>
          <w:sz w:val="28"/>
          <w:szCs w:val="28"/>
        </w:rPr>
      </w:pPr>
      <w:r>
        <w:rPr>
          <w:rFonts w:hAnsi="宋体"/>
          <w:color w:val="auto"/>
          <w:sz w:val="28"/>
          <w:szCs w:val="28"/>
        </w:rPr>
        <w:t>本区域在植被区系划分中属于蒙古干燥草原区系，原始植被基本是草本，间有阔叶林。随着人口移居，种植业发展，原始植被多遭破坏，现以人工营造的林木为主。地区内的林木以村庄附近、道路两侧及耕地周围人工种植的防护林为主，林木品种主要为阔叶林，以杨树（</w:t>
      </w:r>
      <w:r>
        <w:rPr>
          <w:color w:val="auto"/>
          <w:sz w:val="28"/>
          <w:szCs w:val="28"/>
        </w:rPr>
        <w:t>Form. Populus canadensis</w:t>
      </w:r>
      <w:r>
        <w:rPr>
          <w:rFonts w:hAnsi="宋体"/>
          <w:color w:val="auto"/>
          <w:sz w:val="28"/>
          <w:szCs w:val="28"/>
        </w:rPr>
        <w:t>）为主，杨树林平均树高</w:t>
      </w:r>
      <w:r>
        <w:rPr>
          <w:color w:val="auto"/>
          <w:sz w:val="28"/>
          <w:szCs w:val="28"/>
        </w:rPr>
        <w:t>10</w:t>
      </w:r>
      <w:r>
        <w:rPr>
          <w:rFonts w:hAnsi="宋体"/>
          <w:color w:val="auto"/>
          <w:sz w:val="28"/>
          <w:szCs w:val="28"/>
        </w:rPr>
        <w:t>～</w:t>
      </w:r>
      <w:r>
        <w:rPr>
          <w:color w:val="auto"/>
          <w:sz w:val="28"/>
          <w:szCs w:val="28"/>
        </w:rPr>
        <w:t>15m</w:t>
      </w:r>
      <w:r>
        <w:rPr>
          <w:rFonts w:hAnsi="宋体"/>
          <w:color w:val="auto"/>
          <w:sz w:val="28"/>
          <w:szCs w:val="28"/>
        </w:rPr>
        <w:t>，平均胸径</w:t>
      </w:r>
      <w:r>
        <w:rPr>
          <w:color w:val="auto"/>
          <w:sz w:val="28"/>
          <w:szCs w:val="28"/>
        </w:rPr>
        <w:t>15</w:t>
      </w:r>
      <w:r>
        <w:rPr>
          <w:rFonts w:hAnsi="宋体"/>
          <w:color w:val="auto"/>
          <w:sz w:val="28"/>
          <w:szCs w:val="28"/>
        </w:rPr>
        <w:t>～</w:t>
      </w:r>
      <w:r>
        <w:rPr>
          <w:color w:val="auto"/>
          <w:sz w:val="28"/>
          <w:szCs w:val="28"/>
        </w:rPr>
        <w:t>25cm</w:t>
      </w:r>
      <w:r>
        <w:rPr>
          <w:rFonts w:hAnsi="宋体"/>
          <w:color w:val="auto"/>
          <w:sz w:val="28"/>
          <w:szCs w:val="28"/>
        </w:rPr>
        <w:t>，平均冠幅</w:t>
      </w:r>
      <w:r>
        <w:rPr>
          <w:color w:val="auto"/>
          <w:sz w:val="28"/>
          <w:szCs w:val="28"/>
        </w:rPr>
        <w:t>2.5m×2.5m</w:t>
      </w:r>
      <w:r>
        <w:rPr>
          <w:rFonts w:hAnsi="宋体"/>
          <w:color w:val="auto"/>
          <w:sz w:val="28"/>
          <w:szCs w:val="28"/>
        </w:rPr>
        <w:t>。</w:t>
      </w:r>
    </w:p>
    <w:tbl>
      <w:tblPr>
        <w:tblStyle w:val="35"/>
        <w:tblW w:w="509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08"/>
        <w:gridCol w:w="4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27" w:type="dxa"/>
            <w:noWrap w:val="0"/>
            <w:vAlign w:val="top"/>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eastAsia="宋体"/>
                <w:color w:val="auto"/>
                <w:lang w:eastAsia="zh-CN"/>
              </w:rPr>
              <w:drawing>
                <wp:inline distT="0" distB="0" distL="114300" distR="114300">
                  <wp:extent cx="2816225" cy="2112010"/>
                  <wp:effectExtent l="0" t="0" r="3175" b="2540"/>
                  <wp:docPr id="13" name="图片 13" descr="2022-01-05 1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2-01-05 131640"/>
                          <pic:cNvPicPr>
                            <a:picLocks noChangeAspect="1"/>
                          </pic:cNvPicPr>
                        </pic:nvPicPr>
                        <pic:blipFill>
                          <a:blip r:embed="rId31"/>
                          <a:stretch>
                            <a:fillRect/>
                          </a:stretch>
                        </pic:blipFill>
                        <pic:spPr>
                          <a:xfrm>
                            <a:off x="0" y="0"/>
                            <a:ext cx="2816225" cy="2112010"/>
                          </a:xfrm>
                          <a:prstGeom prst="rect">
                            <a:avLst/>
                          </a:prstGeom>
                        </pic:spPr>
                      </pic:pic>
                    </a:graphicData>
                  </a:graphic>
                </wp:inline>
              </w:drawing>
            </w:r>
          </w:p>
        </w:tc>
        <w:tc>
          <w:tcPr>
            <w:tcW w:w="4727" w:type="dxa"/>
            <w:noWrap w:val="0"/>
            <w:vAlign w:val="top"/>
          </w:tcPr>
          <w:p>
            <w:pPr>
              <w:keepNext w:val="0"/>
              <w:keepLines w:val="0"/>
              <w:suppressLineNumbers w:val="0"/>
              <w:spacing w:before="0" w:beforeAutospacing="0" w:after="0" w:afterAutospacing="0"/>
              <w:ind w:left="0" w:right="0"/>
              <w:jc w:val="center"/>
              <w:rPr>
                <w:rFonts w:hint="eastAsia" w:eastAsia="宋体"/>
                <w:color w:val="auto"/>
                <w:lang w:eastAsia="zh-CN"/>
              </w:rPr>
            </w:pPr>
            <w:r>
              <w:rPr>
                <w:rFonts w:hint="eastAsia" w:eastAsia="宋体"/>
                <w:color w:val="auto"/>
                <w:lang w:eastAsia="zh-CN"/>
              </w:rPr>
              <w:drawing>
                <wp:inline distT="0" distB="0" distL="114300" distR="114300">
                  <wp:extent cx="2863215" cy="2147570"/>
                  <wp:effectExtent l="0" t="0" r="13335" b="5080"/>
                  <wp:docPr id="14" name="图片 14" descr="评价范围林地-生态现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评价范围林地-生态现状 (2)"/>
                          <pic:cNvPicPr>
                            <a:picLocks noChangeAspect="1"/>
                          </pic:cNvPicPr>
                        </pic:nvPicPr>
                        <pic:blipFill>
                          <a:blip r:embed="rId32"/>
                          <a:stretch>
                            <a:fillRect/>
                          </a:stretch>
                        </pic:blipFill>
                        <pic:spPr>
                          <a:xfrm>
                            <a:off x="0" y="0"/>
                            <a:ext cx="2863215" cy="2147570"/>
                          </a:xfrm>
                          <a:prstGeom prst="rect">
                            <a:avLst/>
                          </a:prstGeom>
                        </pic:spPr>
                      </pic:pic>
                    </a:graphicData>
                  </a:graphic>
                </wp:inline>
              </w:drawing>
            </w:r>
          </w:p>
        </w:tc>
      </w:tr>
    </w:tbl>
    <w:p>
      <w:pPr>
        <w:pStyle w:val="8"/>
        <w:numPr>
          <w:ilvl w:val="5"/>
          <w:numId w:val="2"/>
        </w:numPr>
        <w:bidi w:val="0"/>
        <w:rPr>
          <w:color w:val="auto"/>
        </w:rPr>
      </w:pPr>
      <w:r>
        <w:rPr>
          <w:rFonts w:hint="eastAsia"/>
          <w:color w:val="auto"/>
        </w:rPr>
        <w:t>植被现状图</w:t>
      </w:r>
      <w:r>
        <w:rPr>
          <w:rFonts w:hint="eastAsia"/>
          <w:color w:val="auto"/>
          <w:lang w:eastAsia="zh-CN"/>
        </w:rPr>
        <w:t>（</w:t>
      </w:r>
      <w:r>
        <w:rPr>
          <w:rFonts w:hint="eastAsia"/>
          <w:color w:val="auto"/>
          <w:lang w:val="en-US" w:eastAsia="zh-CN"/>
        </w:rPr>
        <w:t>3</w:t>
      </w:r>
      <w:r>
        <w:rPr>
          <w:rFonts w:hint="eastAsia"/>
          <w:color w:val="auto"/>
          <w:lang w:eastAsia="zh-CN"/>
        </w:rPr>
        <w:t>）</w:t>
      </w:r>
    </w:p>
    <w:p>
      <w:pPr>
        <w:snapToGrid w:val="0"/>
        <w:spacing w:line="480" w:lineRule="exact"/>
        <w:ind w:firstLine="544" w:firstLineChars="200"/>
        <w:rPr>
          <w:color w:val="auto"/>
          <w:spacing w:val="-4"/>
          <w:sz w:val="28"/>
          <w:szCs w:val="28"/>
        </w:rPr>
      </w:pPr>
      <w:r>
        <w:rPr>
          <w:rFonts w:hAnsi="宋体"/>
          <w:color w:val="auto"/>
          <w:spacing w:val="-4"/>
          <w:sz w:val="28"/>
          <w:szCs w:val="28"/>
        </w:rPr>
        <w:t>（</w:t>
      </w:r>
      <w:r>
        <w:rPr>
          <w:color w:val="auto"/>
          <w:spacing w:val="-4"/>
          <w:sz w:val="28"/>
          <w:szCs w:val="28"/>
        </w:rPr>
        <w:t>4</w:t>
      </w:r>
      <w:r>
        <w:rPr>
          <w:rFonts w:hAnsi="宋体"/>
          <w:color w:val="auto"/>
          <w:spacing w:val="-4"/>
          <w:sz w:val="28"/>
          <w:szCs w:val="28"/>
        </w:rPr>
        <w:t>）野生动物</w:t>
      </w:r>
    </w:p>
    <w:p>
      <w:pPr>
        <w:snapToGrid w:val="0"/>
        <w:spacing w:line="480" w:lineRule="exact"/>
        <w:ind w:firstLine="544" w:firstLineChars="200"/>
        <w:rPr>
          <w:color w:val="auto"/>
          <w:spacing w:val="-4"/>
          <w:sz w:val="28"/>
          <w:szCs w:val="28"/>
        </w:rPr>
      </w:pPr>
      <w:r>
        <w:rPr>
          <w:color w:val="auto"/>
          <w:spacing w:val="-4"/>
          <w:sz w:val="28"/>
          <w:szCs w:val="28"/>
        </w:rPr>
        <w:t>1</w:t>
      </w:r>
      <w:r>
        <w:rPr>
          <w:rFonts w:hAnsi="宋体"/>
          <w:color w:val="auto"/>
          <w:spacing w:val="-4"/>
          <w:sz w:val="28"/>
          <w:szCs w:val="28"/>
        </w:rPr>
        <w:t>）陆生哺乳动物</w:t>
      </w:r>
    </w:p>
    <w:p>
      <w:pPr>
        <w:snapToGrid w:val="0"/>
        <w:spacing w:line="480" w:lineRule="exact"/>
        <w:ind w:firstLine="544" w:firstLineChars="200"/>
        <w:rPr>
          <w:color w:val="auto"/>
          <w:spacing w:val="-4"/>
          <w:sz w:val="28"/>
          <w:szCs w:val="28"/>
        </w:rPr>
      </w:pPr>
      <w:r>
        <w:rPr>
          <w:rFonts w:hAnsi="宋体"/>
          <w:color w:val="auto"/>
          <w:spacing w:val="-4"/>
          <w:sz w:val="28"/>
          <w:szCs w:val="28"/>
        </w:rPr>
        <w:t>评价区为典型农区，其动物的组成与分布具有明显的村栖型特点。主要分布有小家鼠（</w:t>
      </w:r>
      <w:r>
        <w:rPr>
          <w:color w:val="auto"/>
          <w:spacing w:val="-4"/>
          <w:sz w:val="28"/>
          <w:szCs w:val="28"/>
        </w:rPr>
        <w:t>Mus musculus L.</w:t>
      </w:r>
      <w:r>
        <w:rPr>
          <w:rFonts w:hAnsi="宋体"/>
          <w:color w:val="auto"/>
          <w:spacing w:val="-4"/>
          <w:sz w:val="28"/>
          <w:szCs w:val="28"/>
        </w:rPr>
        <w:t>）、大仓鼠（</w:t>
      </w:r>
      <w:r>
        <w:rPr>
          <w:color w:val="auto"/>
          <w:spacing w:val="-4"/>
          <w:sz w:val="28"/>
          <w:szCs w:val="28"/>
        </w:rPr>
        <w:t>Cricetulus triton</w:t>
      </w:r>
      <w:r>
        <w:rPr>
          <w:rFonts w:hAnsi="宋体"/>
          <w:color w:val="auto"/>
          <w:spacing w:val="-4"/>
          <w:sz w:val="28"/>
          <w:szCs w:val="28"/>
        </w:rPr>
        <w:t>）、普通田鼠（</w:t>
      </w:r>
      <w:r>
        <w:rPr>
          <w:color w:val="auto"/>
          <w:spacing w:val="-4"/>
          <w:sz w:val="28"/>
          <w:szCs w:val="28"/>
        </w:rPr>
        <w:t>M icrotus arvalis</w:t>
      </w:r>
      <w:r>
        <w:rPr>
          <w:rFonts w:hAnsi="宋体"/>
          <w:color w:val="auto"/>
          <w:spacing w:val="-4"/>
          <w:sz w:val="28"/>
          <w:szCs w:val="28"/>
        </w:rPr>
        <w:t>）等啮齿目动物。由于人类活动的干扰，较大型哺乳类动物基本绝迹，但小型哺乳类特别是鼠类仍为常见种。</w:t>
      </w:r>
    </w:p>
    <w:p>
      <w:pPr>
        <w:snapToGrid w:val="0"/>
        <w:spacing w:line="480" w:lineRule="exact"/>
        <w:ind w:firstLine="544" w:firstLineChars="200"/>
        <w:rPr>
          <w:color w:val="auto"/>
          <w:spacing w:val="-4"/>
          <w:sz w:val="28"/>
          <w:szCs w:val="28"/>
        </w:rPr>
      </w:pPr>
      <w:r>
        <w:rPr>
          <w:color w:val="auto"/>
          <w:spacing w:val="-4"/>
          <w:sz w:val="28"/>
          <w:szCs w:val="28"/>
        </w:rPr>
        <w:t>2</w:t>
      </w:r>
      <w:r>
        <w:rPr>
          <w:rFonts w:hAnsi="宋体"/>
          <w:color w:val="auto"/>
          <w:spacing w:val="-4"/>
          <w:sz w:val="28"/>
          <w:szCs w:val="28"/>
        </w:rPr>
        <w:t>）鸟类</w:t>
      </w:r>
      <w:r>
        <w:rPr>
          <w:color w:val="auto"/>
          <w:spacing w:val="-4"/>
          <w:sz w:val="28"/>
          <w:szCs w:val="28"/>
        </w:rPr>
        <w:t xml:space="preserve"> </w:t>
      </w:r>
    </w:p>
    <w:p>
      <w:pPr>
        <w:snapToGrid w:val="0"/>
        <w:spacing w:line="480" w:lineRule="exact"/>
        <w:ind w:firstLine="544" w:firstLineChars="200"/>
        <w:rPr>
          <w:color w:val="auto"/>
          <w:spacing w:val="-4"/>
          <w:sz w:val="28"/>
          <w:szCs w:val="28"/>
        </w:rPr>
      </w:pPr>
      <w:r>
        <w:rPr>
          <w:rFonts w:hAnsi="宋体"/>
          <w:color w:val="auto"/>
          <w:spacing w:val="-4"/>
          <w:sz w:val="28"/>
          <w:szCs w:val="28"/>
        </w:rPr>
        <w:t>本区人类生产活动频繁，因此鸟类的种类和分布亦较少。经调查，本区无国家和地方受保护的珍稀濒危野生动物，常见鸟类主要为喜鹊（</w:t>
      </w:r>
      <w:r>
        <w:rPr>
          <w:color w:val="auto"/>
          <w:spacing w:val="-4"/>
          <w:sz w:val="28"/>
          <w:szCs w:val="28"/>
        </w:rPr>
        <w:t>P. pica sericea Gould</w:t>
      </w:r>
      <w:r>
        <w:rPr>
          <w:rFonts w:hAnsi="宋体"/>
          <w:color w:val="auto"/>
          <w:spacing w:val="-4"/>
          <w:sz w:val="28"/>
          <w:szCs w:val="28"/>
        </w:rPr>
        <w:t>）、小嘴乌鸦（</w:t>
      </w:r>
      <w:r>
        <w:rPr>
          <w:color w:val="auto"/>
          <w:spacing w:val="-4"/>
          <w:sz w:val="28"/>
          <w:szCs w:val="28"/>
        </w:rPr>
        <w:t>C. corone orientalis Evers</w:t>
      </w:r>
      <w:r>
        <w:rPr>
          <w:rFonts w:hAnsi="宋体"/>
          <w:color w:val="auto"/>
          <w:spacing w:val="-4"/>
          <w:sz w:val="28"/>
          <w:szCs w:val="28"/>
        </w:rPr>
        <w:t>）、麻雀（</w:t>
      </w:r>
      <w:r>
        <w:rPr>
          <w:color w:val="auto"/>
          <w:spacing w:val="-4"/>
          <w:sz w:val="28"/>
          <w:szCs w:val="28"/>
        </w:rPr>
        <w:t>P. montanus montanus</w:t>
      </w:r>
      <w:r>
        <w:rPr>
          <w:rFonts w:hAnsi="宋体"/>
          <w:color w:val="auto"/>
          <w:spacing w:val="-4"/>
          <w:sz w:val="28"/>
          <w:szCs w:val="28"/>
        </w:rPr>
        <w:t>）、家燕（</w:t>
      </w:r>
      <w:r>
        <w:rPr>
          <w:color w:val="auto"/>
          <w:spacing w:val="-4"/>
          <w:sz w:val="28"/>
          <w:szCs w:val="28"/>
        </w:rPr>
        <w:t>H. rustica gutturalis Scopoli</w:t>
      </w:r>
      <w:r>
        <w:rPr>
          <w:rFonts w:hAnsi="宋体"/>
          <w:color w:val="auto"/>
          <w:spacing w:val="-4"/>
          <w:sz w:val="28"/>
          <w:szCs w:val="28"/>
        </w:rPr>
        <w:t>）等村栖型鸟类。</w:t>
      </w:r>
    </w:p>
    <w:p>
      <w:pPr>
        <w:pStyle w:val="6"/>
        <w:numPr>
          <w:ilvl w:val="3"/>
          <w:numId w:val="2"/>
        </w:numPr>
        <w:bidi w:val="0"/>
        <w:rPr>
          <w:color w:val="auto"/>
        </w:rPr>
      </w:pPr>
      <w:r>
        <w:rPr>
          <w:color w:val="auto"/>
        </w:rPr>
        <w:t>生态环境现状评价</w:t>
      </w:r>
    </w:p>
    <w:p>
      <w:pPr>
        <w:snapToGrid w:val="0"/>
        <w:spacing w:line="480" w:lineRule="exact"/>
        <w:ind w:firstLine="544" w:firstLineChars="200"/>
        <w:rPr>
          <w:color w:val="auto"/>
          <w:spacing w:val="-4"/>
          <w:sz w:val="28"/>
          <w:szCs w:val="28"/>
        </w:rPr>
      </w:pPr>
      <w:r>
        <w:rPr>
          <w:rFonts w:hAnsi="宋体"/>
          <w:color w:val="auto"/>
          <w:spacing w:val="-4"/>
          <w:sz w:val="28"/>
          <w:szCs w:val="28"/>
        </w:rPr>
        <w:t>该区原生生态系统为多年生草本植物群落，现部分转变为人工种植的作物群体，使区域内的生态环境发生了变化。</w:t>
      </w:r>
    </w:p>
    <w:p>
      <w:pPr>
        <w:snapToGrid w:val="0"/>
        <w:spacing w:line="480" w:lineRule="exact"/>
        <w:ind w:firstLine="544" w:firstLineChars="200"/>
        <w:rPr>
          <w:color w:val="auto"/>
          <w:spacing w:val="-4"/>
          <w:sz w:val="28"/>
          <w:szCs w:val="28"/>
        </w:rPr>
      </w:pPr>
      <w:r>
        <w:rPr>
          <w:rFonts w:hAnsi="宋体"/>
          <w:color w:val="auto"/>
          <w:spacing w:val="-4"/>
          <w:sz w:val="28"/>
          <w:szCs w:val="28"/>
        </w:rPr>
        <w:t>（</w:t>
      </w:r>
      <w:r>
        <w:rPr>
          <w:color w:val="auto"/>
          <w:spacing w:val="-4"/>
          <w:sz w:val="28"/>
          <w:szCs w:val="28"/>
        </w:rPr>
        <w:t>1</w:t>
      </w:r>
      <w:r>
        <w:rPr>
          <w:rFonts w:hAnsi="宋体"/>
          <w:color w:val="auto"/>
          <w:spacing w:val="-4"/>
          <w:sz w:val="28"/>
          <w:szCs w:val="28"/>
        </w:rPr>
        <w:t>）土壤环境</w:t>
      </w:r>
    </w:p>
    <w:p>
      <w:pPr>
        <w:snapToGrid w:val="0"/>
        <w:spacing w:line="480" w:lineRule="exact"/>
        <w:ind w:firstLine="544" w:firstLineChars="200"/>
        <w:rPr>
          <w:color w:val="auto"/>
          <w:spacing w:val="-4"/>
          <w:sz w:val="28"/>
          <w:szCs w:val="28"/>
        </w:rPr>
      </w:pPr>
      <w:r>
        <w:rPr>
          <w:rFonts w:hAnsi="宋体"/>
          <w:color w:val="auto"/>
          <w:spacing w:val="-4"/>
          <w:sz w:val="28"/>
          <w:szCs w:val="28"/>
        </w:rPr>
        <w:t>土壤抗冲刷和风蚀的能力强弱与根系根量、结构状况以及分布类型关系密切。</w:t>
      </w:r>
    </w:p>
    <w:p>
      <w:pPr>
        <w:snapToGrid w:val="0"/>
        <w:spacing w:line="480" w:lineRule="exact"/>
        <w:ind w:firstLine="544" w:firstLineChars="200"/>
        <w:rPr>
          <w:color w:val="auto"/>
          <w:spacing w:val="-4"/>
          <w:sz w:val="28"/>
          <w:szCs w:val="28"/>
        </w:rPr>
      </w:pPr>
      <w:r>
        <w:rPr>
          <w:rFonts w:hAnsi="宋体"/>
          <w:color w:val="auto"/>
          <w:spacing w:val="-4"/>
          <w:sz w:val="28"/>
          <w:szCs w:val="28"/>
        </w:rPr>
        <w:t>草</w:t>
      </w:r>
      <w:r>
        <w:rPr>
          <w:rFonts w:hint="eastAsia" w:hAnsi="宋体"/>
          <w:color w:val="auto"/>
          <w:spacing w:val="-4"/>
          <w:sz w:val="28"/>
          <w:szCs w:val="28"/>
        </w:rPr>
        <w:t>地</w:t>
      </w:r>
      <w:r>
        <w:rPr>
          <w:rFonts w:hAnsi="宋体"/>
          <w:color w:val="auto"/>
          <w:spacing w:val="-4"/>
          <w:sz w:val="28"/>
          <w:szCs w:val="28"/>
        </w:rPr>
        <w:t>表层土由于植物根系纵横交错，土壤结构紧密，通气透水状况较差，开垦为农田土壤后，表层土变疏松，通气透水良好，坚固性变差，有机成分增加，农药等有毒有害成分也增加。</w:t>
      </w:r>
    </w:p>
    <w:p>
      <w:pPr>
        <w:snapToGrid w:val="0"/>
        <w:spacing w:line="480" w:lineRule="exact"/>
        <w:ind w:firstLine="544" w:firstLineChars="200"/>
        <w:rPr>
          <w:color w:val="auto"/>
          <w:spacing w:val="-4"/>
          <w:sz w:val="28"/>
          <w:szCs w:val="28"/>
        </w:rPr>
      </w:pPr>
      <w:r>
        <w:rPr>
          <w:rFonts w:hAnsi="宋体"/>
          <w:color w:val="auto"/>
          <w:spacing w:val="-4"/>
          <w:sz w:val="28"/>
          <w:szCs w:val="28"/>
        </w:rPr>
        <w:t>草</w:t>
      </w:r>
      <w:r>
        <w:rPr>
          <w:rFonts w:hint="eastAsia" w:hAnsi="宋体"/>
          <w:color w:val="auto"/>
          <w:spacing w:val="-4"/>
          <w:sz w:val="28"/>
          <w:szCs w:val="28"/>
        </w:rPr>
        <w:t>地</w:t>
      </w:r>
      <w:r>
        <w:rPr>
          <w:rFonts w:hAnsi="宋体"/>
          <w:color w:val="auto"/>
          <w:spacing w:val="-4"/>
          <w:sz w:val="28"/>
          <w:szCs w:val="28"/>
        </w:rPr>
        <w:t>原生草本植物根系量大，其根系结构体系固持的土壤对抗冲刷和风蚀的能力特别强；农作物多为一年生植物，根系种类单纯，多为直根和须根，层次结构简单，主要分布在</w:t>
      </w:r>
      <w:r>
        <w:rPr>
          <w:color w:val="auto"/>
          <w:spacing w:val="-4"/>
          <w:sz w:val="28"/>
          <w:szCs w:val="28"/>
        </w:rPr>
        <w:t>10</w:t>
      </w:r>
      <w:r>
        <w:rPr>
          <w:rFonts w:hAnsi="宋体"/>
          <w:color w:val="auto"/>
          <w:spacing w:val="-4"/>
          <w:sz w:val="28"/>
          <w:szCs w:val="28"/>
        </w:rPr>
        <w:t>～</w:t>
      </w:r>
      <w:r>
        <w:rPr>
          <w:color w:val="auto"/>
          <w:spacing w:val="-4"/>
          <w:sz w:val="28"/>
          <w:szCs w:val="28"/>
        </w:rPr>
        <w:t>30cm</w:t>
      </w:r>
      <w:r>
        <w:rPr>
          <w:rFonts w:hAnsi="宋体"/>
          <w:color w:val="auto"/>
          <w:spacing w:val="-4"/>
          <w:sz w:val="28"/>
          <w:szCs w:val="28"/>
        </w:rPr>
        <w:t>的土层中，表层土根系很少，加之人为耕作，表土疏松，抗风蚀能力较低。</w:t>
      </w:r>
    </w:p>
    <w:p>
      <w:pPr>
        <w:snapToGrid w:val="0"/>
        <w:spacing w:line="480" w:lineRule="exact"/>
        <w:ind w:firstLine="544" w:firstLineChars="200"/>
        <w:rPr>
          <w:color w:val="auto"/>
          <w:spacing w:val="-4"/>
          <w:sz w:val="28"/>
          <w:szCs w:val="28"/>
        </w:rPr>
      </w:pPr>
      <w:r>
        <w:rPr>
          <w:rFonts w:hAnsi="宋体"/>
          <w:color w:val="auto"/>
          <w:spacing w:val="-4"/>
          <w:sz w:val="28"/>
          <w:szCs w:val="28"/>
        </w:rPr>
        <w:t>（</w:t>
      </w:r>
      <w:r>
        <w:rPr>
          <w:color w:val="auto"/>
          <w:spacing w:val="-4"/>
          <w:sz w:val="28"/>
          <w:szCs w:val="28"/>
        </w:rPr>
        <w:t>2</w:t>
      </w:r>
      <w:r>
        <w:rPr>
          <w:rFonts w:hAnsi="宋体"/>
          <w:color w:val="auto"/>
          <w:spacing w:val="-4"/>
          <w:sz w:val="28"/>
          <w:szCs w:val="28"/>
        </w:rPr>
        <w:t>）植物群落</w:t>
      </w:r>
    </w:p>
    <w:p>
      <w:pPr>
        <w:snapToGrid w:val="0"/>
        <w:spacing w:line="480" w:lineRule="exact"/>
        <w:ind w:firstLine="544" w:firstLineChars="200"/>
        <w:rPr>
          <w:color w:val="auto"/>
          <w:spacing w:val="-4"/>
          <w:sz w:val="28"/>
          <w:szCs w:val="28"/>
        </w:rPr>
      </w:pPr>
      <w:r>
        <w:rPr>
          <w:rFonts w:hAnsi="宋体"/>
          <w:color w:val="auto"/>
          <w:spacing w:val="-4"/>
          <w:sz w:val="28"/>
          <w:szCs w:val="28"/>
        </w:rPr>
        <w:t>由于人工种植系统的发展，地区植物种群由多样化部分变为某种单一化作物，植物群体结构由多层次变为同一层次，群体相互作用由多样性变为单一性。植物群体根系由多年生自然植物群体根系的多样化（根茎系、丛根系、块根系、直根系等），部分变为一年生丛根、直根、须根等，使地下根际系统单一化。</w:t>
      </w:r>
    </w:p>
    <w:p>
      <w:pPr>
        <w:snapToGrid w:val="0"/>
        <w:spacing w:line="480" w:lineRule="exact"/>
        <w:ind w:firstLine="544" w:firstLineChars="200"/>
        <w:rPr>
          <w:color w:val="auto"/>
          <w:spacing w:val="-4"/>
          <w:sz w:val="28"/>
          <w:szCs w:val="28"/>
        </w:rPr>
      </w:pPr>
      <w:r>
        <w:rPr>
          <w:rFonts w:hAnsi="宋体"/>
          <w:color w:val="auto"/>
          <w:spacing w:val="-4"/>
          <w:sz w:val="28"/>
          <w:szCs w:val="28"/>
        </w:rPr>
        <w:t>（</w:t>
      </w:r>
      <w:r>
        <w:rPr>
          <w:color w:val="auto"/>
          <w:spacing w:val="-4"/>
          <w:sz w:val="28"/>
          <w:szCs w:val="28"/>
        </w:rPr>
        <w:t>3</w:t>
      </w:r>
      <w:r>
        <w:rPr>
          <w:rFonts w:hAnsi="宋体"/>
          <w:color w:val="auto"/>
          <w:spacing w:val="-4"/>
          <w:sz w:val="28"/>
          <w:szCs w:val="28"/>
        </w:rPr>
        <w:t>）水文效应的改变</w:t>
      </w:r>
    </w:p>
    <w:p>
      <w:pPr>
        <w:snapToGrid w:val="0"/>
        <w:spacing w:line="480" w:lineRule="exact"/>
        <w:ind w:firstLine="544" w:firstLineChars="200"/>
        <w:rPr>
          <w:color w:val="auto"/>
          <w:spacing w:val="-4"/>
          <w:sz w:val="28"/>
          <w:szCs w:val="28"/>
        </w:rPr>
      </w:pPr>
      <w:r>
        <w:rPr>
          <w:rFonts w:hAnsi="宋体"/>
          <w:color w:val="auto"/>
          <w:spacing w:val="-4"/>
          <w:sz w:val="28"/>
          <w:szCs w:val="28"/>
        </w:rPr>
        <w:t>根据对草</w:t>
      </w:r>
      <w:r>
        <w:rPr>
          <w:rFonts w:hint="eastAsia" w:hAnsi="宋体"/>
          <w:color w:val="auto"/>
          <w:spacing w:val="-4"/>
          <w:sz w:val="28"/>
          <w:szCs w:val="28"/>
        </w:rPr>
        <w:t>地</w:t>
      </w:r>
      <w:r>
        <w:rPr>
          <w:rFonts w:hAnsi="宋体"/>
          <w:color w:val="auto"/>
          <w:spacing w:val="-4"/>
          <w:sz w:val="28"/>
          <w:szCs w:val="28"/>
        </w:rPr>
        <w:t>植被和农作物地面空气绝对湿度、相对湿度、地表温度进行观测的结果表明：</w:t>
      </w:r>
      <w:r>
        <w:rPr>
          <w:color w:val="auto"/>
          <w:spacing w:val="-4"/>
          <w:sz w:val="28"/>
          <w:szCs w:val="28"/>
        </w:rPr>
        <w:t>5</w:t>
      </w:r>
      <w:r>
        <w:rPr>
          <w:rFonts w:hAnsi="宋体"/>
          <w:color w:val="auto"/>
          <w:spacing w:val="-4"/>
          <w:sz w:val="28"/>
          <w:szCs w:val="28"/>
        </w:rPr>
        <w:t>、</w:t>
      </w:r>
      <w:r>
        <w:rPr>
          <w:color w:val="auto"/>
          <w:spacing w:val="-4"/>
          <w:sz w:val="28"/>
          <w:szCs w:val="28"/>
        </w:rPr>
        <w:t>6</w:t>
      </w:r>
      <w:r>
        <w:rPr>
          <w:rFonts w:hAnsi="宋体"/>
          <w:color w:val="auto"/>
          <w:spacing w:val="-4"/>
          <w:sz w:val="28"/>
          <w:szCs w:val="28"/>
        </w:rPr>
        <w:t>月草</w:t>
      </w:r>
      <w:r>
        <w:rPr>
          <w:rFonts w:hint="eastAsia" w:hAnsi="宋体"/>
          <w:color w:val="auto"/>
          <w:spacing w:val="-4"/>
          <w:sz w:val="28"/>
          <w:szCs w:val="28"/>
        </w:rPr>
        <w:t>地</w:t>
      </w:r>
      <w:r>
        <w:rPr>
          <w:rFonts w:hAnsi="宋体"/>
          <w:color w:val="auto"/>
          <w:spacing w:val="-4"/>
          <w:sz w:val="28"/>
          <w:szCs w:val="28"/>
        </w:rPr>
        <w:t>地表绝对湿度和相对湿度高于农田，</w:t>
      </w:r>
      <w:r>
        <w:rPr>
          <w:color w:val="auto"/>
          <w:spacing w:val="-4"/>
          <w:sz w:val="28"/>
          <w:szCs w:val="28"/>
        </w:rPr>
        <w:t>7</w:t>
      </w:r>
      <w:r>
        <w:rPr>
          <w:rFonts w:hAnsi="宋体"/>
          <w:color w:val="auto"/>
          <w:spacing w:val="-4"/>
          <w:sz w:val="28"/>
          <w:szCs w:val="28"/>
        </w:rPr>
        <w:t>、</w:t>
      </w:r>
      <w:r>
        <w:rPr>
          <w:color w:val="auto"/>
          <w:spacing w:val="-4"/>
          <w:sz w:val="28"/>
          <w:szCs w:val="28"/>
        </w:rPr>
        <w:t>8</w:t>
      </w:r>
      <w:r>
        <w:rPr>
          <w:rFonts w:hAnsi="宋体"/>
          <w:color w:val="auto"/>
          <w:spacing w:val="-4"/>
          <w:sz w:val="28"/>
          <w:szCs w:val="28"/>
        </w:rPr>
        <w:t>月农田地表绝对湿度和相对湿度又高于草</w:t>
      </w:r>
      <w:r>
        <w:rPr>
          <w:rFonts w:hint="eastAsia" w:hAnsi="宋体"/>
          <w:color w:val="auto"/>
          <w:spacing w:val="-4"/>
          <w:sz w:val="28"/>
          <w:szCs w:val="28"/>
        </w:rPr>
        <w:t>地</w:t>
      </w:r>
      <w:r>
        <w:rPr>
          <w:rFonts w:hAnsi="宋体"/>
          <w:color w:val="auto"/>
          <w:spacing w:val="-4"/>
          <w:sz w:val="28"/>
          <w:szCs w:val="28"/>
        </w:rPr>
        <w:t>；</w:t>
      </w:r>
      <w:r>
        <w:rPr>
          <w:color w:val="auto"/>
          <w:spacing w:val="-4"/>
          <w:sz w:val="28"/>
          <w:szCs w:val="28"/>
        </w:rPr>
        <w:t>5</w:t>
      </w:r>
      <w:r>
        <w:rPr>
          <w:rFonts w:hAnsi="宋体"/>
          <w:color w:val="auto"/>
          <w:spacing w:val="-4"/>
          <w:sz w:val="28"/>
          <w:szCs w:val="28"/>
        </w:rPr>
        <w:t>、</w:t>
      </w:r>
      <w:r>
        <w:rPr>
          <w:color w:val="auto"/>
          <w:spacing w:val="-4"/>
          <w:sz w:val="28"/>
          <w:szCs w:val="28"/>
        </w:rPr>
        <w:t>6</w:t>
      </w:r>
      <w:r>
        <w:rPr>
          <w:rFonts w:hAnsi="宋体"/>
          <w:color w:val="auto"/>
          <w:spacing w:val="-4"/>
          <w:sz w:val="28"/>
          <w:szCs w:val="28"/>
        </w:rPr>
        <w:t>月农田地表气温高于草</w:t>
      </w:r>
      <w:r>
        <w:rPr>
          <w:rFonts w:hint="eastAsia" w:hAnsi="宋体"/>
          <w:color w:val="auto"/>
          <w:spacing w:val="-4"/>
          <w:sz w:val="28"/>
          <w:szCs w:val="28"/>
        </w:rPr>
        <w:t>地</w:t>
      </w:r>
      <w:r>
        <w:rPr>
          <w:rFonts w:hAnsi="宋体"/>
          <w:color w:val="auto"/>
          <w:spacing w:val="-4"/>
          <w:sz w:val="28"/>
          <w:szCs w:val="28"/>
        </w:rPr>
        <w:t>，</w:t>
      </w:r>
      <w:r>
        <w:rPr>
          <w:color w:val="auto"/>
          <w:spacing w:val="-4"/>
          <w:sz w:val="28"/>
          <w:szCs w:val="28"/>
        </w:rPr>
        <w:t>7</w:t>
      </w:r>
      <w:r>
        <w:rPr>
          <w:rFonts w:hAnsi="宋体"/>
          <w:color w:val="auto"/>
          <w:spacing w:val="-4"/>
          <w:sz w:val="28"/>
          <w:szCs w:val="28"/>
        </w:rPr>
        <w:t>、</w:t>
      </w:r>
      <w:r>
        <w:rPr>
          <w:color w:val="auto"/>
          <w:spacing w:val="-4"/>
          <w:sz w:val="28"/>
          <w:szCs w:val="28"/>
        </w:rPr>
        <w:t>8</w:t>
      </w:r>
      <w:r>
        <w:rPr>
          <w:rFonts w:hAnsi="宋体"/>
          <w:color w:val="auto"/>
          <w:spacing w:val="-4"/>
          <w:sz w:val="28"/>
          <w:szCs w:val="28"/>
        </w:rPr>
        <w:t>月农田地表气温低于草</w:t>
      </w:r>
      <w:r>
        <w:rPr>
          <w:rFonts w:hint="eastAsia" w:hAnsi="宋体"/>
          <w:color w:val="auto"/>
          <w:spacing w:val="-4"/>
          <w:sz w:val="28"/>
          <w:szCs w:val="28"/>
        </w:rPr>
        <w:t>地</w:t>
      </w:r>
      <w:r>
        <w:rPr>
          <w:rFonts w:hAnsi="宋体"/>
          <w:color w:val="auto"/>
          <w:spacing w:val="-4"/>
          <w:sz w:val="28"/>
          <w:szCs w:val="28"/>
        </w:rPr>
        <w:t>。</w:t>
      </w:r>
    </w:p>
    <w:p>
      <w:pPr>
        <w:pStyle w:val="6"/>
        <w:numPr>
          <w:ilvl w:val="3"/>
          <w:numId w:val="2"/>
        </w:numPr>
        <w:bidi w:val="0"/>
        <w:rPr>
          <w:b w:val="0"/>
          <w:snapToGrid w:val="0"/>
          <w:color w:val="auto"/>
          <w:kern w:val="0"/>
          <w:sz w:val="28"/>
          <w:szCs w:val="28"/>
        </w:rPr>
      </w:pPr>
      <w:bookmarkStart w:id="553" w:name="_Toc43686764"/>
      <w:r>
        <w:rPr>
          <w:rFonts w:hAnsi="宋体"/>
          <w:b w:val="0"/>
          <w:snapToGrid w:val="0"/>
          <w:color w:val="auto"/>
          <w:kern w:val="0"/>
          <w:sz w:val="28"/>
          <w:szCs w:val="28"/>
        </w:rPr>
        <w:t>现状评价结论</w:t>
      </w:r>
    </w:p>
    <w:p>
      <w:pPr>
        <w:snapToGrid w:val="0"/>
        <w:spacing w:line="480" w:lineRule="exact"/>
        <w:ind w:firstLine="560" w:firstLineChars="200"/>
        <w:rPr>
          <w:color w:val="auto"/>
        </w:rPr>
      </w:pPr>
      <w:r>
        <w:rPr>
          <w:rFonts w:hAnsi="宋体"/>
          <w:color w:val="auto"/>
          <w:sz w:val="28"/>
          <w:szCs w:val="28"/>
        </w:rPr>
        <w:t>该区以农田生态系统为主，与原生草</w:t>
      </w:r>
      <w:r>
        <w:rPr>
          <w:rFonts w:hint="eastAsia" w:hAnsi="宋体"/>
          <w:color w:val="auto"/>
          <w:sz w:val="28"/>
          <w:szCs w:val="28"/>
        </w:rPr>
        <w:t>地</w:t>
      </w:r>
      <w:r>
        <w:rPr>
          <w:rFonts w:hAnsi="宋体"/>
          <w:color w:val="auto"/>
          <w:sz w:val="28"/>
          <w:szCs w:val="28"/>
        </w:rPr>
        <w:t>生态系统相比，整个生态系统的生产力有较大程度的提高，农田土壤肥力增强，但由于人工耕作，农药等有毒有害成份有所增加。由于本地区气候干旱、多风沙等气候特点，对土壤固持能力降低，春季干旱时调节气候的能力降低。</w:t>
      </w:r>
    </w:p>
    <w:bookmarkEnd w:id="553"/>
    <w:p>
      <w:pPr>
        <w:pStyle w:val="4"/>
        <w:numPr>
          <w:ilvl w:val="1"/>
          <w:numId w:val="2"/>
        </w:numPr>
        <w:bidi w:val="0"/>
        <w:rPr>
          <w:b w:val="0"/>
          <w:snapToGrid w:val="0"/>
          <w:color w:val="auto"/>
          <w:kern w:val="0"/>
          <w:sz w:val="28"/>
          <w:szCs w:val="28"/>
        </w:rPr>
      </w:pPr>
      <w:r>
        <w:rPr>
          <w:color w:val="auto"/>
          <w:lang w:val="en-US" w:eastAsia="zh-CN"/>
        </w:rPr>
        <w:tab/>
      </w:r>
      <w:bookmarkStart w:id="554" w:name="_Toc528759844"/>
      <w:bookmarkStart w:id="555" w:name="_Toc2900"/>
      <w:bookmarkStart w:id="556" w:name="_Toc49174482"/>
      <w:bookmarkStart w:id="557" w:name="_Toc18499"/>
      <w:bookmarkStart w:id="558" w:name="_Toc17386"/>
      <w:bookmarkStart w:id="559" w:name="_Toc49175013"/>
      <w:bookmarkStart w:id="560" w:name="_Toc32043"/>
      <w:bookmarkStart w:id="561" w:name="_Toc49174446"/>
      <w:bookmarkStart w:id="562" w:name="_Toc49174838"/>
      <w:bookmarkStart w:id="563" w:name="_Toc24787"/>
      <w:bookmarkStart w:id="564" w:name="_Toc17582"/>
      <w:bookmarkStart w:id="565" w:name="_Toc26042"/>
      <w:bookmarkStart w:id="566" w:name="_Toc49174406"/>
      <w:bookmarkStart w:id="567" w:name="_Toc4869"/>
      <w:bookmarkStart w:id="568" w:name="_Toc49174616"/>
      <w:bookmarkStart w:id="569" w:name="_Toc49174725"/>
      <w:bookmarkStart w:id="570" w:name="_Toc30964"/>
      <w:bookmarkStart w:id="571" w:name="_Toc17972"/>
      <w:r>
        <w:rPr>
          <w:rFonts w:hAnsi="宋体"/>
          <w:b w:val="0"/>
          <w:snapToGrid w:val="0"/>
          <w:color w:val="auto"/>
          <w:kern w:val="0"/>
          <w:sz w:val="28"/>
          <w:szCs w:val="28"/>
        </w:rPr>
        <w:t>区域污染源调查</w:t>
      </w:r>
      <w:bookmarkEnd w:id="554"/>
      <w:bookmarkEnd w:id="555"/>
    </w:p>
    <w:p>
      <w:pPr>
        <w:snapToGrid w:val="0"/>
        <w:spacing w:line="480" w:lineRule="exact"/>
        <w:ind w:firstLine="560" w:firstLineChars="200"/>
        <w:rPr>
          <w:rFonts w:hAnsi="宋体"/>
          <w:snapToGrid w:val="0"/>
          <w:color w:val="auto"/>
          <w:sz w:val="28"/>
          <w:szCs w:val="28"/>
        </w:rPr>
      </w:pPr>
      <w:r>
        <w:rPr>
          <w:rFonts w:hAnsi="宋体"/>
          <w:snapToGrid w:val="0"/>
          <w:color w:val="auto"/>
          <w:sz w:val="28"/>
          <w:szCs w:val="28"/>
        </w:rPr>
        <w:t>本工程位于黑龙江省绥化市安达市境内，根据调查，本项目所在区域</w:t>
      </w:r>
      <w:r>
        <w:rPr>
          <w:rFonts w:hint="eastAsia" w:hAnsi="宋体"/>
          <w:snapToGrid w:val="0"/>
          <w:color w:val="auto"/>
          <w:sz w:val="28"/>
          <w:szCs w:val="28"/>
        </w:rPr>
        <w:t>无其他工业</w:t>
      </w:r>
      <w:r>
        <w:rPr>
          <w:rFonts w:hAnsi="宋体"/>
          <w:snapToGrid w:val="0"/>
          <w:color w:val="auto"/>
          <w:sz w:val="28"/>
          <w:szCs w:val="28"/>
        </w:rPr>
        <w:t>污染源。</w:t>
      </w:r>
    </w:p>
    <w:p>
      <w:pPr>
        <w:rPr>
          <w:rFonts w:hAnsi="宋体"/>
          <w:snapToGrid w:val="0"/>
          <w:color w:val="auto"/>
          <w:sz w:val="28"/>
          <w:szCs w:val="28"/>
        </w:rPr>
      </w:pPr>
      <w:r>
        <w:rPr>
          <w:rFonts w:hAnsi="宋体"/>
          <w:snapToGrid w:val="0"/>
          <w:color w:val="auto"/>
          <w:sz w:val="28"/>
          <w:szCs w:val="28"/>
        </w:rPr>
        <w:br w:type="page"/>
      </w:r>
    </w:p>
    <w:p>
      <w:pPr>
        <w:pStyle w:val="3"/>
        <w:numPr>
          <w:ilvl w:val="0"/>
          <w:numId w:val="2"/>
        </w:numPr>
        <w:bidi w:val="0"/>
        <w:rPr>
          <w:color w:val="auto"/>
        </w:rPr>
      </w:pPr>
      <w:bookmarkStart w:id="572" w:name="_Toc28946"/>
      <w:bookmarkStart w:id="573" w:name="_Toc96083867"/>
      <w:bookmarkStart w:id="574" w:name="_Toc87278143"/>
      <w:bookmarkStart w:id="575" w:name="_Toc189535417"/>
      <w:bookmarkStart w:id="576" w:name="_Toc86985700"/>
      <w:r>
        <w:rPr>
          <w:color w:val="auto"/>
        </w:rPr>
        <w:t>环境影响预测与评价</w:t>
      </w:r>
      <w:bookmarkEnd w:id="572"/>
      <w:bookmarkEnd w:id="573"/>
    </w:p>
    <w:p>
      <w:pPr>
        <w:pStyle w:val="4"/>
        <w:numPr>
          <w:ilvl w:val="1"/>
          <w:numId w:val="2"/>
        </w:numPr>
        <w:bidi w:val="0"/>
        <w:rPr>
          <w:color w:val="auto"/>
        </w:rPr>
      </w:pPr>
      <w:bookmarkStart w:id="577" w:name="_Toc6998"/>
      <w:bookmarkStart w:id="578" w:name="_Toc96083868"/>
      <w:r>
        <w:rPr>
          <w:color w:val="auto"/>
        </w:rPr>
        <w:t>环境空气影响预测与评价</w:t>
      </w:r>
      <w:bookmarkEnd w:id="577"/>
      <w:bookmarkEnd w:id="578"/>
    </w:p>
    <w:p>
      <w:pPr>
        <w:pStyle w:val="5"/>
        <w:numPr>
          <w:ilvl w:val="2"/>
          <w:numId w:val="2"/>
        </w:numPr>
        <w:spacing w:before="159" w:beforeLines="50" w:after="159" w:afterLines="50" w:line="480" w:lineRule="exact"/>
        <w:rPr>
          <w:b w:val="0"/>
          <w:snapToGrid w:val="0"/>
          <w:color w:val="auto"/>
          <w:kern w:val="0"/>
          <w:sz w:val="28"/>
          <w:szCs w:val="28"/>
        </w:rPr>
      </w:pPr>
      <w:r>
        <w:rPr>
          <w:rFonts w:hAnsi="宋体"/>
          <w:b w:val="0"/>
          <w:snapToGrid w:val="0"/>
          <w:color w:val="auto"/>
          <w:kern w:val="0"/>
          <w:sz w:val="28"/>
          <w:szCs w:val="28"/>
        </w:rPr>
        <w:t>气候概况</w:t>
      </w:r>
    </w:p>
    <w:p>
      <w:pPr>
        <w:spacing w:line="480" w:lineRule="exact"/>
        <w:ind w:firstLine="560" w:firstLineChars="200"/>
        <w:rPr>
          <w:color w:val="auto"/>
        </w:rPr>
      </w:pPr>
      <w:r>
        <w:rPr>
          <w:rFonts w:hint="eastAsia" w:ascii="宋体" w:hAnsi="宋体"/>
          <w:color w:val="auto"/>
          <w:sz w:val="28"/>
          <w:szCs w:val="28"/>
        </w:rPr>
        <w:t>安达市属于中温带大陆性季风气候，地处半干旱－半湿润过渡地带。其特点是：冬季严寒少雪，夏季湿热多雨，春季升温快，降雨少，大风多，秋季降温急剧，霜冻和寒潮时有发生；累年年平均气温</w:t>
      </w:r>
      <w:r>
        <w:rPr>
          <w:rFonts w:hint="eastAsia"/>
          <w:color w:val="auto"/>
          <w:sz w:val="28"/>
          <w:szCs w:val="28"/>
        </w:rPr>
        <w:t>3.9</w:t>
      </w:r>
      <w:r>
        <w:rPr>
          <w:rFonts w:hint="eastAsia" w:ascii="宋体" w:hAnsi="宋体"/>
          <w:color w:val="auto"/>
          <w:sz w:val="28"/>
          <w:szCs w:val="28"/>
        </w:rPr>
        <w:t>℃，累年年平均降水量</w:t>
      </w:r>
      <w:r>
        <w:rPr>
          <w:rFonts w:hint="eastAsia"/>
          <w:color w:val="auto"/>
          <w:sz w:val="28"/>
          <w:szCs w:val="28"/>
        </w:rPr>
        <w:t>429.6mm</w:t>
      </w:r>
      <w:r>
        <w:rPr>
          <w:rFonts w:hint="eastAsia" w:ascii="宋体" w:hAnsi="宋体"/>
          <w:color w:val="auto"/>
          <w:sz w:val="28"/>
          <w:szCs w:val="28"/>
        </w:rPr>
        <w:t>，多集中在</w:t>
      </w:r>
      <w:r>
        <w:rPr>
          <w:rFonts w:hint="eastAsia"/>
          <w:color w:val="auto"/>
          <w:sz w:val="28"/>
          <w:szCs w:val="28"/>
        </w:rPr>
        <w:t>6</w:t>
      </w:r>
      <w:r>
        <w:rPr>
          <w:rFonts w:hint="eastAsia" w:ascii="宋体" w:hAnsi="宋体"/>
          <w:color w:val="auto"/>
          <w:sz w:val="28"/>
          <w:szCs w:val="28"/>
        </w:rPr>
        <w:t>～</w:t>
      </w:r>
      <w:r>
        <w:rPr>
          <w:rFonts w:hint="eastAsia"/>
          <w:color w:val="auto"/>
          <w:sz w:val="28"/>
          <w:szCs w:val="28"/>
        </w:rPr>
        <w:t>9</w:t>
      </w:r>
      <w:r>
        <w:rPr>
          <w:rFonts w:hint="eastAsia" w:ascii="宋体" w:hAnsi="宋体"/>
          <w:color w:val="auto"/>
          <w:sz w:val="28"/>
          <w:szCs w:val="28"/>
        </w:rPr>
        <w:t>月，占全年降水量的</w:t>
      </w:r>
      <w:r>
        <w:rPr>
          <w:rFonts w:hint="eastAsia"/>
          <w:color w:val="auto"/>
          <w:sz w:val="28"/>
          <w:szCs w:val="28"/>
        </w:rPr>
        <w:t>82.16</w:t>
      </w:r>
      <w:r>
        <w:rPr>
          <w:rFonts w:hint="eastAsia" w:ascii="宋体" w:hAnsi="宋体"/>
          <w:color w:val="auto"/>
          <w:sz w:val="28"/>
          <w:szCs w:val="28"/>
        </w:rPr>
        <w:t>％，年蒸发量</w:t>
      </w:r>
      <w:r>
        <w:rPr>
          <w:rFonts w:hint="eastAsia"/>
          <w:color w:val="auto"/>
          <w:sz w:val="28"/>
          <w:szCs w:val="28"/>
        </w:rPr>
        <w:t>1619.1mm</w:t>
      </w:r>
      <w:r>
        <w:rPr>
          <w:rFonts w:hint="eastAsia" w:ascii="宋体" w:hAnsi="宋体"/>
          <w:color w:val="auto"/>
          <w:sz w:val="28"/>
          <w:szCs w:val="28"/>
        </w:rPr>
        <w:t>，是年降水量的</w:t>
      </w:r>
      <w:r>
        <w:rPr>
          <w:rFonts w:hint="eastAsia"/>
          <w:color w:val="auto"/>
          <w:sz w:val="28"/>
          <w:szCs w:val="28"/>
        </w:rPr>
        <w:t>3.7</w:t>
      </w:r>
      <w:r>
        <w:rPr>
          <w:rFonts w:hint="eastAsia" w:ascii="宋体" w:hAnsi="宋体"/>
          <w:color w:val="auto"/>
          <w:sz w:val="28"/>
          <w:szCs w:val="28"/>
        </w:rPr>
        <w:t>倍；年平均风速</w:t>
      </w:r>
      <w:r>
        <w:rPr>
          <w:rFonts w:hint="eastAsia"/>
          <w:color w:val="auto"/>
          <w:sz w:val="28"/>
          <w:szCs w:val="28"/>
        </w:rPr>
        <w:t>2.4 m/s</w:t>
      </w:r>
      <w:r>
        <w:rPr>
          <w:rFonts w:hint="eastAsia" w:ascii="宋体" w:hAnsi="宋体"/>
          <w:color w:val="auto"/>
          <w:sz w:val="28"/>
          <w:szCs w:val="28"/>
        </w:rPr>
        <w:t>，日照</w:t>
      </w:r>
      <w:r>
        <w:rPr>
          <w:rFonts w:hint="eastAsia"/>
          <w:color w:val="auto"/>
          <w:sz w:val="28"/>
          <w:szCs w:val="28"/>
        </w:rPr>
        <w:t>2826</w:t>
      </w:r>
      <w:r>
        <w:rPr>
          <w:rFonts w:hint="eastAsia" w:ascii="宋体" w:hAnsi="宋体"/>
          <w:color w:val="auto"/>
          <w:sz w:val="28"/>
          <w:szCs w:val="28"/>
        </w:rPr>
        <w:t>小时，无霜期</w:t>
      </w:r>
      <w:r>
        <w:rPr>
          <w:rFonts w:hint="eastAsia"/>
          <w:color w:val="auto"/>
          <w:sz w:val="28"/>
          <w:szCs w:val="28"/>
        </w:rPr>
        <w:t>165</w:t>
      </w:r>
      <w:r>
        <w:rPr>
          <w:rFonts w:hint="eastAsia" w:ascii="宋体" w:hAnsi="宋体"/>
          <w:color w:val="auto"/>
          <w:sz w:val="28"/>
          <w:szCs w:val="28"/>
        </w:rPr>
        <w:t>天，季节性标准冻深为</w:t>
      </w:r>
      <w:r>
        <w:rPr>
          <w:rFonts w:hint="eastAsia"/>
          <w:color w:val="auto"/>
          <w:sz w:val="28"/>
          <w:szCs w:val="28"/>
        </w:rPr>
        <w:t>2.10m</w:t>
      </w:r>
      <w:r>
        <w:rPr>
          <w:rFonts w:hint="eastAsia" w:ascii="宋体" w:hAnsi="宋体"/>
          <w:color w:val="auto"/>
          <w:sz w:val="28"/>
          <w:szCs w:val="28"/>
        </w:rPr>
        <w:t>。</w:t>
      </w:r>
    </w:p>
    <w:p>
      <w:pPr>
        <w:spacing w:line="480" w:lineRule="exact"/>
        <w:ind w:firstLine="560" w:firstLineChars="200"/>
        <w:rPr>
          <w:color w:val="auto"/>
          <w:sz w:val="28"/>
          <w:szCs w:val="28"/>
        </w:rPr>
      </w:pPr>
      <w:r>
        <w:rPr>
          <w:rFonts w:hAnsi="宋体"/>
          <w:color w:val="auto"/>
          <w:sz w:val="28"/>
          <w:szCs w:val="28"/>
        </w:rPr>
        <w:t>本工程所在区域全年风向玫瑰图见图</w:t>
      </w:r>
      <w:r>
        <w:rPr>
          <w:color w:val="auto"/>
          <w:sz w:val="28"/>
          <w:szCs w:val="28"/>
        </w:rPr>
        <w:t>5.1-1</w:t>
      </w:r>
      <w:r>
        <w:rPr>
          <w:rFonts w:hAnsi="宋体"/>
          <w:color w:val="auto"/>
          <w:sz w:val="28"/>
          <w:szCs w:val="28"/>
        </w:rPr>
        <w:t>。</w:t>
      </w:r>
    </w:p>
    <w:p>
      <w:pPr>
        <w:snapToGrid w:val="0"/>
        <w:spacing w:line="500" w:lineRule="exact"/>
        <w:ind w:firstLine="420" w:firstLineChars="200"/>
        <w:textAlignment w:val="baseline"/>
        <w:rPr>
          <w:b/>
          <w:color w:val="auto"/>
        </w:rPr>
      </w:pPr>
      <w:r>
        <w:rPr>
          <w:color w:val="auto"/>
        </w:rPr>
        <w:drawing>
          <wp:anchor distT="0" distB="0" distL="114300" distR="114300" simplePos="0" relativeHeight="251677696" behindDoc="0" locked="0" layoutInCell="1" allowOverlap="1">
            <wp:simplePos x="0" y="0"/>
            <wp:positionH relativeFrom="column">
              <wp:posOffset>1652270</wp:posOffset>
            </wp:positionH>
            <wp:positionV relativeFrom="paragraph">
              <wp:posOffset>153035</wp:posOffset>
            </wp:positionV>
            <wp:extent cx="2181225" cy="2486025"/>
            <wp:effectExtent l="0" t="0" r="9525" b="9525"/>
            <wp:wrapNone/>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33"/>
                    <a:stretch>
                      <a:fillRect/>
                    </a:stretch>
                  </pic:blipFill>
                  <pic:spPr>
                    <a:xfrm>
                      <a:off x="0" y="0"/>
                      <a:ext cx="2181225" cy="2486025"/>
                    </a:xfrm>
                    <a:prstGeom prst="rect">
                      <a:avLst/>
                    </a:prstGeom>
                    <a:noFill/>
                    <a:ln>
                      <a:noFill/>
                    </a:ln>
                  </pic:spPr>
                </pic:pic>
              </a:graphicData>
            </a:graphic>
          </wp:anchor>
        </w:drawing>
      </w:r>
    </w:p>
    <w:p>
      <w:pPr>
        <w:pStyle w:val="12"/>
        <w:spacing w:line="360" w:lineRule="auto"/>
        <w:ind w:firstLine="0"/>
        <w:jc w:val="center"/>
        <w:rPr>
          <w:b/>
          <w:color w:val="auto"/>
        </w:rPr>
      </w:pPr>
    </w:p>
    <w:p>
      <w:pPr>
        <w:pStyle w:val="12"/>
        <w:spacing w:line="360" w:lineRule="auto"/>
        <w:ind w:firstLine="0"/>
        <w:jc w:val="center"/>
        <w:rPr>
          <w:b/>
          <w:color w:val="auto"/>
        </w:rPr>
      </w:pPr>
    </w:p>
    <w:p>
      <w:pPr>
        <w:pStyle w:val="12"/>
        <w:spacing w:line="360" w:lineRule="auto"/>
        <w:ind w:firstLine="0"/>
        <w:jc w:val="center"/>
        <w:rPr>
          <w:b/>
          <w:color w:val="auto"/>
        </w:rPr>
      </w:pPr>
    </w:p>
    <w:p>
      <w:pPr>
        <w:pStyle w:val="12"/>
        <w:spacing w:line="360" w:lineRule="auto"/>
        <w:ind w:firstLine="0"/>
        <w:jc w:val="center"/>
        <w:rPr>
          <w:b/>
          <w:color w:val="auto"/>
        </w:rPr>
      </w:pPr>
    </w:p>
    <w:p>
      <w:pPr>
        <w:pStyle w:val="12"/>
        <w:spacing w:line="360" w:lineRule="auto"/>
        <w:ind w:firstLine="0"/>
        <w:jc w:val="center"/>
        <w:rPr>
          <w:b/>
          <w:color w:val="auto"/>
        </w:rPr>
      </w:pPr>
    </w:p>
    <w:p>
      <w:pPr>
        <w:pStyle w:val="12"/>
        <w:spacing w:line="360" w:lineRule="auto"/>
        <w:ind w:firstLine="0"/>
        <w:jc w:val="center"/>
        <w:rPr>
          <w:b/>
          <w:color w:val="auto"/>
        </w:rPr>
      </w:pPr>
    </w:p>
    <w:p>
      <w:pPr>
        <w:pStyle w:val="12"/>
        <w:spacing w:line="360" w:lineRule="auto"/>
        <w:ind w:firstLine="0"/>
        <w:jc w:val="center"/>
        <w:rPr>
          <w:rFonts w:hint="eastAsia" w:hAnsi="宋体"/>
          <w:bCs/>
          <w:color w:val="auto"/>
          <w:sz w:val="28"/>
          <w:szCs w:val="28"/>
        </w:rPr>
      </w:pPr>
    </w:p>
    <w:p>
      <w:pPr>
        <w:pStyle w:val="8"/>
        <w:numPr>
          <w:ilvl w:val="5"/>
          <w:numId w:val="2"/>
        </w:numPr>
        <w:bidi w:val="0"/>
        <w:rPr>
          <w:color w:val="auto"/>
        </w:rPr>
      </w:pPr>
      <w:r>
        <w:rPr>
          <w:color w:val="auto"/>
        </w:rPr>
        <w:t>本工程所在区域全年风向玫瑰图</w:t>
      </w:r>
    </w:p>
    <w:p>
      <w:pPr>
        <w:pStyle w:val="5"/>
        <w:numPr>
          <w:ilvl w:val="2"/>
          <w:numId w:val="2"/>
        </w:numPr>
        <w:spacing w:before="159" w:beforeLines="50" w:after="159" w:afterLines="50" w:line="480" w:lineRule="exact"/>
        <w:rPr>
          <w:b w:val="0"/>
          <w:snapToGrid w:val="0"/>
          <w:color w:val="auto"/>
          <w:kern w:val="0"/>
          <w:sz w:val="28"/>
          <w:szCs w:val="28"/>
        </w:rPr>
      </w:pPr>
      <w:r>
        <w:rPr>
          <w:rFonts w:hAnsi="宋体"/>
          <w:b w:val="0"/>
          <w:snapToGrid w:val="0"/>
          <w:color w:val="auto"/>
          <w:kern w:val="0"/>
          <w:sz w:val="28"/>
          <w:szCs w:val="28"/>
        </w:rPr>
        <w:t>空气环境影响预测与评价</w:t>
      </w:r>
    </w:p>
    <w:p>
      <w:pPr>
        <w:spacing w:line="480" w:lineRule="exact"/>
        <w:ind w:firstLine="560" w:firstLineChars="200"/>
        <w:rPr>
          <w:color w:val="auto"/>
          <w:sz w:val="28"/>
          <w:szCs w:val="28"/>
        </w:rPr>
      </w:pPr>
      <w:r>
        <w:rPr>
          <w:rFonts w:hAnsi="宋体"/>
          <w:color w:val="auto"/>
          <w:sz w:val="28"/>
          <w:szCs w:val="28"/>
        </w:rPr>
        <w:t>本工程对大气环境的影响主要是施工产生的扬尘、运输车辆排放的尾气、柴油机燃烧排放的烟气。</w:t>
      </w:r>
    </w:p>
    <w:p>
      <w:pPr>
        <w:pStyle w:val="6"/>
        <w:numPr>
          <w:ilvl w:val="3"/>
          <w:numId w:val="2"/>
        </w:numPr>
        <w:snapToGrid w:val="0"/>
        <w:spacing w:before="159" w:beforeLines="50" w:after="159" w:afterLines="50" w:line="500" w:lineRule="exact"/>
        <w:rPr>
          <w:rFonts w:ascii="Times New Roman" w:hAnsi="Times New Roman" w:eastAsia="宋体"/>
          <w:b w:val="0"/>
          <w:bCs w:val="0"/>
          <w:color w:val="auto"/>
          <w:kern w:val="0"/>
        </w:rPr>
      </w:pPr>
      <w:r>
        <w:rPr>
          <w:rFonts w:ascii="Times New Roman" w:hAnsi="宋体" w:eastAsia="宋体"/>
          <w:b w:val="0"/>
          <w:bCs w:val="0"/>
          <w:color w:val="auto"/>
          <w:kern w:val="0"/>
        </w:rPr>
        <w:t>扬尘影响</w:t>
      </w:r>
    </w:p>
    <w:p>
      <w:pPr>
        <w:spacing w:line="480" w:lineRule="exact"/>
        <w:ind w:firstLine="560" w:firstLineChars="200"/>
        <w:rPr>
          <w:color w:val="auto"/>
          <w:sz w:val="28"/>
          <w:szCs w:val="28"/>
        </w:rPr>
      </w:pPr>
      <w:r>
        <w:rPr>
          <w:rFonts w:hAnsi="宋体"/>
          <w:color w:val="auto"/>
          <w:sz w:val="28"/>
          <w:szCs w:val="28"/>
        </w:rPr>
        <w:t>施工扬尘对空气环境影响的最主要的两个途径分别是：一、运输车辆在运料过程产生的扬尘和在施工场地中所带起的扬尘；二、施工过程中产生的松散的土壤在自然风力的作用下产生的扬尘。</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）车辆扬尘</w:t>
      </w:r>
    </w:p>
    <w:p>
      <w:pPr>
        <w:spacing w:line="480" w:lineRule="exact"/>
        <w:ind w:firstLine="560" w:firstLineChars="200"/>
        <w:rPr>
          <w:color w:val="auto"/>
          <w:sz w:val="28"/>
          <w:szCs w:val="28"/>
        </w:rPr>
      </w:pPr>
      <w:r>
        <w:rPr>
          <w:rFonts w:hAnsi="宋体"/>
          <w:color w:val="auto"/>
          <w:sz w:val="28"/>
          <w:szCs w:val="28"/>
        </w:rPr>
        <w:t>施工工地由运输车辆行驶产生的扬尘约占扬尘总量的</w:t>
      </w:r>
      <w:r>
        <w:rPr>
          <w:color w:val="auto"/>
          <w:sz w:val="28"/>
          <w:szCs w:val="28"/>
        </w:rPr>
        <w:t>60%</w:t>
      </w:r>
      <w:r>
        <w:rPr>
          <w:rFonts w:hAnsi="宋体"/>
          <w:color w:val="auto"/>
          <w:sz w:val="28"/>
          <w:szCs w:val="28"/>
        </w:rPr>
        <w:t>，主要与道路路面及车辆行驶速度有关。在同样路面清洁情况下，车速越快，扬尘量越大；而在同样车速情况下，路面清洁度越差，则扬尘量越大。抑制扬尘的一个简洁有效的措施是洒水。表</w:t>
      </w:r>
      <w:r>
        <w:rPr>
          <w:color w:val="auto"/>
          <w:sz w:val="28"/>
          <w:szCs w:val="28"/>
        </w:rPr>
        <w:t>5.1-</w:t>
      </w:r>
      <w:r>
        <w:rPr>
          <w:rFonts w:hint="eastAsia"/>
          <w:color w:val="auto"/>
          <w:sz w:val="28"/>
          <w:szCs w:val="28"/>
          <w:lang w:val="en-US" w:eastAsia="zh-CN"/>
        </w:rPr>
        <w:t>1</w:t>
      </w:r>
      <w:r>
        <w:rPr>
          <w:rFonts w:hAnsi="宋体"/>
          <w:color w:val="auto"/>
          <w:sz w:val="28"/>
          <w:szCs w:val="28"/>
        </w:rPr>
        <w:t>为施工场地洒水抑尘的试验结果。由该表数据可看出对施工场地实施每天洒水</w:t>
      </w:r>
      <w:r>
        <w:rPr>
          <w:color w:val="auto"/>
          <w:sz w:val="28"/>
          <w:szCs w:val="28"/>
        </w:rPr>
        <w:t>4-5</w:t>
      </w:r>
      <w:r>
        <w:rPr>
          <w:rFonts w:hAnsi="宋体"/>
          <w:color w:val="auto"/>
          <w:sz w:val="28"/>
          <w:szCs w:val="28"/>
        </w:rPr>
        <w:t>次进行抑尘，可将</w:t>
      </w:r>
      <w:r>
        <w:rPr>
          <w:color w:val="auto"/>
          <w:sz w:val="28"/>
          <w:szCs w:val="28"/>
        </w:rPr>
        <w:t>TSP</w:t>
      </w:r>
      <w:r>
        <w:rPr>
          <w:rFonts w:hAnsi="宋体"/>
          <w:color w:val="auto"/>
          <w:sz w:val="28"/>
          <w:szCs w:val="28"/>
        </w:rPr>
        <w:t>污染距离缩小到</w:t>
      </w:r>
      <w:r>
        <w:rPr>
          <w:color w:val="auto"/>
          <w:sz w:val="28"/>
          <w:szCs w:val="28"/>
        </w:rPr>
        <w:t>20-50m</w:t>
      </w:r>
      <w:r>
        <w:rPr>
          <w:rFonts w:hAnsi="宋体"/>
          <w:color w:val="auto"/>
          <w:sz w:val="28"/>
          <w:szCs w:val="28"/>
        </w:rPr>
        <w:t>范围。</w:t>
      </w:r>
    </w:p>
    <w:p>
      <w:pPr>
        <w:pStyle w:val="7"/>
        <w:numPr>
          <w:ilvl w:val="4"/>
          <w:numId w:val="4"/>
        </w:numPr>
        <w:bidi w:val="0"/>
        <w:rPr>
          <w:color w:val="auto"/>
        </w:rPr>
      </w:pPr>
      <w:r>
        <w:rPr>
          <w:rFonts w:hAnsi="宋体"/>
          <w:color w:val="auto"/>
        </w:rPr>
        <w:t>施工场地洒水抑尘试验结果</w:t>
      </w:r>
      <w:r>
        <w:rPr>
          <w:color w:val="auto"/>
        </w:rPr>
        <w:t xml:space="preserve">  </w:t>
      </w:r>
      <w:r>
        <w:rPr>
          <w:rFonts w:hAnsi="宋体"/>
          <w:color w:val="auto"/>
        </w:rPr>
        <w:t>单位：</w:t>
      </w:r>
      <w:r>
        <w:rPr>
          <w:color w:val="auto"/>
        </w:rPr>
        <w:t>mg/m</w:t>
      </w:r>
      <w:r>
        <w:rPr>
          <w:color w:val="auto"/>
          <w:vertAlign w:val="superscript"/>
        </w:rPr>
        <w:t>3</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542"/>
        <w:gridCol w:w="1277"/>
        <w:gridCol w:w="1274"/>
        <w:gridCol w:w="1486"/>
        <w:gridCol w:w="127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3819" w:type="dxa"/>
            <w:gridSpan w:val="2"/>
            <w:tcBorders>
              <w:top w:val="single" w:color="auto" w:sz="4" w:space="0"/>
              <w:left w:val="single" w:color="auto" w:sz="4" w:space="0"/>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宋体"/>
                <w:color w:val="auto"/>
                <w:sz w:val="21"/>
                <w:szCs w:val="21"/>
              </w:rPr>
              <w:t>距离</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5m</w:t>
            </w:r>
          </w:p>
        </w:tc>
        <w:tc>
          <w:tcPr>
            <w:tcW w:w="1486"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20m</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50m</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2" w:type="dxa"/>
            <w:vMerge w:val="restart"/>
            <w:tcBorders>
              <w:top w:val="nil"/>
              <w:left w:val="single" w:color="auto" w:sz="4" w:space="0"/>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TSP</w:t>
            </w:r>
            <w:r>
              <w:rPr>
                <w:rFonts w:hint="default" w:ascii="Times New Roman" w:hAnsi="宋体"/>
                <w:color w:val="auto"/>
                <w:sz w:val="21"/>
                <w:szCs w:val="21"/>
              </w:rPr>
              <w:t>小时平均浓度</w:t>
            </w:r>
          </w:p>
        </w:tc>
        <w:tc>
          <w:tcPr>
            <w:tcW w:w="1277"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宋体"/>
                <w:color w:val="auto"/>
                <w:sz w:val="21"/>
                <w:szCs w:val="21"/>
              </w:rPr>
              <w:t>不洒水</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10.14</w:t>
            </w:r>
          </w:p>
        </w:tc>
        <w:tc>
          <w:tcPr>
            <w:tcW w:w="1486"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2.89</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1.15</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542" w:type="dxa"/>
            <w:vMerge w:val="continue"/>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color w:val="auto"/>
                <w:szCs w:val="21"/>
              </w:rPr>
            </w:pPr>
          </w:p>
        </w:tc>
        <w:tc>
          <w:tcPr>
            <w:tcW w:w="1277"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宋体"/>
                <w:color w:val="auto"/>
                <w:sz w:val="21"/>
                <w:szCs w:val="21"/>
              </w:rPr>
              <w:t>洒水</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2.01</w:t>
            </w:r>
          </w:p>
        </w:tc>
        <w:tc>
          <w:tcPr>
            <w:tcW w:w="1486"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1.40</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0.67</w:t>
            </w:r>
          </w:p>
        </w:tc>
        <w:tc>
          <w:tcPr>
            <w:tcW w:w="1274" w:type="dxa"/>
            <w:tcBorders>
              <w:top w:val="single" w:color="auto" w:sz="4" w:space="0"/>
              <w:left w:val="nil"/>
              <w:bottom w:val="single" w:color="auto" w:sz="4" w:space="0"/>
              <w:right w:val="single" w:color="auto" w:sz="4" w:space="0"/>
            </w:tcBorders>
            <w:noWrap w:val="0"/>
            <w:vAlign w:val="center"/>
          </w:tcPr>
          <w:p>
            <w:pPr>
              <w:pStyle w:val="20"/>
              <w:keepNext w:val="0"/>
              <w:keepLines w:val="0"/>
              <w:suppressLineNumbers w:val="0"/>
              <w:spacing w:before="0" w:beforeAutospacing="0" w:after="0" w:afterAutospacing="0" w:line="240" w:lineRule="atLeast"/>
              <w:ind w:left="0" w:right="0"/>
              <w:jc w:val="center"/>
              <w:rPr>
                <w:rFonts w:hint="default" w:ascii="Times New Roman" w:hAnsi="Times New Roman"/>
                <w:color w:val="auto"/>
                <w:sz w:val="21"/>
                <w:szCs w:val="21"/>
              </w:rPr>
            </w:pPr>
            <w:r>
              <w:rPr>
                <w:rFonts w:hint="default" w:ascii="Times New Roman" w:hAnsi="Times New Roman"/>
                <w:color w:val="auto"/>
                <w:sz w:val="21"/>
                <w:szCs w:val="21"/>
              </w:rPr>
              <w:t>0.60</w:t>
            </w:r>
          </w:p>
        </w:tc>
      </w:tr>
    </w:tbl>
    <w:p>
      <w:pPr>
        <w:spacing w:line="48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）自然风力扬尘</w:t>
      </w:r>
    </w:p>
    <w:p>
      <w:pPr>
        <w:spacing w:line="480" w:lineRule="exact"/>
        <w:ind w:firstLine="560" w:firstLineChars="200"/>
        <w:rPr>
          <w:color w:val="auto"/>
          <w:sz w:val="28"/>
          <w:szCs w:val="28"/>
        </w:rPr>
      </w:pPr>
      <w:r>
        <w:rPr>
          <w:rFonts w:hAnsi="宋体"/>
          <w:color w:val="auto"/>
          <w:sz w:val="28"/>
          <w:szCs w:val="28"/>
        </w:rPr>
        <w:t>扬尘在空气中的飘扬距离与空气动力特性有关，主要是与风速和大气稳定度关系密切。在大气稳定度处于稳定状态时，其传播距离较近，风速较小时，其传播距离也较近。地区内大气特征及地面风场特征以中性</w:t>
      </w:r>
      <w:r>
        <w:rPr>
          <w:color w:val="auto"/>
          <w:sz w:val="28"/>
          <w:szCs w:val="28"/>
        </w:rPr>
        <w:t>D</w:t>
      </w:r>
      <w:r>
        <w:rPr>
          <w:rFonts w:hAnsi="宋体"/>
          <w:color w:val="auto"/>
          <w:sz w:val="28"/>
          <w:szCs w:val="28"/>
        </w:rPr>
        <w:t>类稳定度为主，只是在春季大风天气较多，其特征气象条件较不利于扬尘扩散。根据类比调查，一般情况下，施工场地、施工道路在自然风作用下产生的扬尘所影响的范围在</w:t>
      </w:r>
      <w:r>
        <w:rPr>
          <w:color w:val="auto"/>
          <w:sz w:val="28"/>
          <w:szCs w:val="28"/>
        </w:rPr>
        <w:t>100m</w:t>
      </w:r>
      <w:r>
        <w:rPr>
          <w:rFonts w:hAnsi="宋体"/>
          <w:color w:val="auto"/>
          <w:sz w:val="28"/>
          <w:szCs w:val="28"/>
        </w:rPr>
        <w:t>以内，距施工场地</w:t>
      </w:r>
      <w:r>
        <w:rPr>
          <w:color w:val="auto"/>
          <w:sz w:val="28"/>
          <w:szCs w:val="28"/>
        </w:rPr>
        <w:t>50m</w:t>
      </w:r>
      <w:r>
        <w:rPr>
          <w:rFonts w:hAnsi="宋体"/>
          <w:color w:val="auto"/>
          <w:sz w:val="28"/>
          <w:szCs w:val="28"/>
        </w:rPr>
        <w:t>处的扬尘（</w:t>
      </w:r>
      <w:r>
        <w:rPr>
          <w:color w:val="auto"/>
          <w:sz w:val="28"/>
          <w:szCs w:val="28"/>
        </w:rPr>
        <w:t>TSP</w:t>
      </w:r>
      <w:r>
        <w:rPr>
          <w:rFonts w:hAnsi="宋体"/>
          <w:color w:val="auto"/>
          <w:sz w:val="28"/>
          <w:szCs w:val="28"/>
        </w:rPr>
        <w:t>）可降至</w:t>
      </w:r>
      <w:r>
        <w:rPr>
          <w:color w:val="auto"/>
          <w:sz w:val="28"/>
          <w:szCs w:val="28"/>
        </w:rPr>
        <w:t>1.00mg/m</w:t>
      </w:r>
      <w:r>
        <w:rPr>
          <w:color w:val="auto"/>
          <w:sz w:val="28"/>
          <w:szCs w:val="28"/>
          <w:vertAlign w:val="superscript"/>
        </w:rPr>
        <w:t>3</w:t>
      </w:r>
      <w:r>
        <w:rPr>
          <w:rFonts w:hAnsi="宋体"/>
          <w:color w:val="auto"/>
          <w:sz w:val="28"/>
          <w:szCs w:val="28"/>
        </w:rPr>
        <w:t>。</w:t>
      </w:r>
    </w:p>
    <w:p>
      <w:pPr>
        <w:pStyle w:val="6"/>
        <w:numPr>
          <w:ilvl w:val="3"/>
          <w:numId w:val="4"/>
        </w:numPr>
        <w:bidi w:val="0"/>
        <w:rPr>
          <w:color w:val="auto"/>
        </w:rPr>
      </w:pPr>
      <w:r>
        <w:rPr>
          <w:color w:val="auto"/>
        </w:rPr>
        <w:t>车辆尾气</w:t>
      </w:r>
    </w:p>
    <w:p>
      <w:pPr>
        <w:spacing w:line="480" w:lineRule="exact"/>
        <w:ind w:firstLine="560" w:firstLineChars="200"/>
        <w:rPr>
          <w:color w:val="auto"/>
          <w:sz w:val="28"/>
          <w:szCs w:val="28"/>
        </w:rPr>
      </w:pPr>
      <w:r>
        <w:rPr>
          <w:rFonts w:hAnsi="宋体"/>
          <w:color w:val="auto"/>
          <w:sz w:val="28"/>
          <w:szCs w:val="28"/>
        </w:rPr>
        <w:t>运输车辆排放的尾气其主要成分为一氧化碳（</w:t>
      </w:r>
      <w:r>
        <w:rPr>
          <w:color w:val="auto"/>
          <w:sz w:val="28"/>
          <w:szCs w:val="28"/>
        </w:rPr>
        <w:t>CO</w:t>
      </w:r>
      <w:r>
        <w:rPr>
          <w:rFonts w:hAnsi="宋体"/>
          <w:color w:val="auto"/>
          <w:sz w:val="28"/>
          <w:szCs w:val="28"/>
        </w:rPr>
        <w:t>）、碳氢化合物（</w:t>
      </w:r>
      <w:r>
        <w:rPr>
          <w:color w:val="auto"/>
          <w:sz w:val="28"/>
          <w:szCs w:val="28"/>
        </w:rPr>
        <w:t>HC</w:t>
      </w:r>
      <w:r>
        <w:rPr>
          <w:rFonts w:hAnsi="宋体"/>
          <w:color w:val="auto"/>
          <w:sz w:val="28"/>
          <w:szCs w:val="28"/>
        </w:rPr>
        <w:t>）、氮氧化物（</w:t>
      </w:r>
      <w:r>
        <w:rPr>
          <w:color w:val="auto"/>
          <w:sz w:val="28"/>
          <w:szCs w:val="28"/>
        </w:rPr>
        <w:t>NO</w:t>
      </w:r>
      <w:r>
        <w:rPr>
          <w:color w:val="auto"/>
          <w:sz w:val="28"/>
          <w:szCs w:val="28"/>
          <w:vertAlign w:val="subscript"/>
        </w:rPr>
        <w:t>X</w:t>
      </w:r>
      <w:r>
        <w:rPr>
          <w:rFonts w:hAnsi="宋体"/>
          <w:color w:val="auto"/>
          <w:sz w:val="28"/>
          <w:szCs w:val="28"/>
        </w:rPr>
        <w:t>）和颗粒物（</w:t>
      </w:r>
      <w:r>
        <w:rPr>
          <w:color w:val="auto"/>
          <w:sz w:val="28"/>
          <w:szCs w:val="28"/>
        </w:rPr>
        <w:t>PM</w:t>
      </w:r>
      <w:r>
        <w:rPr>
          <w:rFonts w:hAnsi="宋体"/>
          <w:color w:val="auto"/>
          <w:sz w:val="28"/>
          <w:szCs w:val="28"/>
        </w:rPr>
        <w:t>）。通过定期对车辆的维护和保养，保证车辆的尾气净化系统正常运行，废气排放量很少，且为流动源，对周围空气环境影响很小。</w:t>
      </w:r>
    </w:p>
    <w:p>
      <w:pPr>
        <w:pStyle w:val="6"/>
        <w:numPr>
          <w:ilvl w:val="3"/>
          <w:numId w:val="4"/>
        </w:numPr>
        <w:bidi w:val="0"/>
        <w:rPr>
          <w:color w:val="auto"/>
        </w:rPr>
      </w:pPr>
      <w:r>
        <w:rPr>
          <w:color w:val="auto"/>
        </w:rPr>
        <w:t>柴油机燃烧燃气</w:t>
      </w:r>
    </w:p>
    <w:p>
      <w:pPr>
        <w:spacing w:line="480" w:lineRule="exact"/>
        <w:ind w:firstLine="560" w:firstLineChars="200"/>
        <w:rPr>
          <w:rFonts w:hint="eastAsia" w:hAnsi="宋体"/>
          <w:color w:val="auto"/>
          <w:sz w:val="28"/>
          <w:szCs w:val="28"/>
        </w:rPr>
      </w:pPr>
      <w:r>
        <w:rPr>
          <w:rFonts w:hAnsi="宋体"/>
          <w:color w:val="auto"/>
          <w:sz w:val="28"/>
          <w:szCs w:val="28"/>
        </w:rPr>
        <w:t>本工程施工期尾气对大气环境的影响主要是钻井柴油发电机和施工车辆排放的尾气，由于项目钻井施工期周期较短，且施工所在区域较为空旷，施工结束后随之消失。柴油发电机排放的废气及车辆尾气采用尾气净化器处理，污染物排放满足《非道路移动机械用柴油机排气污染物排放限值及测量方法（中国第三阶段）》（</w:t>
      </w:r>
      <w:r>
        <w:rPr>
          <w:color w:val="auto"/>
          <w:sz w:val="28"/>
          <w:szCs w:val="28"/>
        </w:rPr>
        <w:t>GB20891-2014</w:t>
      </w:r>
      <w:r>
        <w:rPr>
          <w:rFonts w:hAnsi="宋体"/>
          <w:color w:val="auto"/>
          <w:sz w:val="28"/>
          <w:szCs w:val="28"/>
        </w:rPr>
        <w:t>）</w:t>
      </w:r>
      <w:r>
        <w:rPr>
          <w:rFonts w:hint="eastAsia" w:hAnsi="宋体"/>
          <w:color w:val="auto"/>
          <w:sz w:val="28"/>
          <w:szCs w:val="28"/>
        </w:rPr>
        <w:t>修改单</w:t>
      </w:r>
      <w:r>
        <w:rPr>
          <w:rFonts w:hAnsi="宋体"/>
          <w:color w:val="auto"/>
          <w:sz w:val="28"/>
          <w:szCs w:val="28"/>
        </w:rPr>
        <w:t>标准要求，对大气环境的影响较小。</w:t>
      </w:r>
    </w:p>
    <w:p>
      <w:pPr>
        <w:pStyle w:val="6"/>
        <w:numPr>
          <w:ilvl w:val="3"/>
          <w:numId w:val="4"/>
        </w:numPr>
        <w:bidi w:val="0"/>
        <w:rPr>
          <w:color w:val="auto"/>
        </w:rPr>
      </w:pPr>
      <w:r>
        <w:rPr>
          <w:rFonts w:hint="eastAsia"/>
          <w:color w:val="auto"/>
        </w:rPr>
        <w:t>施工期放空火炬燃烧废气</w:t>
      </w:r>
      <w:r>
        <w:rPr>
          <w:color w:val="auto"/>
        </w:rPr>
        <w:t xml:space="preserve"> </w:t>
      </w:r>
    </w:p>
    <w:p>
      <w:pPr>
        <w:spacing w:line="480" w:lineRule="exact"/>
        <w:ind w:firstLine="560" w:firstLineChars="200"/>
        <w:rPr>
          <w:rFonts w:hint="eastAsia" w:hAnsi="宋体"/>
          <w:color w:val="auto"/>
          <w:sz w:val="28"/>
          <w:szCs w:val="28"/>
        </w:rPr>
      </w:pPr>
      <w:r>
        <w:rPr>
          <w:rFonts w:hint="eastAsia" w:hAnsi="宋体"/>
          <w:color w:val="auto"/>
          <w:sz w:val="28"/>
          <w:szCs w:val="28"/>
        </w:rPr>
        <w:t>本工程试气作业产气通过放空管线引入井场临时设置的放空火炬燃烧处理，火炬装置试气作业期间始终连续燃烧，保证产出气全部充分燃烧后排放，废气中主要污染物为</w:t>
      </w:r>
      <w:r>
        <w:rPr>
          <w:rFonts w:hAnsi="宋体"/>
          <w:color w:val="auto"/>
          <w:sz w:val="28"/>
          <w:szCs w:val="28"/>
        </w:rPr>
        <w:t>SO</w:t>
      </w:r>
      <w:r>
        <w:rPr>
          <w:rFonts w:hAnsi="宋体"/>
          <w:color w:val="auto"/>
          <w:sz w:val="28"/>
          <w:szCs w:val="28"/>
          <w:vertAlign w:val="subscript"/>
        </w:rPr>
        <w:t>2</w:t>
      </w:r>
      <w:r>
        <w:rPr>
          <w:rFonts w:hint="eastAsia" w:hAnsi="宋体"/>
          <w:color w:val="auto"/>
          <w:sz w:val="28"/>
          <w:szCs w:val="28"/>
        </w:rPr>
        <w:t>及</w:t>
      </w:r>
      <w:r>
        <w:rPr>
          <w:rFonts w:hAnsi="宋体"/>
          <w:color w:val="auto"/>
          <w:sz w:val="28"/>
          <w:szCs w:val="28"/>
        </w:rPr>
        <w:t>NO</w:t>
      </w:r>
      <w:r>
        <w:rPr>
          <w:rFonts w:hAnsi="宋体"/>
          <w:color w:val="auto"/>
          <w:sz w:val="28"/>
          <w:szCs w:val="28"/>
          <w:vertAlign w:val="subscript"/>
        </w:rPr>
        <w:t>x</w:t>
      </w:r>
      <w:r>
        <w:rPr>
          <w:rFonts w:hint="eastAsia" w:hAnsi="宋体"/>
          <w:color w:val="auto"/>
          <w:sz w:val="28"/>
          <w:szCs w:val="28"/>
        </w:rPr>
        <w:t>。本工程试气作业总时间为</w:t>
      </w:r>
      <w:r>
        <w:rPr>
          <w:rFonts w:hAnsi="宋体"/>
          <w:color w:val="auto"/>
          <w:sz w:val="28"/>
          <w:szCs w:val="28"/>
        </w:rPr>
        <w:t>14</w:t>
      </w:r>
      <w:r>
        <w:rPr>
          <w:rFonts w:hint="eastAsia" w:hAnsi="宋体"/>
          <w:color w:val="auto"/>
          <w:sz w:val="28"/>
          <w:szCs w:val="28"/>
        </w:rPr>
        <w:t>天，时间较短且所在区域较开阔，废气扩散较快，其对附近环境影响是暂时的，随着试气作业结束后，放空火炬燃烧废气对环境空气的影响会逐渐消失。</w:t>
      </w:r>
    </w:p>
    <w:p>
      <w:pPr>
        <w:pStyle w:val="5"/>
        <w:numPr>
          <w:ilvl w:val="2"/>
          <w:numId w:val="4"/>
        </w:numPr>
        <w:bidi w:val="0"/>
        <w:rPr>
          <w:color w:val="auto"/>
        </w:rPr>
      </w:pPr>
      <w:r>
        <w:rPr>
          <w:color w:val="auto"/>
        </w:rPr>
        <w:t>空气环境影响评价结论</w:t>
      </w:r>
    </w:p>
    <w:p>
      <w:pPr>
        <w:spacing w:line="480" w:lineRule="exact"/>
        <w:ind w:firstLine="560" w:firstLineChars="200"/>
        <w:rPr>
          <w:color w:val="auto"/>
          <w:sz w:val="28"/>
          <w:szCs w:val="28"/>
        </w:rPr>
      </w:pPr>
      <w:r>
        <w:rPr>
          <w:rFonts w:hAnsi="宋体"/>
          <w:color w:val="auto"/>
          <w:sz w:val="28"/>
          <w:szCs w:val="28"/>
        </w:rPr>
        <w:t>本工程施工期对大气环境的影响主要来自钻井时柴油机和施工车辆排放的尾气</w:t>
      </w:r>
      <w:r>
        <w:rPr>
          <w:rFonts w:hint="eastAsia" w:hAnsi="宋体"/>
          <w:color w:val="auto"/>
          <w:sz w:val="28"/>
          <w:szCs w:val="28"/>
        </w:rPr>
        <w:t>、放空火炬燃烧废气</w:t>
      </w:r>
      <w:r>
        <w:rPr>
          <w:rFonts w:hAnsi="宋体"/>
          <w:color w:val="auto"/>
          <w:sz w:val="28"/>
          <w:szCs w:val="28"/>
        </w:rPr>
        <w:t>以及道路、运输车辆产生的扬尘，由于这些影响都是暂时性的，施工一结束就随之消失，通过落实相应的预防措施，对周围空气环境产生的影响较小。</w:t>
      </w:r>
    </w:p>
    <w:p>
      <w:pPr>
        <w:pStyle w:val="4"/>
        <w:numPr>
          <w:ilvl w:val="1"/>
          <w:numId w:val="4"/>
        </w:numPr>
        <w:bidi w:val="0"/>
        <w:rPr>
          <w:rFonts w:ascii="宋体" w:cs="宋体"/>
          <w:color w:val="auto"/>
          <w:kern w:val="0"/>
          <w:sz w:val="28"/>
          <w:szCs w:val="28"/>
        </w:rPr>
      </w:pPr>
      <w:bookmarkStart w:id="579" w:name="C.6.3 项目大气污染物年排放量核算"/>
      <w:bookmarkEnd w:id="579"/>
      <w:bookmarkStart w:id="580" w:name="bookmark90"/>
      <w:bookmarkEnd w:id="580"/>
      <w:bookmarkStart w:id="581" w:name="_Toc4488"/>
      <w:bookmarkStart w:id="582" w:name="_Toc96083869"/>
      <w:r>
        <w:rPr>
          <w:rFonts w:hint="eastAsia" w:ascii="Times New Roman" w:hAnsi="宋体" w:eastAsia="宋体"/>
          <w:b w:val="0"/>
          <w:snapToGrid w:val="0"/>
          <w:color w:val="auto"/>
          <w:kern w:val="0"/>
          <w:sz w:val="30"/>
          <w:szCs w:val="30"/>
        </w:rPr>
        <w:t>地表水环境影响分析</w:t>
      </w:r>
      <w:bookmarkEnd w:id="581"/>
      <w:bookmarkEnd w:id="582"/>
      <w:r>
        <w:rPr>
          <w:rFonts w:ascii="宋体" w:cs="宋体"/>
          <w:color w:val="auto"/>
          <w:kern w:val="0"/>
          <w:sz w:val="28"/>
          <w:szCs w:val="28"/>
        </w:rPr>
        <w:t xml:space="preserve"> </w:t>
      </w:r>
    </w:p>
    <w:p>
      <w:pPr>
        <w:spacing w:line="480" w:lineRule="exact"/>
        <w:ind w:firstLine="560" w:firstLineChars="200"/>
        <w:rPr>
          <w:rFonts w:hAnsi="宋体"/>
          <w:color w:val="auto"/>
          <w:sz w:val="28"/>
          <w:szCs w:val="28"/>
        </w:rPr>
      </w:pPr>
      <w:r>
        <w:rPr>
          <w:rFonts w:hint="eastAsia" w:hAnsi="宋体"/>
          <w:color w:val="auto"/>
          <w:sz w:val="28"/>
          <w:szCs w:val="28"/>
        </w:rPr>
        <w:t>本工程仅开展钻井施工</w:t>
      </w:r>
      <w:r>
        <w:rPr>
          <w:rFonts w:hint="eastAsia" w:hAnsi="宋体"/>
          <w:color w:val="auto"/>
          <w:sz w:val="28"/>
          <w:szCs w:val="28"/>
          <w:lang w:eastAsia="zh-CN"/>
        </w:rPr>
        <w:t>，不包括</w:t>
      </w:r>
      <w:r>
        <w:rPr>
          <w:rFonts w:hint="eastAsia" w:hAnsi="宋体"/>
          <w:color w:val="auto"/>
          <w:sz w:val="28"/>
          <w:szCs w:val="28"/>
        </w:rPr>
        <w:t>压裂</w:t>
      </w:r>
      <w:r>
        <w:rPr>
          <w:rFonts w:hint="eastAsia" w:hAnsi="宋体"/>
          <w:color w:val="auto"/>
          <w:sz w:val="28"/>
          <w:szCs w:val="28"/>
          <w:lang w:eastAsia="zh-CN"/>
        </w:rPr>
        <w:t>、射孔和酸化等</w:t>
      </w:r>
      <w:r>
        <w:rPr>
          <w:rFonts w:hint="eastAsia" w:hAnsi="宋体"/>
          <w:color w:val="auto"/>
          <w:sz w:val="28"/>
          <w:szCs w:val="28"/>
        </w:rPr>
        <w:t>，不涉及运营期，施工期废水包括钻井废水及人员生活污水等，其中钻井废水</w:t>
      </w:r>
      <w:r>
        <w:rPr>
          <w:rFonts w:hAnsi="宋体"/>
          <w:color w:val="auto"/>
          <w:sz w:val="28"/>
          <w:szCs w:val="28"/>
        </w:rPr>
        <w:t>产生量约</w:t>
      </w:r>
      <w:r>
        <w:rPr>
          <w:rFonts w:hint="eastAsia" w:hAnsi="宋体"/>
          <w:color w:val="auto"/>
          <w:sz w:val="28"/>
          <w:szCs w:val="28"/>
          <w:lang w:val="en-US" w:eastAsia="zh-CN"/>
        </w:rPr>
        <w:t xml:space="preserve">24960 </w:t>
      </w:r>
      <w:r>
        <w:rPr>
          <w:rFonts w:hAnsi="宋体"/>
          <w:color w:val="auto"/>
          <w:sz w:val="28"/>
          <w:szCs w:val="28"/>
        </w:rPr>
        <w:t>m</w:t>
      </w:r>
      <w:r>
        <w:rPr>
          <w:rFonts w:hAnsi="宋体"/>
          <w:color w:val="auto"/>
          <w:sz w:val="28"/>
          <w:szCs w:val="28"/>
          <w:vertAlign w:val="superscript"/>
        </w:rPr>
        <w:t>3</w:t>
      </w:r>
      <w:r>
        <w:rPr>
          <w:rFonts w:hint="eastAsia" w:hAnsi="宋体"/>
          <w:color w:val="auto"/>
          <w:sz w:val="28"/>
          <w:szCs w:val="28"/>
        </w:rPr>
        <w:t>，本工程钻井过程中产生的钻井污水、</w:t>
      </w:r>
      <w:r>
        <w:rPr>
          <w:rFonts w:hint="eastAsia" w:hAnsi="宋体"/>
          <w:color w:val="auto"/>
          <w:sz w:val="28"/>
          <w:szCs w:val="28"/>
          <w:lang w:val="en-US" w:eastAsia="zh-CN"/>
        </w:rPr>
        <w:t>废弃水基</w:t>
      </w:r>
      <w:r>
        <w:rPr>
          <w:rFonts w:hint="eastAsia" w:hAnsi="宋体"/>
          <w:color w:val="auto"/>
          <w:sz w:val="28"/>
          <w:szCs w:val="28"/>
        </w:rPr>
        <w:t>钻井液、岩屑执行不落地收集处理工艺，与废弃泥浆、岩屑在井场进行固液分离处理。分离出的液相处理达标后循环利用，分离出的无法利用的固相废弃物，就近拉运至大庆市采油八厂废弃钻井液集中处理站统一处理，泥饼统一收集后转运至大庆油田采油八厂指定地点，作为油田铺路、铺垫井场等综合利用。本工程钻井过程中产生的钻井污水、</w:t>
      </w:r>
      <w:r>
        <w:rPr>
          <w:rFonts w:hint="eastAsia" w:hAnsi="宋体"/>
          <w:color w:val="auto"/>
          <w:sz w:val="28"/>
          <w:szCs w:val="28"/>
          <w:lang w:val="en-US" w:eastAsia="zh-CN"/>
        </w:rPr>
        <w:t>废弃水基</w:t>
      </w:r>
      <w:r>
        <w:rPr>
          <w:rFonts w:hint="eastAsia" w:hAnsi="宋体"/>
          <w:color w:val="auto"/>
          <w:sz w:val="28"/>
          <w:szCs w:val="28"/>
        </w:rPr>
        <w:t>钻井液、岩屑执行不落地收集处理工艺，与废弃泥浆、岩屑在井场进行固液分离处理。分离出的液相处理达标后循环利用，分离出的无法利用的固相废弃物，就近拉运至大庆市采油八厂废弃钻井液集中处理站统一处理，泥饼统一收集后转运至大庆油田采油八厂指定地点，作为油田铺路、铺垫井场等综合利用。不排入外环境；人员生活污水</w:t>
      </w:r>
      <w:r>
        <w:rPr>
          <w:rFonts w:hAnsi="宋体"/>
          <w:color w:val="auto"/>
          <w:sz w:val="28"/>
          <w:szCs w:val="28"/>
        </w:rPr>
        <w:t>产生量约</w:t>
      </w:r>
      <w:r>
        <w:rPr>
          <w:rFonts w:hint="eastAsia" w:hAnsi="宋体"/>
          <w:color w:val="auto"/>
          <w:sz w:val="28"/>
          <w:szCs w:val="28"/>
          <w:lang w:val="en-US" w:eastAsia="zh-CN"/>
        </w:rPr>
        <w:t>4723.2</w:t>
      </w:r>
      <w:r>
        <w:rPr>
          <w:rFonts w:hAnsi="宋体"/>
          <w:color w:val="auto"/>
          <w:sz w:val="28"/>
          <w:szCs w:val="28"/>
        </w:rPr>
        <w:t>m</w:t>
      </w:r>
      <w:r>
        <w:rPr>
          <w:rFonts w:hAnsi="宋体"/>
          <w:color w:val="auto"/>
          <w:sz w:val="28"/>
          <w:szCs w:val="28"/>
          <w:vertAlign w:val="superscript"/>
        </w:rPr>
        <w:t>3</w:t>
      </w:r>
      <w:r>
        <w:rPr>
          <w:rFonts w:hint="eastAsia" w:hAnsi="宋体"/>
          <w:color w:val="auto"/>
          <w:sz w:val="28"/>
          <w:szCs w:val="28"/>
        </w:rPr>
        <w:t>，排入生活污水池内，施工结束后进行卫生填埋处理，不外排。</w:t>
      </w:r>
    </w:p>
    <w:p>
      <w:pPr>
        <w:spacing w:line="480" w:lineRule="exact"/>
        <w:ind w:firstLine="560" w:firstLineChars="200"/>
        <w:rPr>
          <w:rFonts w:hint="eastAsia" w:hAnsi="宋体"/>
          <w:color w:val="auto"/>
          <w:sz w:val="28"/>
          <w:szCs w:val="28"/>
        </w:rPr>
      </w:pPr>
      <w:r>
        <w:rPr>
          <w:rFonts w:hint="eastAsia" w:hAnsi="宋体"/>
          <w:color w:val="auto"/>
          <w:sz w:val="28"/>
          <w:szCs w:val="28"/>
        </w:rPr>
        <w:t>综上所述，本工程施工期废水均能得到合理妥善处置不外排，因此对区域地表水环境影响极小。</w:t>
      </w:r>
    </w:p>
    <w:p>
      <w:pPr>
        <w:pStyle w:val="4"/>
        <w:numPr>
          <w:ilvl w:val="1"/>
          <w:numId w:val="4"/>
        </w:numPr>
        <w:bidi w:val="0"/>
        <w:rPr>
          <w:color w:val="auto"/>
        </w:rPr>
      </w:pPr>
      <w:bookmarkStart w:id="583" w:name="_Toc96083870"/>
      <w:bookmarkStart w:id="584" w:name="_Toc31140"/>
      <w:r>
        <w:rPr>
          <w:color w:val="auto"/>
        </w:rPr>
        <w:t>地下水环境影响预测与评价</w:t>
      </w:r>
      <w:bookmarkEnd w:id="583"/>
      <w:bookmarkEnd w:id="584"/>
    </w:p>
    <w:p>
      <w:pPr>
        <w:pStyle w:val="5"/>
        <w:numPr>
          <w:ilvl w:val="2"/>
          <w:numId w:val="4"/>
        </w:numPr>
        <w:bidi w:val="0"/>
        <w:rPr>
          <w:color w:val="auto"/>
        </w:rPr>
      </w:pPr>
      <w:r>
        <w:rPr>
          <w:color w:val="auto"/>
        </w:rPr>
        <w:t>正常情况下地下水环境影响分析</w:t>
      </w:r>
    </w:p>
    <w:p>
      <w:pPr>
        <w:pStyle w:val="6"/>
        <w:numPr>
          <w:ilvl w:val="3"/>
          <w:numId w:val="4"/>
        </w:numPr>
        <w:bidi w:val="0"/>
        <w:rPr>
          <w:color w:val="auto"/>
        </w:rPr>
      </w:pPr>
      <w:r>
        <w:rPr>
          <w:color w:val="auto"/>
        </w:rPr>
        <w:t>钻井过程地下水环境影响分析</w:t>
      </w:r>
    </w:p>
    <w:p>
      <w:pPr>
        <w:spacing w:line="480" w:lineRule="exact"/>
        <w:ind w:firstLine="560" w:firstLineChars="200"/>
        <w:rPr>
          <w:color w:val="auto"/>
          <w:sz w:val="28"/>
          <w:szCs w:val="28"/>
        </w:rPr>
      </w:pPr>
      <w:r>
        <w:rPr>
          <w:rFonts w:hAnsi="宋体"/>
          <w:color w:val="auto"/>
          <w:sz w:val="28"/>
          <w:szCs w:val="28"/>
        </w:rPr>
        <w:t>本工程可能对地下水环境产生影响的因素主要为钻井过程中产生的</w:t>
      </w:r>
      <w:r>
        <w:rPr>
          <w:rFonts w:hAnsi="宋体"/>
          <w:color w:val="auto"/>
          <w:kern w:val="24"/>
          <w:sz w:val="28"/>
          <w:szCs w:val="28"/>
        </w:rPr>
        <w:t>钻井污水、废</w:t>
      </w:r>
      <w:r>
        <w:rPr>
          <w:rFonts w:hAnsi="宋体"/>
          <w:color w:val="auto"/>
          <w:sz w:val="28"/>
          <w:szCs w:val="28"/>
        </w:rPr>
        <w:t>钻井液</w:t>
      </w:r>
      <w:r>
        <w:rPr>
          <w:rFonts w:hint="eastAsia" w:hAnsi="宋体"/>
          <w:color w:val="auto"/>
          <w:sz w:val="28"/>
          <w:szCs w:val="28"/>
          <w:lang w:eastAsia="zh-CN"/>
        </w:rPr>
        <w:t>和</w:t>
      </w:r>
      <w:r>
        <w:rPr>
          <w:rFonts w:hAnsi="宋体"/>
          <w:color w:val="auto"/>
          <w:sz w:val="28"/>
          <w:szCs w:val="28"/>
        </w:rPr>
        <w:t>岩屑及钻遇含水层时对地下水可能产生的影响。</w:t>
      </w:r>
    </w:p>
    <w:p>
      <w:pPr>
        <w:spacing w:line="480" w:lineRule="exact"/>
        <w:ind w:firstLine="560" w:firstLineChars="200"/>
        <w:rPr>
          <w:rFonts w:hAnsi="宋体"/>
          <w:color w:val="auto"/>
          <w:sz w:val="28"/>
          <w:szCs w:val="28"/>
        </w:rPr>
      </w:pPr>
      <w:r>
        <w:rPr>
          <w:rFonts w:hAnsi="宋体"/>
          <w:color w:val="auto"/>
          <w:sz w:val="28"/>
          <w:szCs w:val="28"/>
        </w:rPr>
        <w:t>为了避免污染地下水和土壤，钻井过程中产生的</w:t>
      </w:r>
      <w:r>
        <w:rPr>
          <w:rFonts w:hAnsi="宋体"/>
          <w:color w:val="auto"/>
          <w:kern w:val="24"/>
          <w:sz w:val="28"/>
          <w:szCs w:val="28"/>
        </w:rPr>
        <w:t>钻井污水、废</w:t>
      </w:r>
      <w:r>
        <w:rPr>
          <w:rFonts w:hAnsi="宋体"/>
          <w:color w:val="auto"/>
          <w:sz w:val="28"/>
          <w:szCs w:val="28"/>
        </w:rPr>
        <w:t>钻井液、岩屑经井口设置的钢制泥浆槽收集后，</w:t>
      </w:r>
      <w:r>
        <w:rPr>
          <w:rFonts w:hint="eastAsia" w:hAnsi="宋体"/>
          <w:color w:val="auto"/>
          <w:sz w:val="28"/>
          <w:szCs w:val="28"/>
        </w:rPr>
        <w:t>废弃泥浆在井场进行固液分离处理。分离出的液相处理达标后循环利用，无法利用的，就近拉运至处理站集中处置。分离出的固相废弃物，就近拉运至大庆市采油八厂废弃钻井液集中处理站统一处理，泥饼统一收集后转运至大庆油田采油八厂指定地点，作为油田铺路、铺垫井场等综合利用。不排入外环境</w:t>
      </w:r>
      <w:r>
        <w:rPr>
          <w:rFonts w:hAnsi="宋体"/>
          <w:color w:val="auto"/>
          <w:sz w:val="28"/>
          <w:szCs w:val="28"/>
        </w:rPr>
        <w:t>。</w:t>
      </w:r>
    </w:p>
    <w:p>
      <w:pPr>
        <w:spacing w:line="480" w:lineRule="exact"/>
        <w:ind w:firstLine="560" w:firstLineChars="200"/>
        <w:rPr>
          <w:color w:val="auto"/>
          <w:sz w:val="28"/>
          <w:szCs w:val="28"/>
        </w:rPr>
      </w:pPr>
      <w:r>
        <w:rPr>
          <w:rFonts w:hAnsi="宋体"/>
          <w:color w:val="auto"/>
          <w:sz w:val="28"/>
          <w:szCs w:val="28"/>
        </w:rPr>
        <w:t>为了将钻遇含水层时对地下水可能产生的影响降至最小，本工程采用无毒无害或毒性极小的水基钻井液；在钻井过程中使用</w:t>
      </w:r>
      <w:r>
        <w:rPr>
          <w:rFonts w:hint="eastAsia" w:hAnsi="宋体"/>
          <w:color w:val="auto"/>
          <w:sz w:val="28"/>
          <w:szCs w:val="28"/>
          <w:lang w:eastAsia="zh-CN"/>
        </w:rPr>
        <w:t>四</w:t>
      </w:r>
      <w:r>
        <w:rPr>
          <w:rFonts w:hint="eastAsia" w:hAnsi="宋体"/>
          <w:color w:val="auto"/>
          <w:sz w:val="28"/>
          <w:szCs w:val="28"/>
        </w:rPr>
        <w:t>层套管</w:t>
      </w:r>
      <w:r>
        <w:rPr>
          <w:rFonts w:hAnsi="宋体"/>
          <w:color w:val="auto"/>
          <w:sz w:val="28"/>
          <w:szCs w:val="28"/>
        </w:rPr>
        <w:t>，开钻后，表层套管下至含水层底界10m以下稳定泥岩段，</w:t>
      </w:r>
      <w:r>
        <w:rPr>
          <w:rFonts w:hint="eastAsia" w:hAnsi="宋体"/>
          <w:color w:val="auto"/>
          <w:sz w:val="28"/>
          <w:szCs w:val="28"/>
        </w:rPr>
        <w:t>并要求封固良好，</w:t>
      </w:r>
      <w:r>
        <w:rPr>
          <w:rFonts w:hAnsi="宋体"/>
          <w:color w:val="auto"/>
          <w:sz w:val="28"/>
          <w:szCs w:val="28"/>
        </w:rPr>
        <w:t>以保护地下水不受污染；固井水泥返高要求返至地面，确保完全封闭地下水层，保证地下水质安全。结合油田运行6</w:t>
      </w:r>
      <w:r>
        <w:rPr>
          <w:color w:val="auto"/>
          <w:sz w:val="28"/>
          <w:szCs w:val="28"/>
        </w:rPr>
        <w:t>0</w:t>
      </w:r>
      <w:r>
        <w:rPr>
          <w:rFonts w:hAnsi="宋体"/>
          <w:color w:val="auto"/>
          <w:sz w:val="28"/>
          <w:szCs w:val="28"/>
        </w:rPr>
        <w:t>年的实际经验可知，在固井质量可靠的基础上，一般井管泄漏的可能性极小。即使发生泄漏，固井时已加套管等防护措施，对地下水产生影响的可能性很小。</w:t>
      </w:r>
    </w:p>
    <w:p>
      <w:pPr>
        <w:pStyle w:val="6"/>
        <w:numPr>
          <w:ilvl w:val="3"/>
          <w:numId w:val="4"/>
        </w:numPr>
        <w:bidi w:val="0"/>
        <w:rPr>
          <w:color w:val="auto"/>
        </w:rPr>
      </w:pPr>
      <w:r>
        <w:rPr>
          <w:color w:val="auto"/>
        </w:rPr>
        <w:t>井场生活污水池对地下水环境影响分析</w:t>
      </w:r>
    </w:p>
    <w:p>
      <w:pPr>
        <w:spacing w:line="480" w:lineRule="exact"/>
        <w:ind w:firstLine="560" w:firstLineChars="200"/>
        <w:rPr>
          <w:color w:val="auto"/>
          <w:kern w:val="0"/>
          <w:sz w:val="28"/>
          <w:szCs w:val="28"/>
        </w:rPr>
      </w:pPr>
      <w:r>
        <w:rPr>
          <w:rFonts w:hAnsi="宋体"/>
          <w:color w:val="auto"/>
          <w:kern w:val="0"/>
          <w:sz w:val="28"/>
          <w:szCs w:val="28"/>
        </w:rPr>
        <w:t>本工程钻井井场设置的生活污水池均进行防渗处理，池底用粘土进行压实，然后在池底及池壁铺设防渗布，</w:t>
      </w:r>
      <w:r>
        <w:rPr>
          <w:rFonts w:hAnsi="宋体"/>
          <w:color w:val="auto"/>
          <w:sz w:val="28"/>
          <w:szCs w:val="28"/>
        </w:rPr>
        <w:t>其防渗层的防渗性能不低于</w:t>
      </w:r>
      <w:r>
        <w:rPr>
          <w:color w:val="auto"/>
          <w:sz w:val="28"/>
          <w:szCs w:val="28"/>
        </w:rPr>
        <w:t>1.5m</w:t>
      </w:r>
      <w:r>
        <w:rPr>
          <w:rFonts w:hAnsi="宋体"/>
          <w:color w:val="auto"/>
          <w:sz w:val="28"/>
          <w:szCs w:val="28"/>
        </w:rPr>
        <w:t>厚渗透系数为</w:t>
      </w:r>
      <w:r>
        <w:rPr>
          <w:color w:val="auto"/>
          <w:sz w:val="28"/>
          <w:szCs w:val="28"/>
        </w:rPr>
        <w:t>1.0×10</w:t>
      </w:r>
      <w:r>
        <w:rPr>
          <w:color w:val="auto"/>
          <w:sz w:val="28"/>
          <w:szCs w:val="28"/>
          <w:vertAlign w:val="superscript"/>
        </w:rPr>
        <w:t>-7</w:t>
      </w:r>
      <w:r>
        <w:rPr>
          <w:color w:val="auto"/>
          <w:sz w:val="28"/>
          <w:szCs w:val="28"/>
        </w:rPr>
        <w:t>cm/s</w:t>
      </w:r>
      <w:r>
        <w:rPr>
          <w:rFonts w:hAnsi="宋体"/>
          <w:color w:val="auto"/>
          <w:sz w:val="28"/>
          <w:szCs w:val="28"/>
        </w:rPr>
        <w:t>的黏土层的防渗性能</w:t>
      </w:r>
      <w:r>
        <w:rPr>
          <w:rFonts w:hAnsi="宋体"/>
          <w:color w:val="auto"/>
          <w:kern w:val="0"/>
          <w:sz w:val="28"/>
          <w:szCs w:val="28"/>
        </w:rPr>
        <w:t>，正常情况下生活污水不会渗漏，对地下水影响很小。</w:t>
      </w:r>
    </w:p>
    <w:p>
      <w:pPr>
        <w:pStyle w:val="6"/>
        <w:numPr>
          <w:ilvl w:val="3"/>
          <w:numId w:val="4"/>
        </w:numPr>
        <w:bidi w:val="0"/>
        <w:rPr>
          <w:color w:val="auto"/>
        </w:rPr>
      </w:pPr>
      <w:r>
        <w:rPr>
          <w:color w:val="auto"/>
        </w:rPr>
        <w:t>柴油罐区对地下水影响分析</w:t>
      </w:r>
    </w:p>
    <w:p>
      <w:pPr>
        <w:spacing w:line="480" w:lineRule="exact"/>
        <w:ind w:firstLine="560" w:firstLineChars="200"/>
        <w:rPr>
          <w:color w:val="auto"/>
          <w:sz w:val="28"/>
          <w:szCs w:val="28"/>
        </w:rPr>
      </w:pPr>
      <w:r>
        <w:rPr>
          <w:rFonts w:hAnsi="宋体"/>
          <w:color w:val="auto"/>
          <w:sz w:val="28"/>
          <w:szCs w:val="28"/>
        </w:rPr>
        <w:t>由于本工程钻井时使用柴油发电机提供动力，因此在井场设置柴油罐区一处，设置柴油罐两座，为地上钢制卧罐，罐区四周设置围堰，围堰内场地进行防渗处理，其防渗层的防渗性能不低于</w:t>
      </w:r>
      <w:r>
        <w:rPr>
          <w:color w:val="auto"/>
          <w:sz w:val="28"/>
          <w:szCs w:val="28"/>
        </w:rPr>
        <w:t>6.0m</w:t>
      </w:r>
      <w:r>
        <w:rPr>
          <w:rFonts w:hAnsi="宋体"/>
          <w:color w:val="auto"/>
          <w:sz w:val="28"/>
          <w:szCs w:val="28"/>
        </w:rPr>
        <w:t>厚渗透系数为</w:t>
      </w:r>
      <w:r>
        <w:rPr>
          <w:color w:val="auto"/>
          <w:sz w:val="28"/>
          <w:szCs w:val="28"/>
        </w:rPr>
        <w:t>1.0×10</w:t>
      </w:r>
      <w:r>
        <w:rPr>
          <w:color w:val="auto"/>
          <w:sz w:val="28"/>
          <w:szCs w:val="28"/>
          <w:vertAlign w:val="superscript"/>
        </w:rPr>
        <w:t>-7</w:t>
      </w:r>
      <w:r>
        <w:rPr>
          <w:color w:val="auto"/>
          <w:sz w:val="28"/>
          <w:szCs w:val="28"/>
        </w:rPr>
        <w:t>cm/s</w:t>
      </w:r>
      <w:r>
        <w:rPr>
          <w:rFonts w:hAnsi="宋体"/>
          <w:color w:val="auto"/>
          <w:sz w:val="28"/>
          <w:szCs w:val="28"/>
        </w:rPr>
        <w:t>的黏土层的防渗性能。由于柴油罐为地上罐，即使发生泄漏也能够及时发现并处理，加之罐区场地已进行防渗处理，对地下水产生影响的可能性极小。</w:t>
      </w:r>
    </w:p>
    <w:p>
      <w:pPr>
        <w:pStyle w:val="5"/>
        <w:numPr>
          <w:ilvl w:val="2"/>
          <w:numId w:val="4"/>
        </w:numPr>
        <w:bidi w:val="0"/>
        <w:rPr>
          <w:color w:val="auto"/>
        </w:rPr>
      </w:pPr>
      <w:r>
        <w:rPr>
          <w:color w:val="auto"/>
        </w:rPr>
        <w:t>非正常情况下地下水环境影响预测与评价</w:t>
      </w:r>
    </w:p>
    <w:p>
      <w:pPr>
        <w:spacing w:line="480" w:lineRule="exact"/>
        <w:ind w:firstLine="560" w:firstLineChars="200"/>
        <w:rPr>
          <w:rFonts w:hint="eastAsia" w:hAnsi="宋体"/>
          <w:color w:val="auto"/>
          <w:sz w:val="28"/>
          <w:szCs w:val="28"/>
        </w:rPr>
      </w:pPr>
      <w:r>
        <w:rPr>
          <w:rFonts w:hAnsi="宋体"/>
          <w:color w:val="auto"/>
          <w:sz w:val="28"/>
          <w:szCs w:val="28"/>
        </w:rPr>
        <w:t>本工程非正常情况主要包括生活污水池防渗层破损导致污水下渗、柴油罐发生渗漏导致柴油下渗和固井质量差套管破损导致油气从井筒上返进入地下水含水层。由于本工程钻井周期为</w:t>
      </w:r>
      <w:r>
        <w:rPr>
          <w:rFonts w:hint="eastAsia"/>
          <w:color w:val="auto"/>
          <w:sz w:val="28"/>
          <w:szCs w:val="28"/>
        </w:rPr>
        <w:t>1</w:t>
      </w:r>
      <w:r>
        <w:rPr>
          <w:rFonts w:hint="eastAsia"/>
          <w:color w:val="auto"/>
          <w:sz w:val="28"/>
          <w:szCs w:val="28"/>
          <w:lang w:val="en-US" w:eastAsia="zh-CN"/>
        </w:rPr>
        <w:t>17</w:t>
      </w:r>
      <w:r>
        <w:rPr>
          <w:rFonts w:hAnsi="宋体"/>
          <w:color w:val="auto"/>
          <w:sz w:val="28"/>
          <w:szCs w:val="28"/>
        </w:rPr>
        <w:t>天，生活污水池采取的防渗措施在钻井周期内发生破损的可能性极小，同时由于池底部为粘土夯实层，因此发生因防渗层破损导致地下水污染事故的可能性极小。柴油罐区设置的柴油罐为地上式钢制卧式罐，发生渗漏能及时发现且罐区底部铺设防渗布，因此柴油罐区发生渗漏导致地下水污染事故的可能性也较小。</w:t>
      </w:r>
    </w:p>
    <w:p>
      <w:pPr>
        <w:spacing w:line="480" w:lineRule="exact"/>
        <w:ind w:firstLine="560" w:firstLineChars="200"/>
        <w:rPr>
          <w:rFonts w:hint="eastAsia" w:hAnsi="宋体"/>
          <w:color w:val="auto"/>
          <w:sz w:val="28"/>
          <w:szCs w:val="28"/>
        </w:rPr>
      </w:pPr>
      <w:r>
        <w:rPr>
          <w:rFonts w:hint="eastAsia" w:hAnsi="宋体"/>
          <w:color w:val="auto"/>
          <w:sz w:val="28"/>
          <w:szCs w:val="28"/>
          <w:lang w:eastAsia="zh-CN"/>
        </w:rPr>
        <w:t>升平储气库工程钻井工程</w:t>
      </w:r>
      <w:r>
        <w:rPr>
          <w:rFonts w:hAnsi="宋体"/>
          <w:color w:val="auto"/>
          <w:sz w:val="28"/>
          <w:szCs w:val="28"/>
        </w:rPr>
        <w:t>生产过程中仍存在着一些潜在的事故隐患，具有污染环境的潜在因素，如包括井喷、井漏等，可能对地下水环境产生不利影响。本</w:t>
      </w:r>
      <w:r>
        <w:rPr>
          <w:rFonts w:hint="eastAsia" w:hAnsi="宋体"/>
          <w:color w:val="auto"/>
          <w:sz w:val="28"/>
          <w:szCs w:val="28"/>
          <w:lang w:eastAsia="zh-CN"/>
        </w:rPr>
        <w:t>升平储气库</w:t>
      </w:r>
      <w:r>
        <w:rPr>
          <w:rFonts w:hAnsi="宋体"/>
          <w:color w:val="auto"/>
          <w:sz w:val="28"/>
          <w:szCs w:val="28"/>
        </w:rPr>
        <w:t>开发及生产过程中，对地下水环境影响可能较为严重的事故主要是固井质量不高、密封不严而造成的</w:t>
      </w:r>
      <w:r>
        <w:rPr>
          <w:rFonts w:hint="eastAsia" w:hAnsi="宋体"/>
          <w:color w:val="auto"/>
          <w:sz w:val="28"/>
          <w:szCs w:val="28"/>
        </w:rPr>
        <w:t>天然气</w:t>
      </w:r>
      <w:r>
        <w:rPr>
          <w:rFonts w:hAnsi="宋体"/>
          <w:color w:val="auto"/>
          <w:sz w:val="28"/>
          <w:szCs w:val="28"/>
        </w:rPr>
        <w:t>泄漏，但因气井主要物质为烃类气体，含轻组分较多，其在水中溶解度较小，故对地下水影响有限。</w:t>
      </w:r>
    </w:p>
    <w:p>
      <w:pPr>
        <w:pStyle w:val="5"/>
        <w:numPr>
          <w:ilvl w:val="2"/>
          <w:numId w:val="4"/>
        </w:numPr>
        <w:bidi w:val="0"/>
        <w:rPr>
          <w:color w:val="auto"/>
        </w:rPr>
      </w:pPr>
      <w:r>
        <w:rPr>
          <w:color w:val="auto"/>
        </w:rPr>
        <w:t>地下水环境影响评价结论</w:t>
      </w:r>
    </w:p>
    <w:p>
      <w:pPr>
        <w:spacing w:line="480" w:lineRule="exact"/>
        <w:ind w:firstLine="560" w:firstLineChars="200"/>
        <w:rPr>
          <w:color w:val="auto"/>
          <w:sz w:val="28"/>
          <w:szCs w:val="28"/>
        </w:rPr>
      </w:pPr>
      <w:r>
        <w:rPr>
          <w:rFonts w:hAnsi="宋体"/>
          <w:color w:val="auto"/>
          <w:sz w:val="28"/>
          <w:szCs w:val="28"/>
        </w:rPr>
        <w:t>本工程在正常且各项环境保护措施落实到位情况下对地下水环境无影响，在事故状态下可能对地下水环境造成影响，但在各项地下水污染防控措施及应急措施落实到位的情况下，地下水环境影响可接受。</w:t>
      </w:r>
    </w:p>
    <w:p>
      <w:pPr>
        <w:pStyle w:val="4"/>
        <w:numPr>
          <w:ilvl w:val="1"/>
          <w:numId w:val="4"/>
        </w:numPr>
        <w:bidi w:val="0"/>
        <w:rPr>
          <w:color w:val="auto"/>
        </w:rPr>
      </w:pPr>
      <w:bookmarkStart w:id="585" w:name="_Toc438822741"/>
      <w:bookmarkStart w:id="586" w:name="_Toc96083871"/>
      <w:bookmarkStart w:id="587" w:name="_Toc9253"/>
      <w:r>
        <w:rPr>
          <w:color w:val="auto"/>
        </w:rPr>
        <w:t>声环境影响</w:t>
      </w:r>
      <w:bookmarkEnd w:id="585"/>
      <w:r>
        <w:rPr>
          <w:color w:val="auto"/>
        </w:rPr>
        <w:t>预测与评价</w:t>
      </w:r>
      <w:bookmarkEnd w:id="586"/>
      <w:bookmarkEnd w:id="587"/>
    </w:p>
    <w:p>
      <w:pPr>
        <w:pStyle w:val="5"/>
        <w:numPr>
          <w:ilvl w:val="2"/>
          <w:numId w:val="4"/>
        </w:numPr>
        <w:bidi w:val="0"/>
        <w:rPr>
          <w:color w:val="auto"/>
        </w:rPr>
      </w:pPr>
      <w:r>
        <w:rPr>
          <w:color w:val="auto"/>
        </w:rPr>
        <w:t>声环境影响分析</w:t>
      </w:r>
    </w:p>
    <w:p>
      <w:pPr>
        <w:pStyle w:val="6"/>
        <w:numPr>
          <w:ilvl w:val="3"/>
          <w:numId w:val="4"/>
        </w:numPr>
        <w:bidi w:val="0"/>
        <w:rPr>
          <w:color w:val="auto"/>
        </w:rPr>
      </w:pPr>
      <w:r>
        <w:rPr>
          <w:color w:val="auto"/>
        </w:rPr>
        <w:t>主要噪声源强</w:t>
      </w:r>
    </w:p>
    <w:p>
      <w:pPr>
        <w:spacing w:line="480" w:lineRule="exact"/>
        <w:ind w:firstLine="560" w:firstLineChars="200"/>
        <w:rPr>
          <w:color w:val="auto"/>
          <w:kern w:val="0"/>
          <w:sz w:val="28"/>
          <w:szCs w:val="28"/>
        </w:rPr>
      </w:pPr>
      <w:r>
        <w:rPr>
          <w:rFonts w:hAnsi="宋体"/>
          <w:color w:val="auto"/>
          <w:kern w:val="0"/>
          <w:sz w:val="28"/>
          <w:szCs w:val="28"/>
        </w:rPr>
        <w:t>本工程施工时产生的噪声源主要是各种机械产生的噪声、钻井时钻机和柴油机产生的噪声及施工车辆噪声。</w:t>
      </w:r>
    </w:p>
    <w:p>
      <w:pPr>
        <w:pStyle w:val="6"/>
        <w:numPr>
          <w:ilvl w:val="3"/>
          <w:numId w:val="4"/>
        </w:numPr>
        <w:bidi w:val="0"/>
        <w:rPr>
          <w:color w:val="auto"/>
        </w:rPr>
      </w:pPr>
      <w:r>
        <w:rPr>
          <w:color w:val="auto"/>
        </w:rPr>
        <w:t>噪声源特点</w:t>
      </w:r>
    </w:p>
    <w:p>
      <w:pPr>
        <w:spacing w:line="480" w:lineRule="exact"/>
        <w:ind w:firstLine="560" w:firstLineChars="200"/>
        <w:rPr>
          <w:color w:val="auto"/>
          <w:kern w:val="0"/>
          <w:sz w:val="28"/>
          <w:szCs w:val="28"/>
        </w:rPr>
      </w:pPr>
      <w:r>
        <w:rPr>
          <w:rFonts w:hAnsi="宋体"/>
          <w:color w:val="auto"/>
          <w:kern w:val="0"/>
          <w:sz w:val="28"/>
          <w:szCs w:val="28"/>
        </w:rPr>
        <w:t>施工设备中包括</w:t>
      </w:r>
      <w:r>
        <w:rPr>
          <w:rFonts w:hAnsi="宋体"/>
          <w:color w:val="auto"/>
          <w:sz w:val="28"/>
          <w:szCs w:val="28"/>
        </w:rPr>
        <w:t>固定</w:t>
      </w:r>
      <w:r>
        <w:rPr>
          <w:rFonts w:hAnsi="宋体"/>
          <w:color w:val="auto"/>
          <w:kern w:val="0"/>
          <w:sz w:val="28"/>
          <w:szCs w:val="28"/>
        </w:rPr>
        <w:t>噪声源和移动噪声源，均为露天工作，排放的噪声直接辐射到周围的环境中，其传播距离比较远，在传播的过程中噪声随距离的增加而衰减。</w:t>
      </w:r>
    </w:p>
    <w:p>
      <w:pPr>
        <w:pStyle w:val="6"/>
        <w:numPr>
          <w:ilvl w:val="3"/>
          <w:numId w:val="4"/>
        </w:numPr>
        <w:bidi w:val="0"/>
        <w:rPr>
          <w:color w:val="auto"/>
        </w:rPr>
      </w:pPr>
      <w:r>
        <w:rPr>
          <w:color w:val="auto"/>
        </w:rPr>
        <w:t>声环境影响预测</w:t>
      </w:r>
    </w:p>
    <w:p>
      <w:pPr>
        <w:autoSpaceDE w:val="0"/>
        <w:autoSpaceDN w:val="0"/>
        <w:spacing w:line="480" w:lineRule="exact"/>
        <w:ind w:firstLine="579" w:firstLineChars="207"/>
        <w:rPr>
          <w:color w:val="auto"/>
          <w:kern w:val="0"/>
          <w:sz w:val="28"/>
          <w:szCs w:val="28"/>
        </w:rPr>
      </w:pPr>
      <w:r>
        <w:rPr>
          <w:rFonts w:hAnsi="宋体"/>
          <w:color w:val="auto"/>
          <w:kern w:val="0"/>
          <w:sz w:val="28"/>
          <w:szCs w:val="28"/>
        </w:rPr>
        <w:t>（</w:t>
      </w:r>
      <w:r>
        <w:rPr>
          <w:color w:val="auto"/>
          <w:kern w:val="0"/>
          <w:sz w:val="28"/>
          <w:szCs w:val="28"/>
        </w:rPr>
        <w:t>1</w:t>
      </w:r>
      <w:r>
        <w:rPr>
          <w:rFonts w:hAnsi="宋体"/>
          <w:color w:val="auto"/>
          <w:kern w:val="0"/>
          <w:sz w:val="28"/>
          <w:szCs w:val="28"/>
        </w:rPr>
        <w:t>）预测模式</w:t>
      </w:r>
    </w:p>
    <w:p>
      <w:pPr>
        <w:autoSpaceDE w:val="0"/>
        <w:autoSpaceDN w:val="0"/>
        <w:spacing w:line="480" w:lineRule="exact"/>
        <w:ind w:firstLine="579" w:firstLineChars="207"/>
        <w:rPr>
          <w:color w:val="auto"/>
          <w:kern w:val="0"/>
          <w:sz w:val="28"/>
          <w:szCs w:val="28"/>
        </w:rPr>
      </w:pPr>
      <w:r>
        <w:rPr>
          <w:rFonts w:hAnsi="宋体"/>
          <w:color w:val="auto"/>
          <w:kern w:val="0"/>
          <w:sz w:val="28"/>
          <w:szCs w:val="28"/>
        </w:rPr>
        <w:t>根据各施工阶段不同施工机械产生的噪声，各声源在某一时刻的传播可以按点声源分析其影响范围和影响程度，利用噪声衰减公式对各种施工机械产生的噪声衰减情况进行计算，根据计算结果阐述施工噪声对周围环境的影响，噪声衰减公式如下：</w:t>
      </w:r>
    </w:p>
    <w:p>
      <w:pPr>
        <w:spacing w:line="500" w:lineRule="exact"/>
        <w:ind w:firstLine="560" w:firstLineChars="200"/>
        <w:jc w:val="center"/>
        <w:rPr>
          <w:color w:val="auto"/>
          <w:sz w:val="28"/>
          <w:szCs w:val="28"/>
          <w:lang w:val="pt-BR"/>
        </w:rPr>
      </w:pPr>
      <w:r>
        <w:rPr>
          <w:i/>
          <w:iCs/>
          <w:color w:val="auto"/>
          <w:sz w:val="28"/>
          <w:szCs w:val="28"/>
          <w:lang w:val="pt-BR"/>
        </w:rPr>
        <w:t>L</w:t>
      </w:r>
      <w:r>
        <w:rPr>
          <w:i/>
          <w:iCs/>
          <w:color w:val="auto"/>
          <w:sz w:val="28"/>
          <w:szCs w:val="28"/>
          <w:vertAlign w:val="subscript"/>
          <w:lang w:val="pt-BR"/>
        </w:rPr>
        <w:t>P</w:t>
      </w:r>
      <w:r>
        <w:rPr>
          <w:i/>
          <w:iCs/>
          <w:color w:val="auto"/>
          <w:sz w:val="28"/>
          <w:szCs w:val="28"/>
          <w:lang w:val="pt-BR"/>
        </w:rPr>
        <w:t xml:space="preserve"> = L</w:t>
      </w:r>
      <w:r>
        <w:rPr>
          <w:i/>
          <w:iCs/>
          <w:color w:val="auto"/>
          <w:sz w:val="28"/>
          <w:szCs w:val="28"/>
          <w:vertAlign w:val="subscript"/>
          <w:lang w:val="pt-BR"/>
        </w:rPr>
        <w:t>P0</w:t>
      </w:r>
      <w:r>
        <w:rPr>
          <w:i/>
          <w:iCs/>
          <w:color w:val="auto"/>
          <w:sz w:val="28"/>
          <w:szCs w:val="28"/>
          <w:lang w:val="pt-BR"/>
        </w:rPr>
        <w:t xml:space="preserve"> - 20·lg(R/R</w:t>
      </w:r>
      <w:r>
        <w:rPr>
          <w:i/>
          <w:iCs/>
          <w:color w:val="auto"/>
          <w:sz w:val="28"/>
          <w:szCs w:val="28"/>
          <w:vertAlign w:val="subscript"/>
          <w:lang w:val="pt-BR"/>
        </w:rPr>
        <w:t>0</w:t>
      </w:r>
      <w:r>
        <w:rPr>
          <w:i/>
          <w:iCs/>
          <w:color w:val="auto"/>
          <w:sz w:val="28"/>
          <w:szCs w:val="28"/>
          <w:lang w:val="pt-BR"/>
        </w:rPr>
        <w:t>)</w:t>
      </w:r>
    </w:p>
    <w:p>
      <w:pPr>
        <w:spacing w:line="500" w:lineRule="exact"/>
        <w:ind w:firstLine="560" w:firstLineChars="200"/>
        <w:rPr>
          <w:color w:val="auto"/>
          <w:sz w:val="28"/>
          <w:szCs w:val="28"/>
          <w:lang w:val="pt-BR"/>
        </w:rPr>
      </w:pPr>
      <w:r>
        <w:rPr>
          <w:rFonts w:hAnsi="宋体"/>
          <w:color w:val="auto"/>
          <w:sz w:val="28"/>
          <w:szCs w:val="28"/>
        </w:rPr>
        <w:t>式中</w:t>
      </w:r>
      <w:r>
        <w:rPr>
          <w:rFonts w:hAnsi="宋体"/>
          <w:color w:val="auto"/>
          <w:sz w:val="28"/>
          <w:szCs w:val="28"/>
          <w:lang w:val="pt-BR"/>
        </w:rPr>
        <w:t>：</w:t>
      </w:r>
      <w:r>
        <w:rPr>
          <w:i/>
          <w:iCs/>
          <w:color w:val="auto"/>
          <w:sz w:val="28"/>
          <w:szCs w:val="28"/>
          <w:lang w:val="pt-BR"/>
        </w:rPr>
        <w:t xml:space="preserve"> L</w:t>
      </w:r>
      <w:r>
        <w:rPr>
          <w:i/>
          <w:iCs/>
          <w:color w:val="auto"/>
          <w:sz w:val="28"/>
          <w:szCs w:val="28"/>
          <w:vertAlign w:val="subscript"/>
          <w:lang w:val="pt-BR"/>
        </w:rPr>
        <w:t>P</w:t>
      </w:r>
      <w:r>
        <w:rPr>
          <w:color w:val="auto"/>
          <w:sz w:val="28"/>
          <w:szCs w:val="28"/>
          <w:lang w:val="pt-BR"/>
        </w:rPr>
        <w:t>—</w:t>
      </w:r>
      <w:r>
        <w:rPr>
          <w:rFonts w:hAnsi="宋体"/>
          <w:color w:val="auto"/>
          <w:sz w:val="28"/>
          <w:szCs w:val="28"/>
        </w:rPr>
        <w:t>距声源</w:t>
      </w:r>
      <w:r>
        <w:rPr>
          <w:i/>
          <w:iCs/>
          <w:color w:val="auto"/>
          <w:sz w:val="28"/>
          <w:szCs w:val="28"/>
          <w:lang w:val="pt-BR"/>
        </w:rPr>
        <w:t>R</w:t>
      </w:r>
      <w:r>
        <w:rPr>
          <w:rFonts w:hAnsi="宋体"/>
          <w:color w:val="auto"/>
          <w:sz w:val="28"/>
          <w:szCs w:val="28"/>
        </w:rPr>
        <w:t>米处的噪声预测值</w:t>
      </w:r>
      <w:r>
        <w:rPr>
          <w:rFonts w:hAnsi="宋体"/>
          <w:color w:val="auto"/>
          <w:sz w:val="28"/>
          <w:szCs w:val="28"/>
          <w:lang w:val="pt-BR"/>
        </w:rPr>
        <w:t>，</w:t>
      </w:r>
      <w:r>
        <w:rPr>
          <w:color w:val="auto"/>
          <w:sz w:val="28"/>
          <w:szCs w:val="28"/>
          <w:lang w:val="pt-BR"/>
        </w:rPr>
        <w:t>dB(A)</w:t>
      </w:r>
      <w:r>
        <w:rPr>
          <w:rFonts w:hAnsi="宋体"/>
          <w:color w:val="auto"/>
          <w:sz w:val="28"/>
          <w:szCs w:val="28"/>
          <w:lang w:val="pt-BR"/>
        </w:rPr>
        <w:t>；</w:t>
      </w:r>
    </w:p>
    <w:p>
      <w:pPr>
        <w:spacing w:line="500" w:lineRule="exact"/>
        <w:ind w:firstLine="1400" w:firstLineChars="500"/>
        <w:rPr>
          <w:color w:val="auto"/>
          <w:sz w:val="28"/>
          <w:szCs w:val="28"/>
          <w:lang w:val="pt-BR"/>
        </w:rPr>
      </w:pPr>
      <w:r>
        <w:rPr>
          <w:i/>
          <w:iCs/>
          <w:color w:val="auto"/>
          <w:sz w:val="28"/>
          <w:szCs w:val="28"/>
          <w:lang w:val="pt-BR"/>
        </w:rPr>
        <w:t>L</w:t>
      </w:r>
      <w:r>
        <w:rPr>
          <w:i/>
          <w:iCs/>
          <w:color w:val="auto"/>
          <w:sz w:val="28"/>
          <w:szCs w:val="28"/>
          <w:vertAlign w:val="subscript"/>
          <w:lang w:val="pt-BR"/>
        </w:rPr>
        <w:t>PO</w:t>
      </w:r>
      <w:r>
        <w:rPr>
          <w:color w:val="auto"/>
          <w:sz w:val="28"/>
          <w:szCs w:val="28"/>
          <w:lang w:val="pt-BR"/>
        </w:rPr>
        <w:t>—</w:t>
      </w:r>
      <w:r>
        <w:rPr>
          <w:rFonts w:hAnsi="宋体"/>
          <w:color w:val="auto"/>
          <w:sz w:val="28"/>
          <w:szCs w:val="28"/>
        </w:rPr>
        <w:t>距声源参考距离</w:t>
      </w:r>
      <w:r>
        <w:rPr>
          <w:i/>
          <w:iCs/>
          <w:color w:val="auto"/>
          <w:sz w:val="28"/>
          <w:szCs w:val="28"/>
          <w:lang w:val="pt-BR"/>
        </w:rPr>
        <w:t>R</w:t>
      </w:r>
      <w:r>
        <w:rPr>
          <w:i/>
          <w:iCs/>
          <w:color w:val="auto"/>
          <w:sz w:val="28"/>
          <w:szCs w:val="28"/>
          <w:vertAlign w:val="subscript"/>
          <w:lang w:val="pt-BR"/>
        </w:rPr>
        <w:t>0</w:t>
      </w:r>
      <w:r>
        <w:rPr>
          <w:rFonts w:hAnsi="宋体"/>
          <w:color w:val="auto"/>
          <w:sz w:val="28"/>
          <w:szCs w:val="28"/>
        </w:rPr>
        <w:t>米处的参考声级</w:t>
      </w:r>
      <w:r>
        <w:rPr>
          <w:rFonts w:hAnsi="宋体"/>
          <w:color w:val="auto"/>
          <w:sz w:val="28"/>
          <w:szCs w:val="28"/>
          <w:lang w:val="pt-BR"/>
        </w:rPr>
        <w:t>，</w:t>
      </w:r>
      <w:r>
        <w:rPr>
          <w:color w:val="auto"/>
          <w:sz w:val="28"/>
          <w:szCs w:val="28"/>
          <w:lang w:val="pt-BR"/>
        </w:rPr>
        <w:t>dB(A)</w:t>
      </w:r>
      <w:r>
        <w:rPr>
          <w:rFonts w:hAnsi="宋体"/>
          <w:color w:val="auto"/>
          <w:sz w:val="28"/>
          <w:szCs w:val="28"/>
        </w:rPr>
        <w:t>。</w:t>
      </w:r>
    </w:p>
    <w:p>
      <w:pPr>
        <w:autoSpaceDE w:val="0"/>
        <w:autoSpaceDN w:val="0"/>
        <w:spacing w:line="480" w:lineRule="exact"/>
        <w:ind w:firstLine="579" w:firstLineChars="207"/>
        <w:rPr>
          <w:color w:val="auto"/>
          <w:kern w:val="0"/>
          <w:sz w:val="28"/>
          <w:szCs w:val="28"/>
        </w:rPr>
      </w:pPr>
      <w:r>
        <w:rPr>
          <w:rFonts w:hAnsi="宋体"/>
          <w:color w:val="auto"/>
          <w:kern w:val="0"/>
          <w:sz w:val="28"/>
          <w:szCs w:val="28"/>
        </w:rPr>
        <w:t>（</w:t>
      </w:r>
      <w:r>
        <w:rPr>
          <w:color w:val="auto"/>
          <w:kern w:val="0"/>
          <w:sz w:val="28"/>
          <w:szCs w:val="28"/>
        </w:rPr>
        <w:t>2</w:t>
      </w:r>
      <w:r>
        <w:rPr>
          <w:rFonts w:hAnsi="宋体"/>
          <w:color w:val="auto"/>
          <w:kern w:val="0"/>
          <w:sz w:val="28"/>
          <w:szCs w:val="28"/>
        </w:rPr>
        <w:t>）预测结果</w:t>
      </w:r>
    </w:p>
    <w:p>
      <w:pPr>
        <w:snapToGrid w:val="0"/>
        <w:spacing w:line="480" w:lineRule="exact"/>
        <w:ind w:firstLine="560" w:firstLineChars="200"/>
        <w:rPr>
          <w:snapToGrid w:val="0"/>
          <w:color w:val="auto"/>
          <w:kern w:val="0"/>
          <w:sz w:val="28"/>
          <w:szCs w:val="28"/>
        </w:rPr>
      </w:pPr>
      <w:r>
        <w:rPr>
          <w:rFonts w:hAnsi="宋体"/>
          <w:color w:val="auto"/>
          <w:kern w:val="0"/>
          <w:sz w:val="28"/>
          <w:szCs w:val="28"/>
        </w:rPr>
        <w:t>设备噪声距离衰减值见表</w:t>
      </w:r>
      <w:r>
        <w:rPr>
          <w:color w:val="auto"/>
          <w:kern w:val="0"/>
          <w:sz w:val="28"/>
          <w:szCs w:val="28"/>
        </w:rPr>
        <w:t>5.</w:t>
      </w:r>
      <w:r>
        <w:rPr>
          <w:rFonts w:hint="eastAsia"/>
          <w:color w:val="auto"/>
          <w:kern w:val="0"/>
          <w:sz w:val="28"/>
          <w:szCs w:val="28"/>
        </w:rPr>
        <w:t>4</w:t>
      </w:r>
      <w:r>
        <w:rPr>
          <w:color w:val="auto"/>
          <w:kern w:val="0"/>
          <w:sz w:val="28"/>
          <w:szCs w:val="28"/>
        </w:rPr>
        <w:t>-1</w:t>
      </w:r>
      <w:r>
        <w:rPr>
          <w:rFonts w:hAnsi="宋体"/>
          <w:color w:val="auto"/>
          <w:kern w:val="0"/>
          <w:sz w:val="28"/>
          <w:szCs w:val="28"/>
        </w:rPr>
        <w:t>。</w:t>
      </w:r>
    </w:p>
    <w:p>
      <w:pPr>
        <w:pStyle w:val="7"/>
        <w:numPr>
          <w:ilvl w:val="4"/>
          <w:numId w:val="4"/>
        </w:numPr>
        <w:bidi w:val="0"/>
        <w:rPr>
          <w:snapToGrid w:val="0"/>
          <w:color w:val="auto"/>
          <w:kern w:val="0"/>
          <w:sz w:val="28"/>
          <w:szCs w:val="28"/>
        </w:rPr>
      </w:pPr>
      <w:r>
        <w:rPr>
          <w:rFonts w:hAnsi="宋体"/>
          <w:snapToGrid w:val="0"/>
          <w:color w:val="auto"/>
          <w:kern w:val="0"/>
          <w:sz w:val="28"/>
          <w:szCs w:val="28"/>
        </w:rPr>
        <w:t>施工期施工机械噪声统计表</w:t>
      </w:r>
      <w:r>
        <w:rPr>
          <w:snapToGrid w:val="0"/>
          <w:color w:val="auto"/>
          <w:kern w:val="0"/>
          <w:sz w:val="28"/>
          <w:szCs w:val="28"/>
        </w:rPr>
        <w:t xml:space="preserve">  </w:t>
      </w:r>
      <w:r>
        <w:rPr>
          <w:rFonts w:hAnsi="宋体"/>
          <w:snapToGrid w:val="0"/>
          <w:color w:val="auto"/>
          <w:kern w:val="0"/>
          <w:sz w:val="28"/>
          <w:szCs w:val="28"/>
        </w:rPr>
        <w:t>单位：</w:t>
      </w:r>
      <w:r>
        <w:rPr>
          <w:snapToGrid w:val="0"/>
          <w:color w:val="auto"/>
          <w:kern w:val="0"/>
          <w:sz w:val="28"/>
          <w:szCs w:val="28"/>
        </w:rPr>
        <w:t>dB</w:t>
      </w:r>
      <w:r>
        <w:rPr>
          <w:rFonts w:hAnsi="宋体"/>
          <w:snapToGrid w:val="0"/>
          <w:color w:val="auto"/>
          <w:kern w:val="0"/>
          <w:sz w:val="28"/>
          <w:szCs w:val="28"/>
        </w:rPr>
        <w:t>（</w:t>
      </w:r>
      <w:r>
        <w:rPr>
          <w:snapToGrid w:val="0"/>
          <w:color w:val="auto"/>
          <w:kern w:val="0"/>
          <w:sz w:val="28"/>
          <w:szCs w:val="28"/>
        </w:rPr>
        <w:t>A</w:t>
      </w:r>
      <w:r>
        <w:rPr>
          <w:rFonts w:hAnsi="宋体"/>
          <w:snapToGrid w:val="0"/>
          <w:color w:val="auto"/>
          <w:kern w:val="0"/>
          <w:sz w:val="28"/>
          <w:szCs w:val="28"/>
        </w:rPr>
        <w:t>）</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101"/>
        <w:gridCol w:w="1103"/>
        <w:gridCol w:w="1101"/>
        <w:gridCol w:w="1101"/>
        <w:gridCol w:w="1103"/>
        <w:gridCol w:w="1101"/>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vMerge w:val="restart"/>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hAnsi="宋体"/>
                <w:color w:val="auto"/>
                <w:lang w:val="zh-CN"/>
              </w:rPr>
              <w:t>设备名称</w:t>
            </w:r>
          </w:p>
        </w:tc>
        <w:tc>
          <w:tcPr>
            <w:tcW w:w="7713" w:type="dxa"/>
            <w:gridSpan w:val="7"/>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hAnsi="宋体"/>
                <w:color w:val="auto"/>
              </w:rPr>
              <w:t>离施工点不同距离处的噪声值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vMerge w:val="continue"/>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lang w:val="zh-CN"/>
              </w:rPr>
              <w:t>10m</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lang w:val="zh-CN"/>
              </w:rPr>
              <w:t>20m</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lang w:val="zh-CN"/>
              </w:rPr>
              <w:t>40m</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lang w:val="zh-CN"/>
              </w:rPr>
              <w:t>60m</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80m</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lang w:val="zh-CN"/>
              </w:rPr>
              <w:t>150m</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lang w:val="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hAnsi="宋体"/>
                <w:color w:val="auto"/>
              </w:rPr>
              <w:t>柴油发电机</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83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77</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70</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63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60</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hAnsi="宋体"/>
                <w:color w:val="auto"/>
              </w:rPr>
              <w:t>钻机</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68</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62</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55</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48</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45</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38</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hAnsi="宋体"/>
                <w:color w:val="auto"/>
              </w:rPr>
              <w:t>泥浆泵</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63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57</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50</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40</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hAnsi="宋体"/>
                <w:color w:val="auto"/>
              </w:rPr>
              <w:t>震动筛</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63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57</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50</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40</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hAnsi="宋体"/>
                <w:color w:val="auto"/>
              </w:rPr>
              <w:t>挖掘机</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63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57</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50</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40</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33</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hAnsi="宋体"/>
                <w:color w:val="auto"/>
              </w:rPr>
              <w:t>推土机</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70</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64</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57</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50</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47</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40</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hAnsi="宋体"/>
                <w:color w:val="auto"/>
              </w:rPr>
            </w:pPr>
            <w:r>
              <w:rPr>
                <w:rFonts w:hint="default" w:hAnsi="宋体"/>
                <w:snapToGrid w:val="0"/>
                <w:color w:val="auto"/>
                <w:szCs w:val="21"/>
              </w:rPr>
              <w:t>轮式装载机</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70</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64</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57</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50</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47</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40</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74"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hAnsi="宋体"/>
                <w:color w:val="auto"/>
              </w:rPr>
              <w:t>运输车辆</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58</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52</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45</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38</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rPr>
            </w:pPr>
            <w:r>
              <w:rPr>
                <w:rFonts w:hint="default"/>
                <w:color w:val="auto"/>
              </w:rPr>
              <w:t>35</w:t>
            </w:r>
          </w:p>
        </w:tc>
        <w:tc>
          <w:tcPr>
            <w:tcW w:w="1101"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30</w:t>
            </w:r>
          </w:p>
        </w:tc>
        <w:tc>
          <w:tcPr>
            <w:tcW w:w="1103" w:type="dxa"/>
            <w:noWrap w:val="0"/>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color w:val="auto"/>
                <w:lang w:val="zh-CN"/>
              </w:rPr>
            </w:pPr>
            <w:r>
              <w:rPr>
                <w:rFonts w:hint="default"/>
                <w:color w:val="auto"/>
              </w:rPr>
              <w:t>25</w:t>
            </w:r>
          </w:p>
        </w:tc>
      </w:tr>
    </w:tbl>
    <w:p>
      <w:pPr>
        <w:pStyle w:val="21"/>
        <w:spacing w:line="480" w:lineRule="exact"/>
        <w:ind w:firstLine="482"/>
        <w:rPr>
          <w:rFonts w:ascii="Times New Roman"/>
          <w:snapToGrid w:val="0"/>
          <w:color w:val="auto"/>
          <w:kern w:val="0"/>
          <w:sz w:val="28"/>
          <w:szCs w:val="28"/>
        </w:rPr>
      </w:pPr>
      <w:r>
        <w:rPr>
          <w:rFonts w:ascii="Times New Roman" w:hAnsi="宋体"/>
          <w:snapToGrid w:val="0"/>
          <w:color w:val="auto"/>
          <w:kern w:val="0"/>
          <w:sz w:val="28"/>
          <w:szCs w:val="28"/>
        </w:rPr>
        <w:t>（</w:t>
      </w:r>
      <w:r>
        <w:rPr>
          <w:rFonts w:ascii="Times New Roman"/>
          <w:snapToGrid w:val="0"/>
          <w:color w:val="auto"/>
          <w:kern w:val="0"/>
          <w:sz w:val="28"/>
          <w:szCs w:val="28"/>
        </w:rPr>
        <w:t>3</w:t>
      </w:r>
      <w:r>
        <w:rPr>
          <w:rFonts w:ascii="Times New Roman" w:hAnsi="宋体"/>
          <w:snapToGrid w:val="0"/>
          <w:color w:val="auto"/>
          <w:kern w:val="0"/>
          <w:sz w:val="28"/>
          <w:szCs w:val="28"/>
        </w:rPr>
        <w:t>）声环境影响分析</w:t>
      </w:r>
    </w:p>
    <w:p>
      <w:pPr>
        <w:pStyle w:val="21"/>
        <w:spacing w:line="480" w:lineRule="exact"/>
        <w:ind w:firstLine="482"/>
        <w:rPr>
          <w:rFonts w:ascii="Times New Roman"/>
          <w:snapToGrid w:val="0"/>
          <w:color w:val="auto"/>
          <w:kern w:val="0"/>
          <w:sz w:val="28"/>
          <w:szCs w:val="28"/>
        </w:rPr>
      </w:pPr>
      <w:r>
        <w:rPr>
          <w:rFonts w:ascii="Times New Roman" w:hAnsi="宋体"/>
          <w:snapToGrid w:val="0"/>
          <w:color w:val="auto"/>
          <w:kern w:val="0"/>
          <w:sz w:val="28"/>
          <w:szCs w:val="28"/>
        </w:rPr>
        <w:t>由表</w:t>
      </w:r>
      <w:r>
        <w:rPr>
          <w:rFonts w:ascii="Times New Roman"/>
          <w:snapToGrid w:val="0"/>
          <w:color w:val="auto"/>
          <w:kern w:val="0"/>
          <w:sz w:val="28"/>
          <w:szCs w:val="28"/>
        </w:rPr>
        <w:t>5.</w:t>
      </w:r>
      <w:r>
        <w:rPr>
          <w:rFonts w:hint="eastAsia" w:ascii="Times New Roman"/>
          <w:snapToGrid w:val="0"/>
          <w:color w:val="auto"/>
          <w:kern w:val="0"/>
          <w:sz w:val="28"/>
          <w:szCs w:val="28"/>
        </w:rPr>
        <w:t>4</w:t>
      </w:r>
      <w:r>
        <w:rPr>
          <w:rFonts w:ascii="Times New Roman"/>
          <w:snapToGrid w:val="0"/>
          <w:color w:val="auto"/>
          <w:kern w:val="0"/>
          <w:sz w:val="28"/>
          <w:szCs w:val="28"/>
        </w:rPr>
        <w:t>-1</w:t>
      </w:r>
      <w:r>
        <w:rPr>
          <w:rFonts w:ascii="Times New Roman" w:hAnsi="宋体"/>
          <w:snapToGrid w:val="0"/>
          <w:color w:val="auto"/>
          <w:kern w:val="0"/>
          <w:sz w:val="28"/>
          <w:szCs w:val="28"/>
        </w:rPr>
        <w:t>可以看出，主要施工机械在</w:t>
      </w:r>
      <w:r>
        <w:rPr>
          <w:rFonts w:ascii="Times New Roman"/>
          <w:snapToGrid w:val="0"/>
          <w:color w:val="auto"/>
          <w:kern w:val="0"/>
          <w:sz w:val="28"/>
          <w:szCs w:val="28"/>
        </w:rPr>
        <w:t>40m</w:t>
      </w:r>
      <w:r>
        <w:rPr>
          <w:rFonts w:ascii="Times New Roman" w:hAnsi="宋体"/>
          <w:snapToGrid w:val="0"/>
          <w:color w:val="auto"/>
          <w:kern w:val="0"/>
          <w:sz w:val="28"/>
          <w:szCs w:val="28"/>
        </w:rPr>
        <w:t>以外均能够达到《建筑施工场界环境噪声排放标准》（</w:t>
      </w:r>
      <w:r>
        <w:rPr>
          <w:rFonts w:ascii="Times New Roman"/>
          <w:snapToGrid w:val="0"/>
          <w:color w:val="auto"/>
          <w:kern w:val="0"/>
          <w:sz w:val="28"/>
          <w:szCs w:val="28"/>
        </w:rPr>
        <w:t>GB 12523-2011</w:t>
      </w:r>
      <w:r>
        <w:rPr>
          <w:rFonts w:ascii="Times New Roman" w:hAnsi="宋体"/>
          <w:snapToGrid w:val="0"/>
          <w:color w:val="auto"/>
          <w:kern w:val="0"/>
          <w:sz w:val="28"/>
          <w:szCs w:val="28"/>
        </w:rPr>
        <w:t>）中昼间不超过</w:t>
      </w:r>
      <w:r>
        <w:rPr>
          <w:rFonts w:ascii="Times New Roman"/>
          <w:snapToGrid w:val="0"/>
          <w:color w:val="auto"/>
          <w:kern w:val="0"/>
          <w:sz w:val="28"/>
          <w:szCs w:val="28"/>
        </w:rPr>
        <w:t>70dB(A)</w:t>
      </w:r>
      <w:r>
        <w:rPr>
          <w:rFonts w:ascii="Times New Roman" w:hAnsi="宋体"/>
          <w:snapToGrid w:val="0"/>
          <w:color w:val="auto"/>
          <w:kern w:val="0"/>
          <w:sz w:val="28"/>
          <w:szCs w:val="28"/>
        </w:rPr>
        <w:t>的要求，在</w:t>
      </w:r>
      <w:r>
        <w:rPr>
          <w:rFonts w:ascii="Times New Roman"/>
          <w:snapToGrid w:val="0"/>
          <w:color w:val="auto"/>
          <w:kern w:val="0"/>
          <w:sz w:val="28"/>
          <w:szCs w:val="28"/>
        </w:rPr>
        <w:t>150m</w:t>
      </w:r>
      <w:r>
        <w:rPr>
          <w:rFonts w:ascii="Times New Roman" w:hAnsi="宋体"/>
          <w:color w:val="auto"/>
          <w:sz w:val="28"/>
          <w:szCs w:val="28"/>
        </w:rPr>
        <w:t>左右能够达到建筑施工场界噪声夜间不超过</w:t>
      </w:r>
      <w:r>
        <w:rPr>
          <w:rFonts w:ascii="Times New Roman"/>
          <w:snapToGrid w:val="0"/>
          <w:color w:val="auto"/>
          <w:kern w:val="0"/>
          <w:sz w:val="28"/>
          <w:szCs w:val="28"/>
        </w:rPr>
        <w:t>55dB(A)</w:t>
      </w:r>
      <w:r>
        <w:rPr>
          <w:rFonts w:ascii="Times New Roman" w:hAnsi="宋体"/>
          <w:snapToGrid w:val="0"/>
          <w:color w:val="auto"/>
          <w:kern w:val="0"/>
          <w:sz w:val="28"/>
          <w:szCs w:val="28"/>
        </w:rPr>
        <w:t>的要求。本工程距最近声环境敏</w:t>
      </w:r>
      <w:r>
        <w:rPr>
          <w:rFonts w:ascii="Times New Roman"/>
          <w:snapToGrid w:val="0"/>
          <w:color w:val="auto"/>
          <w:kern w:val="0"/>
          <w:sz w:val="28"/>
          <w:szCs w:val="28"/>
        </w:rPr>
        <w:t>感点</w:t>
      </w:r>
      <w:r>
        <w:rPr>
          <w:rFonts w:hint="eastAsia"/>
          <w:snapToGrid w:val="0"/>
          <w:color w:val="auto"/>
          <w:kern w:val="0"/>
          <w:sz w:val="28"/>
          <w:szCs w:val="28"/>
          <w:lang w:eastAsia="zh-CN"/>
        </w:rPr>
        <w:t>保田村</w:t>
      </w:r>
      <w:r>
        <w:rPr>
          <w:rFonts w:ascii="Times New Roman"/>
          <w:snapToGrid w:val="0"/>
          <w:color w:val="auto"/>
          <w:kern w:val="0"/>
          <w:sz w:val="28"/>
          <w:szCs w:val="28"/>
        </w:rPr>
        <w:t>距离</w:t>
      </w:r>
      <w:r>
        <w:rPr>
          <w:rFonts w:ascii="Times New Roman" w:hAnsi="宋体"/>
          <w:snapToGrid w:val="0"/>
          <w:color w:val="auto"/>
          <w:kern w:val="0"/>
          <w:sz w:val="28"/>
          <w:szCs w:val="28"/>
        </w:rPr>
        <w:t>为</w:t>
      </w:r>
      <w:r>
        <w:rPr>
          <w:rFonts w:hint="eastAsia"/>
          <w:snapToGrid w:val="0"/>
          <w:color w:val="auto"/>
          <w:kern w:val="0"/>
          <w:sz w:val="28"/>
          <w:szCs w:val="28"/>
          <w:lang w:val="en-US" w:eastAsia="zh-CN"/>
        </w:rPr>
        <w:t>229</w:t>
      </w:r>
      <w:r>
        <w:rPr>
          <w:rFonts w:ascii="Times New Roman"/>
          <w:snapToGrid w:val="0"/>
          <w:color w:val="auto"/>
          <w:kern w:val="0"/>
          <w:sz w:val="28"/>
          <w:szCs w:val="28"/>
        </w:rPr>
        <w:t>m</w:t>
      </w:r>
      <w:r>
        <w:rPr>
          <w:rFonts w:ascii="Times New Roman" w:hAnsi="宋体"/>
          <w:snapToGrid w:val="0"/>
          <w:color w:val="auto"/>
          <w:kern w:val="0"/>
          <w:sz w:val="28"/>
          <w:szCs w:val="28"/>
        </w:rPr>
        <w:t>，钻井施工噪声会对其影响</w:t>
      </w:r>
      <w:r>
        <w:rPr>
          <w:rFonts w:hint="eastAsia" w:ascii="Times New Roman" w:hAnsi="宋体"/>
          <w:snapToGrid w:val="0"/>
          <w:color w:val="auto"/>
          <w:kern w:val="0"/>
          <w:sz w:val="28"/>
          <w:szCs w:val="28"/>
        </w:rPr>
        <w:t>很小</w:t>
      </w:r>
      <w:r>
        <w:rPr>
          <w:rFonts w:ascii="Times New Roman" w:hAnsi="宋体"/>
          <w:snapToGrid w:val="0"/>
          <w:color w:val="auto"/>
          <w:kern w:val="0"/>
          <w:sz w:val="28"/>
          <w:szCs w:val="28"/>
        </w:rPr>
        <w:t>。</w:t>
      </w:r>
    </w:p>
    <w:p>
      <w:pPr>
        <w:pStyle w:val="5"/>
        <w:numPr>
          <w:ilvl w:val="2"/>
          <w:numId w:val="4"/>
        </w:numPr>
        <w:bidi w:val="0"/>
        <w:rPr>
          <w:color w:val="auto"/>
        </w:rPr>
      </w:pPr>
      <w:r>
        <w:rPr>
          <w:color w:val="auto"/>
        </w:rPr>
        <w:t>结论</w:t>
      </w:r>
    </w:p>
    <w:p>
      <w:pPr>
        <w:pStyle w:val="21"/>
        <w:spacing w:line="480" w:lineRule="exact"/>
        <w:ind w:firstLine="482"/>
        <w:rPr>
          <w:rFonts w:ascii="Times New Roman"/>
          <w:snapToGrid w:val="0"/>
          <w:color w:val="auto"/>
          <w:kern w:val="0"/>
          <w:sz w:val="28"/>
          <w:szCs w:val="28"/>
        </w:rPr>
      </w:pPr>
      <w:r>
        <w:rPr>
          <w:rFonts w:ascii="Times New Roman" w:hAnsi="宋体"/>
          <w:snapToGrid w:val="0"/>
          <w:color w:val="auto"/>
          <w:kern w:val="0"/>
          <w:sz w:val="28"/>
          <w:szCs w:val="28"/>
        </w:rPr>
        <w:t>本工程建设施工噪声对周围环境的影响是可以接受的，在采取适当的降噪措施后，工程施工期场界噪声可以满足《建筑施工场界环境噪声排放标准》（</w:t>
      </w:r>
      <w:r>
        <w:rPr>
          <w:rFonts w:ascii="Times New Roman"/>
          <w:snapToGrid w:val="0"/>
          <w:color w:val="auto"/>
          <w:kern w:val="0"/>
          <w:sz w:val="28"/>
          <w:szCs w:val="28"/>
        </w:rPr>
        <w:t>GB 12523-2011</w:t>
      </w:r>
      <w:r>
        <w:rPr>
          <w:rFonts w:ascii="Times New Roman" w:hAnsi="宋体"/>
          <w:snapToGrid w:val="0"/>
          <w:color w:val="auto"/>
          <w:kern w:val="0"/>
          <w:sz w:val="28"/>
          <w:szCs w:val="28"/>
        </w:rPr>
        <w:t>）标准的要求，对区域声环境影响不大。</w:t>
      </w:r>
    </w:p>
    <w:p>
      <w:pPr>
        <w:pStyle w:val="4"/>
        <w:numPr>
          <w:ilvl w:val="1"/>
          <w:numId w:val="4"/>
        </w:numPr>
        <w:bidi w:val="0"/>
        <w:rPr>
          <w:color w:val="auto"/>
        </w:rPr>
      </w:pPr>
      <w:bookmarkStart w:id="588" w:name="_Toc96083872"/>
      <w:bookmarkStart w:id="589" w:name="_Toc29526"/>
      <w:r>
        <w:rPr>
          <w:color w:val="auto"/>
        </w:rPr>
        <w:t>固体废物环境影响分析</w:t>
      </w:r>
      <w:bookmarkEnd w:id="588"/>
      <w:bookmarkEnd w:id="589"/>
    </w:p>
    <w:p>
      <w:pPr>
        <w:pStyle w:val="5"/>
        <w:numPr>
          <w:ilvl w:val="2"/>
          <w:numId w:val="4"/>
        </w:numPr>
        <w:bidi w:val="0"/>
        <w:rPr>
          <w:color w:val="auto"/>
        </w:rPr>
      </w:pPr>
      <w:r>
        <w:rPr>
          <w:color w:val="auto"/>
        </w:rPr>
        <w:t>一般固体废物</w:t>
      </w:r>
    </w:p>
    <w:p>
      <w:pPr>
        <w:pStyle w:val="6"/>
        <w:numPr>
          <w:ilvl w:val="3"/>
          <w:numId w:val="4"/>
        </w:numPr>
        <w:bidi w:val="0"/>
        <w:rPr>
          <w:color w:val="auto"/>
        </w:rPr>
      </w:pPr>
      <w:r>
        <w:rPr>
          <w:color w:val="auto"/>
        </w:rPr>
        <w:t>废钻井液、岩屑的处理</w:t>
      </w:r>
    </w:p>
    <w:p>
      <w:pPr>
        <w:pStyle w:val="21"/>
        <w:spacing w:line="480" w:lineRule="exact"/>
        <w:ind w:firstLine="482"/>
        <w:rPr>
          <w:rFonts w:ascii="Times New Roman" w:hAnsi="宋体"/>
          <w:snapToGrid w:val="0"/>
          <w:color w:val="auto"/>
          <w:kern w:val="0"/>
          <w:sz w:val="28"/>
          <w:szCs w:val="28"/>
        </w:rPr>
      </w:pPr>
      <w:r>
        <w:rPr>
          <w:rFonts w:hint="eastAsia" w:ascii="Times New Roman" w:hAnsi="宋体"/>
          <w:snapToGrid w:val="0"/>
          <w:color w:val="auto"/>
          <w:kern w:val="0"/>
          <w:sz w:val="28"/>
          <w:szCs w:val="28"/>
        </w:rPr>
        <w:t>本工程钻井过程中产生的钻井污水、</w:t>
      </w:r>
      <w:r>
        <w:rPr>
          <w:rFonts w:hint="eastAsia" w:hAnsi="宋体"/>
          <w:snapToGrid w:val="0"/>
          <w:color w:val="auto"/>
          <w:kern w:val="0"/>
          <w:sz w:val="28"/>
          <w:szCs w:val="28"/>
          <w:lang w:val="en-US" w:eastAsia="zh-CN"/>
        </w:rPr>
        <w:t>废弃油基</w:t>
      </w:r>
      <w:r>
        <w:rPr>
          <w:rFonts w:hint="eastAsia" w:ascii="Times New Roman" w:hAnsi="宋体"/>
          <w:snapToGrid w:val="0"/>
          <w:color w:val="auto"/>
          <w:kern w:val="0"/>
          <w:sz w:val="28"/>
          <w:szCs w:val="28"/>
        </w:rPr>
        <w:t>钻井液、岩屑执行不落地收集处理工艺，废弃泥浆在井场进行固液分离处理。分离出的液相处理达标后循环利用，无法利用的，就近拉运至处理站集中处置。分离出的固相废弃物，就近拉运至大庆市采油八厂废弃钻井液集中处理站统一处理，泥饼统一收集后转运至大庆油田采油八厂指定地点，作为油田铺路、铺垫井场等综合利用。不排入外环境</w:t>
      </w:r>
      <w:r>
        <w:rPr>
          <w:rFonts w:ascii="Times New Roman" w:hAnsi="宋体"/>
          <w:snapToGrid w:val="0"/>
          <w:color w:val="auto"/>
          <w:kern w:val="0"/>
          <w:sz w:val="28"/>
          <w:szCs w:val="28"/>
        </w:rPr>
        <w:t>，该站主要采取均质、脱稳、压滤等工艺，可实现废弃钻井液的均质、破胶脱稳、固液分离和水处理，脱出的泥饼达到国家一般固废执行《一般工业固体废物贮存和填埋污染控制标准》（GB 18599-2020）规定的一般工业固体废物标准，存放于泥饼暂存场地，用于油田修井间道路、铺垫井场、和回填等。</w:t>
      </w:r>
    </w:p>
    <w:p>
      <w:pPr>
        <w:pStyle w:val="6"/>
        <w:numPr>
          <w:ilvl w:val="3"/>
          <w:numId w:val="4"/>
        </w:numPr>
        <w:bidi w:val="0"/>
        <w:rPr>
          <w:color w:val="auto"/>
        </w:rPr>
      </w:pPr>
      <w:r>
        <w:rPr>
          <w:color w:val="auto"/>
        </w:rPr>
        <w:t>生活垃圾、废弃包装袋</w:t>
      </w:r>
    </w:p>
    <w:p>
      <w:pPr>
        <w:pStyle w:val="21"/>
        <w:spacing w:line="480" w:lineRule="exact"/>
        <w:ind w:firstLine="482"/>
        <w:rPr>
          <w:rFonts w:ascii="Times New Roman"/>
          <w:color w:val="auto"/>
          <w:sz w:val="28"/>
          <w:szCs w:val="28"/>
        </w:rPr>
      </w:pPr>
      <w:r>
        <w:rPr>
          <w:rFonts w:ascii="Times New Roman" w:hAnsi="宋体"/>
          <w:color w:val="auto"/>
          <w:sz w:val="28"/>
          <w:szCs w:val="28"/>
        </w:rPr>
        <w:t>本项目共产生生活垃圾</w:t>
      </w:r>
      <w:bookmarkStart w:id="590" w:name="_Hlk71725779"/>
      <w:r>
        <w:rPr>
          <w:rFonts w:hint="eastAsia"/>
          <w:color w:val="auto"/>
          <w:sz w:val="28"/>
          <w:szCs w:val="28"/>
          <w:lang w:val="en-US" w:eastAsia="zh-CN"/>
        </w:rPr>
        <w:t>36.9</w:t>
      </w:r>
      <w:r>
        <w:rPr>
          <w:rFonts w:ascii="Times New Roman"/>
          <w:color w:val="auto"/>
          <w:sz w:val="28"/>
          <w:szCs w:val="28"/>
        </w:rPr>
        <w:t>t</w:t>
      </w:r>
      <w:r>
        <w:rPr>
          <w:rFonts w:ascii="Times New Roman" w:hAnsi="宋体"/>
          <w:color w:val="auto"/>
          <w:sz w:val="28"/>
          <w:szCs w:val="28"/>
        </w:rPr>
        <w:t>，</w:t>
      </w:r>
      <w:r>
        <w:rPr>
          <w:rFonts w:ascii="Times New Roman"/>
          <w:color w:val="auto"/>
          <w:sz w:val="28"/>
          <w:szCs w:val="28"/>
        </w:rPr>
        <w:t>统一收集后交当地环卫部门处理</w:t>
      </w:r>
      <w:bookmarkEnd w:id="590"/>
      <w:r>
        <w:rPr>
          <w:rFonts w:ascii="Times New Roman"/>
          <w:color w:val="auto"/>
          <w:sz w:val="28"/>
          <w:szCs w:val="28"/>
        </w:rPr>
        <w:t>，</w:t>
      </w:r>
      <w:r>
        <w:rPr>
          <w:rFonts w:ascii="Times New Roman" w:hAnsi="宋体"/>
          <w:color w:val="auto"/>
          <w:sz w:val="28"/>
          <w:szCs w:val="28"/>
        </w:rPr>
        <w:t>对周围环境影响很小。</w:t>
      </w:r>
    </w:p>
    <w:p>
      <w:pPr>
        <w:pStyle w:val="21"/>
        <w:spacing w:line="480" w:lineRule="exact"/>
        <w:ind w:firstLine="482"/>
        <w:rPr>
          <w:rFonts w:hint="eastAsia" w:hAnsi="宋体"/>
          <w:color w:val="auto"/>
          <w:sz w:val="28"/>
          <w:szCs w:val="28"/>
          <w:lang w:eastAsia="zh-CN"/>
        </w:rPr>
      </w:pPr>
      <w:r>
        <w:rPr>
          <w:rFonts w:ascii="Times New Roman" w:hAnsi="宋体"/>
          <w:color w:val="auto"/>
          <w:sz w:val="28"/>
          <w:szCs w:val="28"/>
        </w:rPr>
        <w:t>本项目共产生废弃防渗布</w:t>
      </w:r>
      <w:r>
        <w:rPr>
          <w:rFonts w:hint="eastAsia"/>
          <w:color w:val="auto"/>
          <w:sz w:val="28"/>
          <w:szCs w:val="28"/>
          <w:lang w:val="en-US" w:eastAsia="zh-CN"/>
        </w:rPr>
        <w:t>0.765</w:t>
      </w:r>
      <w:r>
        <w:rPr>
          <w:rFonts w:ascii="Times New Roman"/>
          <w:color w:val="auto"/>
          <w:sz w:val="28"/>
          <w:szCs w:val="28"/>
        </w:rPr>
        <w:t>t</w:t>
      </w:r>
      <w:r>
        <w:rPr>
          <w:rFonts w:ascii="Times New Roman" w:hAnsi="宋体"/>
          <w:color w:val="auto"/>
          <w:sz w:val="28"/>
          <w:szCs w:val="28"/>
        </w:rPr>
        <w:t>，一般废弃包装袋</w:t>
      </w:r>
      <w:r>
        <w:rPr>
          <w:rFonts w:hint="eastAsia"/>
          <w:color w:val="auto"/>
          <w:sz w:val="28"/>
          <w:szCs w:val="28"/>
          <w:lang w:val="en-US" w:eastAsia="zh-CN"/>
        </w:rPr>
        <w:t>0.045</w:t>
      </w:r>
      <w:r>
        <w:rPr>
          <w:rFonts w:ascii="Times New Roman"/>
          <w:color w:val="auto"/>
          <w:sz w:val="28"/>
          <w:szCs w:val="28"/>
        </w:rPr>
        <w:t>t</w:t>
      </w:r>
      <w:r>
        <w:rPr>
          <w:rFonts w:ascii="Times New Roman" w:hAnsi="宋体"/>
          <w:color w:val="auto"/>
          <w:sz w:val="28"/>
          <w:szCs w:val="28"/>
        </w:rPr>
        <w:t>。废弃防渗布主要接触物为钻井泥浆，废弃包装袋主要为钻井材料中的纯碱（</w:t>
      </w:r>
      <w:r>
        <w:rPr>
          <w:rFonts w:ascii="Times New Roman"/>
          <w:color w:val="auto"/>
          <w:sz w:val="28"/>
          <w:szCs w:val="28"/>
        </w:rPr>
        <w:t>NaCO</w:t>
      </w:r>
      <w:r>
        <w:rPr>
          <w:rFonts w:ascii="Times New Roman"/>
          <w:color w:val="auto"/>
          <w:sz w:val="28"/>
          <w:szCs w:val="28"/>
          <w:vertAlign w:val="subscript"/>
        </w:rPr>
        <w:t>3</w:t>
      </w:r>
      <w:r>
        <w:rPr>
          <w:rFonts w:ascii="Times New Roman" w:hAnsi="宋体"/>
          <w:color w:val="auto"/>
          <w:sz w:val="28"/>
          <w:szCs w:val="28"/>
        </w:rPr>
        <w:t>）和重晶石粉包装袋</w:t>
      </w:r>
      <w:r>
        <w:rPr>
          <w:rFonts w:hint="eastAsia" w:hAnsi="宋体"/>
          <w:color w:val="auto"/>
          <w:sz w:val="28"/>
          <w:szCs w:val="28"/>
          <w:lang w:eastAsia="zh-CN"/>
        </w:rPr>
        <w:t>，</w:t>
      </w:r>
      <w:r>
        <w:rPr>
          <w:rFonts w:hint="eastAsia" w:ascii="Times New Roman" w:hAnsi="宋体"/>
          <w:color w:val="auto"/>
          <w:sz w:val="28"/>
          <w:szCs w:val="28"/>
        </w:rPr>
        <w:t>属于一般工业固体废物，代码为071-001-99</w:t>
      </w:r>
      <w:r>
        <w:rPr>
          <w:rFonts w:ascii="Times New Roman" w:hAnsi="宋体"/>
          <w:color w:val="auto"/>
          <w:sz w:val="28"/>
          <w:szCs w:val="28"/>
        </w:rPr>
        <w:t>，由于钻井泥浆、纯碱均不属于危险化学品，所以废弃包装袋不属于危废，施工结束后由施工单位统一回收</w:t>
      </w:r>
      <w:r>
        <w:rPr>
          <w:rFonts w:hint="eastAsia" w:hAnsi="宋体"/>
          <w:color w:val="auto"/>
          <w:sz w:val="28"/>
          <w:szCs w:val="28"/>
        </w:rPr>
        <w:t>送大庆市岗源环保科技有限责任公司</w:t>
      </w:r>
      <w:r>
        <w:rPr>
          <w:rFonts w:hAnsi="宋体"/>
          <w:color w:val="auto"/>
          <w:sz w:val="28"/>
          <w:szCs w:val="28"/>
        </w:rPr>
        <w:t>工业</w:t>
      </w:r>
      <w:r>
        <w:rPr>
          <w:rFonts w:hint="eastAsia" w:hAnsi="宋体"/>
          <w:color w:val="auto"/>
          <w:sz w:val="28"/>
          <w:szCs w:val="28"/>
        </w:rPr>
        <w:t>废弃物处置中心</w:t>
      </w:r>
      <w:r>
        <w:rPr>
          <w:rFonts w:hAnsi="宋体"/>
          <w:color w:val="auto"/>
          <w:sz w:val="28"/>
          <w:szCs w:val="28"/>
        </w:rPr>
        <w:t>处置</w:t>
      </w:r>
      <w:r>
        <w:rPr>
          <w:rFonts w:ascii="Times New Roman" w:hAnsi="宋体"/>
          <w:color w:val="auto"/>
          <w:sz w:val="28"/>
          <w:szCs w:val="28"/>
        </w:rPr>
        <w:t>，对周围环境影响很小。</w:t>
      </w:r>
    </w:p>
    <w:p>
      <w:pPr>
        <w:pStyle w:val="6"/>
        <w:numPr>
          <w:ilvl w:val="3"/>
          <w:numId w:val="4"/>
        </w:numPr>
        <w:bidi w:val="0"/>
        <w:rPr>
          <w:color w:val="auto"/>
        </w:rPr>
      </w:pPr>
      <w:r>
        <w:rPr>
          <w:rFonts w:hint="eastAsia"/>
          <w:color w:val="auto"/>
          <w:lang w:val="en-US" w:eastAsia="zh-CN"/>
        </w:rPr>
        <w:t>危险废物</w:t>
      </w:r>
    </w:p>
    <w:p>
      <w:pPr>
        <w:pStyle w:val="21"/>
        <w:spacing w:line="480" w:lineRule="exact"/>
        <w:ind w:firstLine="482"/>
        <w:rPr>
          <w:rFonts w:hint="eastAsia" w:hAnsi="宋体"/>
          <w:color w:val="auto"/>
          <w:sz w:val="28"/>
          <w:szCs w:val="28"/>
          <w:lang w:eastAsia="zh-CN"/>
        </w:rPr>
      </w:pPr>
      <w:r>
        <w:rPr>
          <w:rFonts w:hint="eastAsia" w:hAnsi="宋体"/>
          <w:color w:val="auto"/>
          <w:sz w:val="28"/>
          <w:szCs w:val="28"/>
          <w:lang w:eastAsia="zh-CN"/>
        </w:rPr>
        <w:t>本工程钻井产生的废弃油基钻井液、含油钻井岩屑以及钻井液配制产生的废弃氢氧化钾包装袋，属于危险废物。</w:t>
      </w:r>
    </w:p>
    <w:p>
      <w:pPr>
        <w:pStyle w:val="21"/>
        <w:numPr>
          <w:ilvl w:val="0"/>
          <w:numId w:val="5"/>
        </w:numPr>
        <w:spacing w:line="480" w:lineRule="exact"/>
        <w:ind w:firstLine="482"/>
        <w:rPr>
          <w:rFonts w:hint="eastAsia" w:hAnsi="宋体"/>
          <w:snapToGrid w:val="0"/>
          <w:color w:val="auto"/>
          <w:kern w:val="0"/>
          <w:sz w:val="28"/>
          <w:szCs w:val="28"/>
          <w:lang w:val="en-US" w:eastAsia="zh-CN"/>
        </w:rPr>
      </w:pPr>
      <w:r>
        <w:rPr>
          <w:rFonts w:hint="eastAsia" w:hAnsi="宋体"/>
          <w:snapToGrid w:val="0"/>
          <w:color w:val="auto"/>
          <w:kern w:val="0"/>
          <w:sz w:val="28"/>
          <w:szCs w:val="28"/>
          <w:lang w:val="en-US" w:eastAsia="zh-CN"/>
        </w:rPr>
        <w:t>废弃油基钻井液、含油钻井岩屑</w:t>
      </w:r>
    </w:p>
    <w:p>
      <w:pPr>
        <w:pStyle w:val="83"/>
        <w:bidi w:val="0"/>
        <w:rPr>
          <w:color w:val="auto"/>
        </w:rPr>
      </w:pPr>
      <w:r>
        <w:rPr>
          <w:rFonts w:hint="eastAsia"/>
          <w:color w:val="auto"/>
          <w:lang w:val="en-US" w:eastAsia="zh-CN"/>
        </w:rPr>
        <w:t>本</w:t>
      </w:r>
      <w:r>
        <w:rPr>
          <w:rFonts w:hint="eastAsia"/>
          <w:color w:val="auto"/>
        </w:rPr>
        <w:t>工程</w:t>
      </w:r>
      <w:r>
        <w:rPr>
          <w:rFonts w:hint="eastAsia"/>
          <w:color w:val="auto"/>
          <w:lang w:val="en-US" w:eastAsia="zh-CN"/>
        </w:rPr>
        <w:t>三开和四开</w:t>
      </w:r>
      <w:r>
        <w:rPr>
          <w:rFonts w:hint="eastAsia"/>
          <w:color w:val="auto"/>
        </w:rPr>
        <w:t>采用了油基钻井液，成分中主要是柴油、CaCl</w:t>
      </w:r>
      <w:r>
        <w:rPr>
          <w:rFonts w:hint="eastAsia"/>
          <w:color w:val="auto"/>
          <w:vertAlign w:val="subscript"/>
        </w:rPr>
        <w:t>2</w:t>
      </w:r>
      <w:r>
        <w:rPr>
          <w:rFonts w:hint="eastAsia"/>
          <w:color w:val="auto"/>
        </w:rPr>
        <w:t>有微毒，其它成分均为无毒物质，在配制油基钻井液时，柴油、CaCl</w:t>
      </w:r>
      <w:r>
        <w:rPr>
          <w:rFonts w:hint="eastAsia"/>
          <w:color w:val="auto"/>
          <w:vertAlign w:val="subscript"/>
        </w:rPr>
        <w:t>2</w:t>
      </w:r>
      <w:r>
        <w:rPr>
          <w:rFonts w:hint="eastAsia"/>
          <w:color w:val="auto"/>
        </w:rPr>
        <w:t>随料拉运，随拉随用，对环境影响较小。根据《国家危险废物名录》（2021 版）废弃油基钻井液、含油钻井岩屑危险类别及代码为 HW08/071-002-08，依托大庆中林绿源生物环保有限公司处理。</w:t>
      </w:r>
    </w:p>
    <w:p>
      <w:pPr>
        <w:pStyle w:val="83"/>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）沾油废弃防渗布、废弃氢氧化钾包装袋</w:t>
      </w:r>
    </w:p>
    <w:p>
      <w:pPr>
        <w:pStyle w:val="83"/>
        <w:bidi w:val="0"/>
        <w:rPr>
          <w:rFonts w:hint="eastAsia" w:hAnsi="宋体"/>
          <w:color w:val="auto"/>
          <w:szCs w:val="28"/>
          <w:lang w:eastAsia="zh-CN"/>
        </w:rPr>
      </w:pPr>
      <w:r>
        <w:rPr>
          <w:rFonts w:hint="eastAsia"/>
          <w:color w:val="auto"/>
        </w:rPr>
        <w:t>根据《国家危险废物名录》（2021 版）沾油废弃防渗布危险类别及代码为 HW49/900-041-49，委托有资质的危废处理单位处置；废弃氢氧化钾包装袋危险废物类别及代码为 HW49/900-041-49，现场不暂存，产生后及时拉运，委托有资质单位处理</w:t>
      </w:r>
      <w:r>
        <w:rPr>
          <w:rFonts w:hint="eastAsia" w:hAnsi="宋体"/>
          <w:color w:val="auto"/>
          <w:szCs w:val="28"/>
          <w:lang w:eastAsia="zh-CN"/>
        </w:rPr>
        <w:t>。</w:t>
      </w:r>
    </w:p>
    <w:p>
      <w:pPr>
        <w:pStyle w:val="83"/>
        <w:bidi w:val="0"/>
        <w:rPr>
          <w:rFonts w:hint="eastAsia" w:hAnsi="宋体"/>
          <w:color w:val="auto"/>
          <w:sz w:val="28"/>
          <w:szCs w:val="28"/>
          <w:lang w:eastAsia="zh-CN"/>
        </w:rPr>
      </w:pPr>
      <w:r>
        <w:rPr>
          <w:rFonts w:hint="eastAsia" w:hAnsi="宋体"/>
          <w:color w:val="auto"/>
          <w:szCs w:val="28"/>
          <w:lang w:eastAsia="zh-CN"/>
        </w:rPr>
        <w:t>（</w:t>
      </w:r>
      <w:r>
        <w:rPr>
          <w:rFonts w:hint="eastAsia" w:hAnsi="宋体"/>
          <w:color w:val="auto"/>
          <w:szCs w:val="28"/>
          <w:lang w:val="en-US" w:eastAsia="zh-CN"/>
        </w:rPr>
        <w:t>3</w:t>
      </w:r>
      <w:r>
        <w:rPr>
          <w:rFonts w:hint="eastAsia" w:hAnsi="宋体"/>
          <w:color w:val="auto"/>
          <w:szCs w:val="28"/>
          <w:lang w:eastAsia="zh-CN"/>
        </w:rPr>
        <w:t>）</w:t>
      </w:r>
      <w:r>
        <w:rPr>
          <w:rFonts w:hint="eastAsia" w:hAnsi="宋体"/>
          <w:color w:val="auto"/>
          <w:sz w:val="28"/>
          <w:szCs w:val="28"/>
          <w:lang w:eastAsia="zh-CN"/>
        </w:rPr>
        <w:t>危险废物收集、贮存、运输相关要求</w:t>
      </w:r>
    </w:p>
    <w:p>
      <w:pPr>
        <w:pStyle w:val="83"/>
        <w:bidi w:val="0"/>
        <w:rPr>
          <w:color w:val="auto"/>
        </w:rPr>
      </w:pPr>
      <w:r>
        <w:rPr>
          <w:rFonts w:hint="eastAsia"/>
          <w:color w:val="auto"/>
          <w:lang w:val="en-US" w:eastAsia="zh-CN"/>
        </w:rPr>
        <w:t>本工程产生的危险废物主要是废弃油基钻井泥浆、含油钻井岩屑、废</w:t>
      </w:r>
      <w:r>
        <w:rPr>
          <w:rFonts w:hint="default"/>
          <w:color w:val="auto"/>
          <w:lang w:val="en-US" w:eastAsia="zh-CN"/>
        </w:rPr>
        <w:t xml:space="preserve">KOH </w:t>
      </w:r>
      <w:r>
        <w:rPr>
          <w:rFonts w:hint="eastAsia"/>
          <w:color w:val="auto"/>
          <w:lang w:val="en-US" w:eastAsia="zh-CN"/>
        </w:rPr>
        <w:t>包装袋。危险废物应严格按照《建设项目危险废物环境影响评价指南》、 《危险废物收集 贮存 运输技术规范》、《危险废物环境管理指南</w:t>
      </w:r>
      <w:r>
        <w:rPr>
          <w:rFonts w:hint="default"/>
          <w:color w:val="auto"/>
          <w:lang w:val="en-US" w:eastAsia="zh-CN"/>
        </w:rPr>
        <w:t xml:space="preserve">- </w:t>
      </w:r>
      <w:r>
        <w:rPr>
          <w:rFonts w:hint="eastAsia"/>
          <w:color w:val="auto"/>
          <w:lang w:val="en-US" w:eastAsia="zh-CN"/>
        </w:rPr>
        <w:t xml:space="preserve">陆上石 油天然气开采》进行危险废物收集、贮存、运输、处置工作，危险废物转移采用转运联单制。 </w:t>
      </w:r>
    </w:p>
    <w:p>
      <w:pPr>
        <w:pStyle w:val="83"/>
        <w:bidi w:val="0"/>
        <w:rPr>
          <w:color w:val="auto"/>
        </w:rPr>
      </w:pPr>
      <w:r>
        <w:rPr>
          <w:rFonts w:hint="default"/>
          <w:color w:val="auto"/>
          <w:lang w:val="en-US" w:eastAsia="zh-CN"/>
        </w:rPr>
        <w:t>1</w:t>
      </w:r>
      <w:r>
        <w:rPr>
          <w:rFonts w:hint="eastAsia"/>
          <w:color w:val="auto"/>
          <w:lang w:val="en-US" w:eastAsia="zh-CN"/>
        </w:rPr>
        <w:t xml:space="preserve">）危险废物收集 </w:t>
      </w:r>
    </w:p>
    <w:p>
      <w:pPr>
        <w:pStyle w:val="83"/>
        <w:bidi w:val="0"/>
        <w:rPr>
          <w:color w:val="auto"/>
        </w:rPr>
      </w:pPr>
      <w:r>
        <w:rPr>
          <w:rFonts w:hint="eastAsia"/>
          <w:color w:val="auto"/>
          <w:lang w:val="en-US" w:eastAsia="zh-CN"/>
        </w:rPr>
        <w:t xml:space="preserve">①根据危险废物产生的工艺特征、排放规律、危险废物特征等因素制定收集计划； </w:t>
      </w:r>
    </w:p>
    <w:p>
      <w:pPr>
        <w:pStyle w:val="83"/>
        <w:bidi w:val="0"/>
        <w:rPr>
          <w:color w:val="auto"/>
        </w:rPr>
      </w:pPr>
      <w:r>
        <w:rPr>
          <w:rFonts w:hint="eastAsia"/>
          <w:color w:val="auto"/>
          <w:lang w:val="en-US" w:eastAsia="zh-CN"/>
        </w:rPr>
        <w:t xml:space="preserve">②制定详细的操作规程，内容应包括使用范围、操作程序和方法、专用设备和工具、转移与移交、安全保障和应急防护； </w:t>
      </w:r>
    </w:p>
    <w:p>
      <w:pPr>
        <w:pStyle w:val="83"/>
        <w:bidi w:val="0"/>
        <w:rPr>
          <w:rFonts w:hint="eastAsia"/>
          <w:color w:val="auto"/>
          <w:lang w:val="en-US" w:eastAsia="zh-CN"/>
        </w:rPr>
      </w:pPr>
      <w:r>
        <w:rPr>
          <w:rFonts w:hint="eastAsia"/>
          <w:color w:val="auto"/>
          <w:lang w:val="en-US" w:eastAsia="zh-CN"/>
        </w:rPr>
        <w:t>③在危险废物的收集和转运过程中，采取相应的措施杜绝抛洒地漏；</w:t>
      </w:r>
    </w:p>
    <w:p>
      <w:pPr>
        <w:pStyle w:val="83"/>
        <w:bidi w:val="0"/>
        <w:rPr>
          <w:color w:val="auto"/>
        </w:rPr>
      </w:pPr>
      <w:r>
        <w:rPr>
          <w:rFonts w:hint="eastAsia"/>
          <w:color w:val="auto"/>
          <w:lang w:val="en-US" w:eastAsia="zh-CN"/>
        </w:rPr>
        <w:t>④必须按照清洁生产的原则，从源头上加以控制，要按照</w:t>
      </w:r>
      <w:r>
        <w:rPr>
          <w:rFonts w:hint="default"/>
          <w:color w:val="auto"/>
          <w:lang w:val="en-US" w:eastAsia="zh-CN"/>
        </w:rPr>
        <w:t>―</w:t>
      </w:r>
      <w:r>
        <w:rPr>
          <w:rFonts w:hint="eastAsia"/>
          <w:color w:val="auto"/>
          <w:lang w:val="en-US" w:eastAsia="zh-CN"/>
        </w:rPr>
        <w:t xml:space="preserve">铺设作业、带罐上岗的作业模式。 </w:t>
      </w:r>
    </w:p>
    <w:p>
      <w:pPr>
        <w:pStyle w:val="83"/>
        <w:bidi w:val="0"/>
        <w:rPr>
          <w:color w:val="auto"/>
        </w:rPr>
      </w:pPr>
      <w:r>
        <w:rPr>
          <w:rFonts w:hint="default"/>
          <w:color w:val="auto"/>
          <w:lang w:val="en-US" w:eastAsia="zh-CN"/>
        </w:rPr>
        <w:t>2</w:t>
      </w:r>
      <w:r>
        <w:rPr>
          <w:rFonts w:hint="eastAsia"/>
          <w:color w:val="auto"/>
          <w:lang w:val="en-US" w:eastAsia="zh-CN"/>
        </w:rPr>
        <w:t xml:space="preserve">）危险废物贮存措施 </w:t>
      </w:r>
    </w:p>
    <w:p>
      <w:pPr>
        <w:pStyle w:val="83"/>
        <w:bidi w:val="0"/>
        <w:rPr>
          <w:color w:val="auto"/>
        </w:rPr>
      </w:pPr>
      <w:r>
        <w:rPr>
          <w:rFonts w:hint="eastAsia"/>
          <w:color w:val="auto"/>
          <w:lang w:val="en-US" w:eastAsia="zh-CN"/>
        </w:rPr>
        <w:t xml:space="preserve">本工程危险废物不进行贮存，危险废物产生之后及时清运，依托相关处理单位或委托有资质单位处理。 </w:t>
      </w:r>
    </w:p>
    <w:p>
      <w:pPr>
        <w:pStyle w:val="83"/>
        <w:bidi w:val="0"/>
        <w:rPr>
          <w:color w:val="auto"/>
        </w:rPr>
      </w:pPr>
      <w:r>
        <w:rPr>
          <w:rFonts w:hint="default"/>
          <w:color w:val="auto"/>
          <w:lang w:val="en-US" w:eastAsia="zh-CN"/>
        </w:rPr>
        <w:t>3</w:t>
      </w:r>
      <w:r>
        <w:rPr>
          <w:rFonts w:hint="eastAsia"/>
          <w:color w:val="auto"/>
          <w:lang w:val="en-US" w:eastAsia="zh-CN"/>
        </w:rPr>
        <w:t xml:space="preserve">）危险废物运输措施 </w:t>
      </w:r>
    </w:p>
    <w:p>
      <w:pPr>
        <w:pStyle w:val="83"/>
        <w:bidi w:val="0"/>
        <w:rPr>
          <w:color w:val="auto"/>
        </w:rPr>
      </w:pPr>
      <w:r>
        <w:rPr>
          <w:rFonts w:hint="eastAsia"/>
          <w:color w:val="auto"/>
          <w:lang w:val="en-US" w:eastAsia="zh-CN"/>
        </w:rPr>
        <w:t xml:space="preserve">①运输转移危险废物的，按照《危险废物转移联单管理办法》有关规定运行转移联单； </w:t>
      </w:r>
    </w:p>
    <w:p>
      <w:pPr>
        <w:pStyle w:val="83"/>
        <w:bidi w:val="0"/>
        <w:rPr>
          <w:color w:val="auto"/>
        </w:rPr>
      </w:pPr>
      <w:r>
        <w:rPr>
          <w:rFonts w:hint="eastAsia"/>
          <w:color w:val="auto"/>
          <w:lang w:val="en-US" w:eastAsia="zh-CN"/>
        </w:rPr>
        <w:t xml:space="preserve">②联单转移总数量应与企业申报登记数量、台账记录转移数量基本一致； </w:t>
      </w:r>
    </w:p>
    <w:p>
      <w:pPr>
        <w:pStyle w:val="83"/>
        <w:bidi w:val="0"/>
        <w:rPr>
          <w:color w:val="auto"/>
        </w:rPr>
      </w:pPr>
      <w:r>
        <w:rPr>
          <w:rFonts w:hint="eastAsia"/>
          <w:color w:val="auto"/>
          <w:lang w:val="en-US" w:eastAsia="zh-CN"/>
        </w:rPr>
        <w:t xml:space="preserve">③担任储运人员须经过上岗培训，经定期考核通过后方能持证上岗， </w:t>
      </w:r>
    </w:p>
    <w:p>
      <w:pPr>
        <w:pStyle w:val="83"/>
        <w:bidi w:val="0"/>
        <w:rPr>
          <w:color w:val="auto"/>
        </w:rPr>
      </w:pPr>
      <w:r>
        <w:rPr>
          <w:rFonts w:hint="eastAsia"/>
          <w:color w:val="auto"/>
          <w:lang w:val="en-US" w:eastAsia="zh-CN"/>
        </w:rPr>
        <w:t xml:space="preserve">工作人员应熟悉事故应急设备的使用和维护，了解应急手册应急处理流程，一旦发生意外，在采取应急处理的同时，迅速报告公安、交通部门和环保等有关部门，必要时疏散群众，防止事态进一步步扩大和恶化。 </w:t>
      </w:r>
    </w:p>
    <w:p>
      <w:pPr>
        <w:pStyle w:val="83"/>
        <w:bidi w:val="0"/>
        <w:rPr>
          <w:color w:val="auto"/>
        </w:rPr>
      </w:pPr>
      <w:r>
        <w:rPr>
          <w:rFonts w:hint="eastAsia"/>
          <w:color w:val="auto"/>
          <w:lang w:val="en-US" w:eastAsia="zh-CN"/>
        </w:rPr>
        <w:t xml:space="preserve">④企业对运输信息进行审核，包括运输单位、运输车辆、驾驶员及押运员应具有相关的运输资质，以及运输过程中的应急预案及应急物质的准备； </w:t>
      </w:r>
    </w:p>
    <w:p>
      <w:pPr>
        <w:pStyle w:val="83"/>
        <w:bidi w:val="0"/>
        <w:rPr>
          <w:color w:val="auto"/>
        </w:rPr>
      </w:pPr>
      <w:r>
        <w:rPr>
          <w:rFonts w:hint="eastAsia"/>
          <w:color w:val="auto"/>
          <w:lang w:val="en-US" w:eastAsia="zh-CN"/>
        </w:rPr>
        <w:t xml:space="preserve">⑤危险废物运输车辆纳入专项管理，转运过程按照规定的转运路线行驶； </w:t>
      </w:r>
    </w:p>
    <w:p>
      <w:pPr>
        <w:pStyle w:val="83"/>
        <w:bidi w:val="0"/>
        <w:rPr>
          <w:color w:val="auto"/>
        </w:rPr>
      </w:pPr>
      <w:r>
        <w:rPr>
          <w:rFonts w:hint="eastAsia"/>
          <w:color w:val="auto"/>
          <w:lang w:val="en-US" w:eastAsia="zh-CN"/>
        </w:rPr>
        <w:t xml:space="preserve">⑥转运必须将危险废物及运输容器固定牢靠，防治泄露； </w:t>
      </w:r>
    </w:p>
    <w:p>
      <w:pPr>
        <w:pStyle w:val="83"/>
        <w:bidi w:val="0"/>
        <w:rPr>
          <w:color w:val="auto"/>
        </w:rPr>
      </w:pPr>
      <w:r>
        <w:rPr>
          <w:rFonts w:hint="eastAsia"/>
          <w:color w:val="auto"/>
          <w:lang w:val="en-US" w:eastAsia="zh-CN"/>
        </w:rPr>
        <w:t xml:space="preserve">⑦危险废物转运要有明确的交接记录，包括转运的数量、时间、转运车牌号、驾驶员联系方式等； </w:t>
      </w:r>
    </w:p>
    <w:p>
      <w:pPr>
        <w:pStyle w:val="83"/>
        <w:bidi w:val="0"/>
        <w:rPr>
          <w:color w:val="auto"/>
        </w:rPr>
      </w:pPr>
      <w:r>
        <w:rPr>
          <w:rFonts w:hint="eastAsia"/>
          <w:color w:val="auto"/>
          <w:lang w:val="en-US" w:eastAsia="zh-CN"/>
        </w:rPr>
        <w:t>⑧危险废物转运必须具有完善的应急预案，包括预防有处理泄露、交通事故等突发情况。</w:t>
      </w:r>
      <w:r>
        <w:rPr>
          <w:rFonts w:hint="eastAsia" w:ascii="宋体" w:hAnsi="宋体" w:eastAsia="宋体" w:cs="宋体"/>
          <w:color w:val="auto"/>
          <w:kern w:val="0"/>
          <w:szCs w:val="28"/>
          <w:lang w:val="en-US" w:eastAsia="zh-CN" w:bidi="ar"/>
        </w:rPr>
        <w:t xml:space="preserve"> </w:t>
      </w:r>
    </w:p>
    <w:p>
      <w:pPr>
        <w:pStyle w:val="5"/>
        <w:numPr>
          <w:ilvl w:val="2"/>
          <w:numId w:val="4"/>
        </w:numPr>
        <w:bidi w:val="0"/>
        <w:rPr>
          <w:color w:val="auto"/>
        </w:rPr>
      </w:pPr>
      <w:r>
        <w:rPr>
          <w:color w:val="auto"/>
        </w:rPr>
        <w:t>结论及建议</w:t>
      </w:r>
    </w:p>
    <w:p>
      <w:pPr>
        <w:pStyle w:val="21"/>
        <w:spacing w:line="480" w:lineRule="exact"/>
        <w:ind w:firstLine="482"/>
        <w:rPr>
          <w:rFonts w:ascii="Times New Roman"/>
          <w:color w:val="auto"/>
          <w:sz w:val="28"/>
          <w:szCs w:val="28"/>
        </w:rPr>
      </w:pPr>
      <w:r>
        <w:rPr>
          <w:rFonts w:ascii="Times New Roman" w:hAnsi="宋体"/>
          <w:color w:val="auto"/>
          <w:kern w:val="0"/>
          <w:sz w:val="28"/>
          <w:szCs w:val="28"/>
        </w:rPr>
        <w:t>由上述分析可知，本工程对施工期的各类固体废弃物均进行了合理的处置，能够实现固废的减量化、资源化和无害化，对环境影响较小。</w:t>
      </w:r>
    </w:p>
    <w:p>
      <w:pPr>
        <w:pStyle w:val="4"/>
        <w:numPr>
          <w:ilvl w:val="1"/>
          <w:numId w:val="4"/>
        </w:numPr>
        <w:bidi w:val="0"/>
        <w:rPr>
          <w:color w:val="auto"/>
        </w:rPr>
      </w:pPr>
      <w:bookmarkStart w:id="591" w:name="_Toc29720"/>
      <w:bookmarkStart w:id="592" w:name="_Toc96083873"/>
      <w:r>
        <w:rPr>
          <w:color w:val="auto"/>
        </w:rPr>
        <w:t>生态影响评价</w:t>
      </w:r>
      <w:bookmarkEnd w:id="591"/>
      <w:bookmarkEnd w:id="592"/>
    </w:p>
    <w:p>
      <w:pPr>
        <w:pStyle w:val="5"/>
        <w:numPr>
          <w:ilvl w:val="2"/>
          <w:numId w:val="4"/>
        </w:numPr>
        <w:bidi w:val="0"/>
        <w:rPr>
          <w:color w:val="auto"/>
        </w:rPr>
      </w:pPr>
      <w:r>
        <w:rPr>
          <w:color w:val="auto"/>
        </w:rPr>
        <w:t>生态影响途径</w:t>
      </w:r>
    </w:p>
    <w:p>
      <w:pPr>
        <w:pStyle w:val="21"/>
        <w:spacing w:line="480" w:lineRule="exact"/>
        <w:ind w:firstLine="482"/>
        <w:rPr>
          <w:rFonts w:ascii="Times New Roman"/>
          <w:color w:val="auto"/>
          <w:sz w:val="28"/>
          <w:szCs w:val="28"/>
        </w:rPr>
      </w:pPr>
      <w:r>
        <w:rPr>
          <w:rFonts w:ascii="Times New Roman" w:hAnsi="宋体"/>
          <w:color w:val="auto"/>
          <w:sz w:val="28"/>
          <w:szCs w:val="28"/>
        </w:rPr>
        <w:t>本工程对生态的影响主要来自施工期，属于低频率高强度的局部破坏。钻井施工时，除井场本身永久占地外，还会因机械设备、车辆的碾压、人员的践踏、材料占地等活动，造成土壤板结、植被剥离，植株矮小，群落盖度降低，在原来连续分布的生态中，产生生态斑块，造成地貌及地表温度、水分等物理异常，进而影响生态的类型和结构。</w:t>
      </w:r>
    </w:p>
    <w:p>
      <w:pPr>
        <w:pStyle w:val="5"/>
        <w:numPr>
          <w:ilvl w:val="2"/>
          <w:numId w:val="4"/>
        </w:numPr>
        <w:bidi w:val="0"/>
        <w:rPr>
          <w:color w:val="auto"/>
        </w:rPr>
      </w:pPr>
      <w:r>
        <w:rPr>
          <w:rFonts w:hint="eastAsia"/>
          <w:color w:val="auto"/>
          <w:lang w:eastAsia="zh-CN"/>
        </w:rPr>
        <w:t>基本农田</w:t>
      </w:r>
      <w:r>
        <w:rPr>
          <w:color w:val="auto"/>
        </w:rPr>
        <w:t>生态系统影响分析</w:t>
      </w:r>
    </w:p>
    <w:p>
      <w:pPr>
        <w:pStyle w:val="21"/>
        <w:spacing w:line="480" w:lineRule="exact"/>
        <w:ind w:firstLine="482"/>
        <w:rPr>
          <w:rFonts w:ascii="Times New Roman" w:hAnsi="宋体"/>
          <w:color w:val="auto"/>
          <w:sz w:val="28"/>
          <w:szCs w:val="28"/>
        </w:rPr>
      </w:pPr>
      <w:r>
        <w:rPr>
          <w:rFonts w:ascii="Times New Roman" w:hAnsi="宋体"/>
          <w:color w:val="auto"/>
          <w:sz w:val="28"/>
          <w:szCs w:val="28"/>
        </w:rPr>
        <w:t>由于钻井临时占地和井场的永久占地，使当季无法种植作物，将耽误全年收成。永久性占地仍无法种植作物；临时影响区内农田可恢复种植，但由于对耕作层的翻动使肥力下降，第二、三年产量将下降</w:t>
      </w:r>
      <w:r>
        <w:rPr>
          <w:rFonts w:ascii="Times New Roman"/>
          <w:color w:val="auto"/>
          <w:sz w:val="28"/>
          <w:szCs w:val="28"/>
        </w:rPr>
        <w:t>20%-40%</w:t>
      </w:r>
      <w:r>
        <w:rPr>
          <w:rFonts w:ascii="Times New Roman" w:hAnsi="宋体"/>
          <w:color w:val="auto"/>
          <w:sz w:val="28"/>
          <w:szCs w:val="28"/>
        </w:rPr>
        <w:t>。本工程共占用永久占地</w:t>
      </w:r>
      <w:r>
        <w:rPr>
          <w:rFonts w:hint="eastAsia"/>
          <w:color w:val="auto"/>
          <w:sz w:val="28"/>
          <w:szCs w:val="28"/>
          <w:lang w:val="en-US" w:eastAsia="zh-CN"/>
        </w:rPr>
        <w:t>1.6</w:t>
      </w:r>
      <w:r>
        <w:rPr>
          <w:rFonts w:ascii="Times New Roman"/>
          <w:color w:val="auto"/>
          <w:sz w:val="28"/>
          <w:szCs w:val="28"/>
        </w:rPr>
        <w:t>hm</w:t>
      </w:r>
      <w:r>
        <w:rPr>
          <w:rFonts w:ascii="Times New Roman"/>
          <w:color w:val="auto"/>
          <w:sz w:val="28"/>
          <w:szCs w:val="28"/>
          <w:vertAlign w:val="superscript"/>
        </w:rPr>
        <w:t>2</w:t>
      </w:r>
      <w:r>
        <w:rPr>
          <w:rFonts w:ascii="Times New Roman" w:hAnsi="宋体"/>
          <w:color w:val="auto"/>
          <w:sz w:val="28"/>
          <w:szCs w:val="28"/>
        </w:rPr>
        <w:t>，临时占地</w:t>
      </w:r>
      <w:r>
        <w:rPr>
          <w:rFonts w:hint="eastAsia"/>
          <w:color w:val="auto"/>
          <w:sz w:val="28"/>
          <w:szCs w:val="28"/>
          <w:lang w:val="en-US" w:eastAsia="zh-CN"/>
        </w:rPr>
        <w:t>11.84</w:t>
      </w:r>
      <w:r>
        <w:rPr>
          <w:rFonts w:ascii="Times New Roman"/>
          <w:color w:val="auto"/>
          <w:sz w:val="28"/>
          <w:szCs w:val="28"/>
        </w:rPr>
        <w:t>hm</w:t>
      </w:r>
      <w:r>
        <w:rPr>
          <w:rFonts w:ascii="Times New Roman"/>
          <w:color w:val="auto"/>
          <w:sz w:val="28"/>
          <w:szCs w:val="28"/>
          <w:vertAlign w:val="superscript"/>
        </w:rPr>
        <w:t>2</w:t>
      </w:r>
      <w:r>
        <w:rPr>
          <w:rFonts w:ascii="Times New Roman" w:hAnsi="宋体"/>
          <w:color w:val="auto"/>
          <w:sz w:val="28"/>
          <w:szCs w:val="28"/>
        </w:rPr>
        <w:t>。粮食产量按</w:t>
      </w:r>
      <w:r>
        <w:rPr>
          <w:rFonts w:ascii="Times New Roman"/>
          <w:color w:val="auto"/>
          <w:sz w:val="28"/>
          <w:szCs w:val="28"/>
        </w:rPr>
        <w:t>9750kg/hm</w:t>
      </w:r>
      <w:r>
        <w:rPr>
          <w:rFonts w:ascii="Times New Roman"/>
          <w:color w:val="auto"/>
          <w:sz w:val="28"/>
          <w:szCs w:val="28"/>
          <w:vertAlign w:val="superscript"/>
        </w:rPr>
        <w:t>2</w:t>
      </w:r>
      <w:r>
        <w:rPr>
          <w:rFonts w:ascii="Times New Roman" w:hAnsi="宋体"/>
          <w:color w:val="auto"/>
          <w:sz w:val="28"/>
          <w:szCs w:val="28"/>
        </w:rPr>
        <w:t>计算（以玉米产量计算），共损失粮食</w:t>
      </w:r>
      <w:r>
        <w:rPr>
          <w:rFonts w:hint="eastAsia"/>
          <w:color w:val="auto"/>
          <w:sz w:val="28"/>
          <w:szCs w:val="28"/>
          <w:lang w:val="en-US" w:eastAsia="zh-CN"/>
        </w:rPr>
        <w:t>156</w:t>
      </w:r>
      <w:r>
        <w:rPr>
          <w:rFonts w:ascii="Times New Roman"/>
          <w:color w:val="auto"/>
          <w:sz w:val="28"/>
          <w:szCs w:val="28"/>
        </w:rPr>
        <w:t>t</w:t>
      </w:r>
      <w:r>
        <w:rPr>
          <w:rFonts w:ascii="Times New Roman" w:hAnsi="宋体"/>
          <w:color w:val="auto"/>
          <w:sz w:val="28"/>
          <w:szCs w:val="28"/>
        </w:rPr>
        <w:t>（永久占地按</w:t>
      </w:r>
      <w:r>
        <w:rPr>
          <w:rFonts w:ascii="Times New Roman"/>
          <w:color w:val="auto"/>
          <w:sz w:val="28"/>
          <w:szCs w:val="28"/>
        </w:rPr>
        <w:t>10</w:t>
      </w:r>
      <w:r>
        <w:rPr>
          <w:rFonts w:ascii="Times New Roman" w:hAnsi="宋体"/>
          <w:color w:val="auto"/>
          <w:sz w:val="28"/>
          <w:szCs w:val="28"/>
        </w:rPr>
        <w:t>年计算，临时占地按</w:t>
      </w:r>
      <w:r>
        <w:rPr>
          <w:rFonts w:ascii="Times New Roman"/>
          <w:color w:val="auto"/>
          <w:sz w:val="28"/>
          <w:szCs w:val="28"/>
        </w:rPr>
        <w:t>3</w:t>
      </w:r>
      <w:r>
        <w:rPr>
          <w:rFonts w:ascii="Times New Roman" w:hAnsi="宋体"/>
          <w:color w:val="auto"/>
          <w:sz w:val="28"/>
          <w:szCs w:val="28"/>
        </w:rPr>
        <w:t>年计算），玉米价格按</w:t>
      </w:r>
      <w:r>
        <w:rPr>
          <w:rFonts w:ascii="Times New Roman"/>
          <w:color w:val="auto"/>
          <w:sz w:val="28"/>
          <w:szCs w:val="28"/>
        </w:rPr>
        <w:t>2</w:t>
      </w:r>
      <w:r>
        <w:rPr>
          <w:rFonts w:hint="eastAsia" w:ascii="Times New Roman"/>
          <w:color w:val="auto"/>
          <w:sz w:val="28"/>
          <w:szCs w:val="28"/>
        </w:rPr>
        <w:t>200</w:t>
      </w:r>
      <w:r>
        <w:rPr>
          <w:rFonts w:ascii="Times New Roman" w:hAnsi="宋体"/>
          <w:color w:val="auto"/>
          <w:sz w:val="28"/>
          <w:szCs w:val="28"/>
        </w:rPr>
        <w:t>元</w:t>
      </w:r>
      <w:r>
        <w:rPr>
          <w:rFonts w:ascii="Times New Roman"/>
          <w:color w:val="auto"/>
          <w:sz w:val="28"/>
          <w:szCs w:val="28"/>
        </w:rPr>
        <w:t>/</w:t>
      </w:r>
      <w:r>
        <w:rPr>
          <w:rFonts w:ascii="Times New Roman" w:hAnsi="宋体"/>
          <w:color w:val="auto"/>
          <w:sz w:val="28"/>
          <w:szCs w:val="28"/>
        </w:rPr>
        <w:t>吨计算，其经济价值为</w:t>
      </w:r>
      <w:r>
        <w:rPr>
          <w:rFonts w:hint="eastAsia"/>
          <w:color w:val="auto"/>
          <w:sz w:val="28"/>
          <w:szCs w:val="28"/>
          <w:lang w:val="en-US" w:eastAsia="zh-CN"/>
        </w:rPr>
        <w:t>34.32</w:t>
      </w:r>
      <w:r>
        <w:rPr>
          <w:rFonts w:ascii="Times New Roman" w:hAnsi="宋体"/>
          <w:color w:val="auto"/>
          <w:sz w:val="28"/>
          <w:szCs w:val="28"/>
        </w:rPr>
        <w:t>万元。由于本工程临时占地的占用期限很短（占用期限为</w:t>
      </w:r>
      <w:r>
        <w:rPr>
          <w:rFonts w:ascii="Times New Roman"/>
          <w:color w:val="auto"/>
          <w:sz w:val="28"/>
          <w:szCs w:val="28"/>
        </w:rPr>
        <w:t>1</w:t>
      </w:r>
      <w:r>
        <w:rPr>
          <w:rFonts w:ascii="Times New Roman" w:hAnsi="宋体"/>
          <w:color w:val="auto"/>
          <w:sz w:val="28"/>
          <w:szCs w:val="28"/>
        </w:rPr>
        <w:t>年），在完工后可以及时复垦为耕地，而且对永久占用的耕地，按照</w:t>
      </w:r>
      <w:r>
        <w:rPr>
          <w:rFonts w:ascii="Times New Roman"/>
          <w:color w:val="auto"/>
          <w:sz w:val="28"/>
          <w:szCs w:val="28"/>
        </w:rPr>
        <w:t>“</w:t>
      </w:r>
      <w:r>
        <w:rPr>
          <w:rFonts w:ascii="Times New Roman" w:hAnsi="宋体"/>
          <w:color w:val="auto"/>
          <w:sz w:val="28"/>
          <w:szCs w:val="28"/>
        </w:rPr>
        <w:t>占多少，垦多少</w:t>
      </w:r>
      <w:r>
        <w:rPr>
          <w:rFonts w:ascii="Times New Roman"/>
          <w:color w:val="auto"/>
          <w:sz w:val="28"/>
          <w:szCs w:val="28"/>
        </w:rPr>
        <w:t>”</w:t>
      </w:r>
      <w:r>
        <w:rPr>
          <w:rFonts w:ascii="Times New Roman" w:hAnsi="宋体"/>
          <w:color w:val="auto"/>
          <w:sz w:val="28"/>
          <w:szCs w:val="28"/>
        </w:rPr>
        <w:t>的原则，采取了补偿措施（缴纳耕地开垦费，专款用于开垦新的耕地），所以不会对当地农业产生大的影响。</w:t>
      </w:r>
    </w:p>
    <w:p>
      <w:pPr>
        <w:pStyle w:val="5"/>
        <w:numPr>
          <w:ilvl w:val="2"/>
          <w:numId w:val="2"/>
        </w:numPr>
        <w:bidi w:val="0"/>
        <w:rPr>
          <w:rFonts w:hint="eastAsia"/>
          <w:color w:val="auto"/>
          <w:lang w:eastAsia="zh-CN"/>
        </w:rPr>
      </w:pPr>
      <w:r>
        <w:rPr>
          <w:rFonts w:hint="eastAsia"/>
          <w:color w:val="auto"/>
          <w:lang w:eastAsia="zh-CN"/>
        </w:rPr>
        <w:t>草地生态环境影响分析</w:t>
      </w:r>
    </w:p>
    <w:p>
      <w:pPr>
        <w:pStyle w:val="21"/>
        <w:spacing w:line="480" w:lineRule="exact"/>
        <w:ind w:firstLine="482"/>
        <w:rPr>
          <w:rFonts w:hint="eastAsia" w:hAnsi="宋体"/>
          <w:color w:val="auto"/>
          <w:sz w:val="28"/>
          <w:szCs w:val="28"/>
          <w:lang w:eastAsia="zh-CN"/>
        </w:rPr>
      </w:pPr>
      <w:r>
        <w:rPr>
          <w:rFonts w:hint="eastAsia" w:hAnsi="宋体"/>
          <w:color w:val="auto"/>
          <w:sz w:val="28"/>
          <w:szCs w:val="28"/>
          <w:lang w:eastAsia="zh-CN"/>
        </w:rPr>
        <w:t>临时占地自然植被演替的规律是先是一、二年生的植物，3-5年后可恢复到冷篙、杂草类，10年后可达到原来的顶级群落，因此这种影响是短期可逆的，施工结束后，被占用的草地开始恢复。</w:t>
      </w:r>
    </w:p>
    <w:p>
      <w:pPr>
        <w:pStyle w:val="5"/>
        <w:numPr>
          <w:ilvl w:val="2"/>
          <w:numId w:val="4"/>
        </w:numPr>
        <w:bidi w:val="0"/>
        <w:rPr>
          <w:color w:val="auto"/>
        </w:rPr>
      </w:pPr>
      <w:r>
        <w:rPr>
          <w:color w:val="auto"/>
        </w:rPr>
        <w:t>防沙治沙影响分析</w:t>
      </w:r>
    </w:p>
    <w:p>
      <w:pPr>
        <w:pStyle w:val="27"/>
        <w:snapToGrid w:val="0"/>
        <w:spacing w:after="0" w:line="500" w:lineRule="exact"/>
        <w:ind w:left="0" w:leftChars="0" w:firstLine="560" w:firstLineChars="200"/>
        <w:rPr>
          <w:snapToGrid w:val="0"/>
          <w:color w:val="auto"/>
          <w:sz w:val="28"/>
          <w:szCs w:val="28"/>
        </w:rPr>
      </w:pPr>
      <w:r>
        <w:rPr>
          <w:rFonts w:hAnsi="宋体"/>
          <w:snapToGrid w:val="0"/>
          <w:color w:val="auto"/>
          <w:sz w:val="28"/>
          <w:szCs w:val="28"/>
        </w:rPr>
        <w:t>根据现场调查，本工程所在地区</w:t>
      </w:r>
      <w:r>
        <w:rPr>
          <w:rFonts w:hAnsi="宋体"/>
          <w:snapToGrid w:val="0"/>
          <w:color w:val="auto"/>
          <w:kern w:val="0"/>
          <w:sz w:val="28"/>
          <w:szCs w:val="28"/>
        </w:rPr>
        <w:t>沙化土壤分布较少，主要地类为土壤性能良好的耕地，</w:t>
      </w:r>
      <w:r>
        <w:rPr>
          <w:rFonts w:hAnsi="宋体"/>
          <w:snapToGrid w:val="0"/>
          <w:color w:val="auto"/>
          <w:sz w:val="28"/>
          <w:szCs w:val="28"/>
        </w:rPr>
        <w:t>植被覆盖度较高，没有大面积裸地及沙化土地。本工程的建设活动会对地表植被造成破坏，在短期内出现局部裸地，</w:t>
      </w:r>
      <w:r>
        <w:rPr>
          <w:rFonts w:hAnsi="宋体"/>
          <w:snapToGrid w:val="0"/>
          <w:color w:val="auto"/>
          <w:kern w:val="0"/>
          <w:sz w:val="28"/>
          <w:szCs w:val="28"/>
        </w:rPr>
        <w:t>土壤层次、结构发生了改变，</w:t>
      </w:r>
      <w:r>
        <w:rPr>
          <w:rFonts w:hAnsi="宋体"/>
          <w:snapToGrid w:val="0"/>
          <w:color w:val="auto"/>
          <w:sz w:val="28"/>
          <w:szCs w:val="28"/>
        </w:rPr>
        <w:t>若不及时恢复，由于水土流失加剧增加了土地沙化的可能性。因此施工期须严格落实各项生态保护措施及生态减缓措施，严格控制施工作业占地范围，施工结束后对施工迹地地表植被进行恢复，路基边坡采取种草措施护坡固土，尽量减少工程建设对土地沙化的影响。</w:t>
      </w:r>
    </w:p>
    <w:p>
      <w:pPr>
        <w:pStyle w:val="5"/>
        <w:numPr>
          <w:ilvl w:val="2"/>
          <w:numId w:val="4"/>
        </w:numPr>
        <w:bidi w:val="0"/>
        <w:rPr>
          <w:color w:val="auto"/>
        </w:rPr>
      </w:pPr>
      <w:r>
        <w:rPr>
          <w:color w:val="auto"/>
        </w:rPr>
        <w:t>水土流失影响分析</w:t>
      </w:r>
    </w:p>
    <w:p>
      <w:pPr>
        <w:snapToGrid w:val="0"/>
        <w:spacing w:line="480" w:lineRule="exact"/>
        <w:ind w:firstLine="560" w:firstLineChars="200"/>
        <w:rPr>
          <w:color w:val="auto"/>
          <w:sz w:val="28"/>
          <w:szCs w:val="28"/>
        </w:rPr>
      </w:pPr>
      <w:r>
        <w:rPr>
          <w:rFonts w:hAnsi="宋体"/>
          <w:color w:val="auto"/>
          <w:sz w:val="28"/>
          <w:szCs w:val="28"/>
        </w:rPr>
        <w:t>本工程建设过程中的各种施工活动对原地貌和地表植被的扰动和破坏，会造成区域内的水土流失。</w:t>
      </w:r>
    </w:p>
    <w:p>
      <w:pPr>
        <w:snapToGrid w:val="0"/>
        <w:spacing w:line="48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）为扬尘天气提供物质资源</w:t>
      </w:r>
    </w:p>
    <w:p>
      <w:pPr>
        <w:spacing w:line="480" w:lineRule="exact"/>
        <w:ind w:firstLine="560" w:firstLineChars="200"/>
        <w:rPr>
          <w:color w:val="auto"/>
          <w:sz w:val="28"/>
          <w:szCs w:val="28"/>
        </w:rPr>
      </w:pPr>
      <w:r>
        <w:rPr>
          <w:rFonts w:hAnsi="宋体"/>
          <w:color w:val="auto"/>
          <w:sz w:val="28"/>
          <w:szCs w:val="28"/>
        </w:rPr>
        <w:t>工程施工对土壤的扰动，使地面变的疏松，而活化、疏松的沙土容易形成扬尘天气，在大风的作用下会成为局部风沙源地，促进扬沙天气的形成，造成项目区比较严重的粉尘污染。</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）风蚀沙化加剧、导致土地生产力下降</w:t>
      </w:r>
    </w:p>
    <w:p>
      <w:pPr>
        <w:spacing w:line="480" w:lineRule="exact"/>
        <w:ind w:firstLine="560" w:firstLineChars="200"/>
        <w:rPr>
          <w:color w:val="auto"/>
          <w:sz w:val="28"/>
          <w:szCs w:val="28"/>
        </w:rPr>
      </w:pPr>
      <w:r>
        <w:rPr>
          <w:rFonts w:hAnsi="宋体"/>
          <w:color w:val="auto"/>
          <w:sz w:val="28"/>
          <w:szCs w:val="28"/>
        </w:rPr>
        <w:t>项目区风力较大，当原地表植被遭到破坏和扰动后，形成较大面积的风蚀面，遇到风力吹袭便可形成挾沙风，挾沙风侵蚀力与净风相比侵大大增强，工程建设程中如不采取行之有效的防护措施，极易诱发土地沙化，降低周边土地生产力，破坏土地资源。</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3</w:t>
      </w:r>
      <w:r>
        <w:rPr>
          <w:rFonts w:hAnsi="宋体"/>
          <w:color w:val="auto"/>
          <w:sz w:val="28"/>
          <w:szCs w:val="28"/>
        </w:rPr>
        <w:t>）导致项目区生态环境恶化</w:t>
      </w:r>
    </w:p>
    <w:p>
      <w:pPr>
        <w:spacing w:line="480" w:lineRule="exact"/>
        <w:ind w:firstLine="560" w:firstLineChars="200"/>
        <w:rPr>
          <w:color w:val="auto"/>
          <w:sz w:val="28"/>
          <w:szCs w:val="28"/>
        </w:rPr>
      </w:pPr>
      <w:r>
        <w:rPr>
          <w:rFonts w:hAnsi="宋体"/>
          <w:color w:val="auto"/>
          <w:sz w:val="28"/>
          <w:szCs w:val="28"/>
        </w:rPr>
        <w:t>工程建设扰动地表，破坏植被，致使项目区下垫面抗侵蚀能力下降，导致项目区土壤侵蚀强度增加，生态系统遭到破坏，生态环境恶化。</w:t>
      </w:r>
    </w:p>
    <w:p>
      <w:pPr>
        <w:pStyle w:val="5"/>
        <w:numPr>
          <w:ilvl w:val="2"/>
          <w:numId w:val="4"/>
        </w:numPr>
        <w:bidi w:val="0"/>
        <w:rPr>
          <w:color w:val="auto"/>
        </w:rPr>
      </w:pPr>
      <w:r>
        <w:rPr>
          <w:color w:val="auto"/>
        </w:rPr>
        <w:t>生态影响评价结论</w:t>
      </w:r>
    </w:p>
    <w:p>
      <w:pPr>
        <w:pStyle w:val="27"/>
        <w:snapToGrid w:val="0"/>
        <w:spacing w:after="0" w:line="500" w:lineRule="exact"/>
        <w:ind w:left="0" w:leftChars="0" w:firstLine="560" w:firstLineChars="200"/>
        <w:rPr>
          <w:snapToGrid w:val="0"/>
          <w:color w:val="auto"/>
          <w:kern w:val="0"/>
          <w:sz w:val="28"/>
          <w:szCs w:val="28"/>
        </w:rPr>
      </w:pPr>
      <w:r>
        <w:rPr>
          <w:rFonts w:hAnsi="宋体"/>
          <w:snapToGrid w:val="0"/>
          <w:color w:val="auto"/>
          <w:kern w:val="0"/>
          <w:sz w:val="28"/>
          <w:szCs w:val="28"/>
        </w:rPr>
        <w:t>本工程对生态的影响主要表现在工程占地和施工活动影响植物的产量，但由于工程占地大多属于临时占地，只要在施工中做到尽量缩少影响范围，受影响的植被在工程结束后就能够在较短的时间内恢复，工程对生态的影响是可接受的。</w:t>
      </w:r>
    </w:p>
    <w:p>
      <w:pPr>
        <w:pStyle w:val="4"/>
        <w:numPr>
          <w:ilvl w:val="1"/>
          <w:numId w:val="4"/>
        </w:numPr>
        <w:bidi w:val="0"/>
        <w:rPr>
          <w:color w:val="auto"/>
        </w:rPr>
      </w:pPr>
      <w:bookmarkStart w:id="593" w:name="_Toc96083874"/>
      <w:bookmarkStart w:id="594" w:name="_Toc22405"/>
      <w:r>
        <w:rPr>
          <w:color w:val="auto"/>
        </w:rPr>
        <w:t>土壤环境影响预测与评价</w:t>
      </w:r>
      <w:bookmarkEnd w:id="593"/>
      <w:bookmarkEnd w:id="594"/>
    </w:p>
    <w:p>
      <w:pPr>
        <w:pStyle w:val="5"/>
        <w:numPr>
          <w:ilvl w:val="2"/>
          <w:numId w:val="4"/>
        </w:numPr>
        <w:bidi w:val="0"/>
        <w:rPr>
          <w:color w:val="auto"/>
        </w:rPr>
      </w:pPr>
      <w:r>
        <w:rPr>
          <w:color w:val="auto"/>
        </w:rPr>
        <w:t>污染物排放对土壤环境影响分析</w:t>
      </w:r>
    </w:p>
    <w:p>
      <w:pPr>
        <w:snapToGrid w:val="0"/>
        <w:spacing w:line="480" w:lineRule="exact"/>
        <w:ind w:firstLine="560" w:firstLineChars="200"/>
        <w:rPr>
          <w:rFonts w:hint="eastAsia" w:hAnsi="宋体"/>
          <w:color w:val="auto"/>
          <w:sz w:val="28"/>
          <w:szCs w:val="28"/>
        </w:rPr>
      </w:pPr>
      <w:r>
        <w:rPr>
          <w:rFonts w:hAnsi="宋体"/>
          <w:color w:val="auto"/>
          <w:sz w:val="28"/>
          <w:szCs w:val="28"/>
        </w:rPr>
        <w:t>本项目对土壤环境的影响主要表现在钻井过程发生井喷及柴油罐泄漏事故时泄漏的石油烃可能对土壤环境造成污染，可对土壤的化学、生物性质等方面造成影响。石油烃或柴油泄漏渗入土壤孔隙，会降低土壤的通透性，抑制土壤中酶活性，使土壤生物减少。石油烃对土壤的污染，可使土地肥力下降，改变土壤的理化性质，影响局部区域土壤正常的结构和功能。根据对现有油田土壤的类比调查结果可知，石油烃污染物对土壤的污染程度与距井口距离成反比，即离井位越近，土壤中石油烃的含量越多，污染程度越重；反之，离井位越远，土壤中石油烃含量越低，污染程度越轻。从平面上看，石油烃污染物集中在离井</w:t>
      </w:r>
      <w:r>
        <w:rPr>
          <w:color w:val="auto"/>
          <w:sz w:val="28"/>
          <w:szCs w:val="28"/>
        </w:rPr>
        <w:t>20</w:t>
      </w:r>
      <w:r>
        <w:rPr>
          <w:rFonts w:hAnsi="宋体"/>
          <w:color w:val="auto"/>
          <w:sz w:val="28"/>
          <w:szCs w:val="28"/>
        </w:rPr>
        <w:t>～</w:t>
      </w:r>
      <w:r>
        <w:rPr>
          <w:color w:val="auto"/>
          <w:sz w:val="28"/>
          <w:szCs w:val="28"/>
        </w:rPr>
        <w:t>30m</w:t>
      </w:r>
      <w:r>
        <w:rPr>
          <w:rFonts w:hAnsi="宋体"/>
          <w:color w:val="auto"/>
          <w:sz w:val="28"/>
          <w:szCs w:val="28"/>
        </w:rPr>
        <w:t>的范围内，约占总量的</w:t>
      </w:r>
      <w:r>
        <w:rPr>
          <w:color w:val="auto"/>
          <w:sz w:val="28"/>
          <w:szCs w:val="28"/>
        </w:rPr>
        <w:t>90%</w:t>
      </w:r>
      <w:r>
        <w:rPr>
          <w:rFonts w:hAnsi="宋体"/>
          <w:color w:val="auto"/>
          <w:sz w:val="28"/>
          <w:szCs w:val="28"/>
        </w:rPr>
        <w:t>以上。在此范围之外，土壤中的石油烃含量迅速降低，在离井</w:t>
      </w:r>
      <w:r>
        <w:rPr>
          <w:color w:val="auto"/>
          <w:sz w:val="28"/>
          <w:szCs w:val="28"/>
        </w:rPr>
        <w:t>100m</w:t>
      </w:r>
      <w:r>
        <w:rPr>
          <w:rFonts w:hAnsi="宋体"/>
          <w:color w:val="auto"/>
          <w:sz w:val="28"/>
          <w:szCs w:val="28"/>
        </w:rPr>
        <w:t>处已经接近背景值。在垂直方向上，土壤石油烃污染主要集中在</w:t>
      </w:r>
      <w:r>
        <w:rPr>
          <w:color w:val="auto"/>
          <w:sz w:val="28"/>
          <w:szCs w:val="28"/>
        </w:rPr>
        <w:t>0</w:t>
      </w:r>
      <w:r>
        <w:rPr>
          <w:rFonts w:hAnsi="宋体"/>
          <w:color w:val="auto"/>
          <w:sz w:val="28"/>
          <w:szCs w:val="28"/>
        </w:rPr>
        <w:t>～</w:t>
      </w:r>
      <w:r>
        <w:rPr>
          <w:color w:val="auto"/>
          <w:sz w:val="28"/>
          <w:szCs w:val="28"/>
        </w:rPr>
        <w:t>20cm</w:t>
      </w:r>
      <w:r>
        <w:rPr>
          <w:rFonts w:hAnsi="宋体"/>
          <w:color w:val="auto"/>
          <w:sz w:val="28"/>
          <w:szCs w:val="28"/>
        </w:rPr>
        <w:t>的表层土壤中。由于土壤本身具有的吸附和生物降解等自净作用，石油烃在土壤中的迁移深度较浅。</w:t>
      </w:r>
    </w:p>
    <w:p>
      <w:pPr>
        <w:pStyle w:val="5"/>
        <w:numPr>
          <w:ilvl w:val="2"/>
          <w:numId w:val="4"/>
        </w:numPr>
        <w:bidi w:val="0"/>
        <w:rPr>
          <w:color w:val="auto"/>
        </w:rPr>
      </w:pPr>
      <w:r>
        <w:rPr>
          <w:color w:val="auto"/>
        </w:rPr>
        <w:t>土壤环境影响类比分析</w:t>
      </w:r>
    </w:p>
    <w:p>
      <w:pPr>
        <w:snapToGrid w:val="0"/>
        <w:spacing w:line="480" w:lineRule="exact"/>
        <w:ind w:firstLine="560" w:firstLineChars="200"/>
        <w:rPr>
          <w:rFonts w:hAnsi="宋体"/>
          <w:color w:val="auto"/>
          <w:sz w:val="28"/>
          <w:szCs w:val="28"/>
        </w:rPr>
      </w:pPr>
      <w:r>
        <w:rPr>
          <w:rFonts w:hAnsi="宋体"/>
          <w:color w:val="auto"/>
          <w:sz w:val="28"/>
          <w:szCs w:val="28"/>
        </w:rPr>
        <w:t>《</w:t>
      </w:r>
      <w:r>
        <w:rPr>
          <w:rFonts w:hint="eastAsia" w:hAnsi="宋体"/>
          <w:color w:val="auto"/>
          <w:sz w:val="28"/>
          <w:szCs w:val="28"/>
        </w:rPr>
        <w:t>大庆油田有限责任公司第十采油厂三站气田产能建设工程</w:t>
      </w:r>
      <w:r>
        <w:rPr>
          <w:rFonts w:hAnsi="宋体"/>
          <w:color w:val="auto"/>
          <w:sz w:val="28"/>
          <w:szCs w:val="28"/>
        </w:rPr>
        <w:t>》于201</w:t>
      </w:r>
      <w:r>
        <w:rPr>
          <w:rFonts w:hint="eastAsia" w:hAnsi="宋体"/>
          <w:color w:val="auto"/>
          <w:sz w:val="28"/>
          <w:szCs w:val="28"/>
        </w:rPr>
        <w:t>3</w:t>
      </w:r>
      <w:r>
        <w:rPr>
          <w:rFonts w:hAnsi="宋体"/>
          <w:color w:val="auto"/>
          <w:sz w:val="28"/>
          <w:szCs w:val="28"/>
        </w:rPr>
        <w:t>年</w:t>
      </w:r>
      <w:r>
        <w:rPr>
          <w:rFonts w:hint="eastAsia" w:hAnsi="宋体"/>
          <w:color w:val="auto"/>
          <w:sz w:val="28"/>
          <w:szCs w:val="28"/>
        </w:rPr>
        <w:t>12</w:t>
      </w:r>
      <w:r>
        <w:rPr>
          <w:rFonts w:hAnsi="宋体"/>
          <w:color w:val="auto"/>
          <w:sz w:val="28"/>
          <w:szCs w:val="28"/>
        </w:rPr>
        <w:t>月</w:t>
      </w:r>
      <w:r>
        <w:rPr>
          <w:rFonts w:hint="eastAsia" w:hAnsi="宋体"/>
          <w:color w:val="auto"/>
          <w:sz w:val="28"/>
          <w:szCs w:val="28"/>
        </w:rPr>
        <w:t>2</w:t>
      </w:r>
      <w:r>
        <w:rPr>
          <w:rFonts w:hAnsi="宋体"/>
          <w:color w:val="auto"/>
          <w:sz w:val="28"/>
          <w:szCs w:val="28"/>
        </w:rPr>
        <w:t>日取得了</w:t>
      </w:r>
      <w:r>
        <w:rPr>
          <w:rFonts w:hint="eastAsia" w:hAnsi="宋体"/>
          <w:color w:val="auto"/>
          <w:sz w:val="28"/>
          <w:szCs w:val="28"/>
        </w:rPr>
        <w:t>绥化</w:t>
      </w:r>
      <w:r>
        <w:rPr>
          <w:rFonts w:hAnsi="宋体"/>
          <w:color w:val="auto"/>
          <w:sz w:val="28"/>
          <w:szCs w:val="28"/>
        </w:rPr>
        <w:t>市环保局的批复，批复文号：</w:t>
      </w:r>
      <w:r>
        <w:rPr>
          <w:rFonts w:hint="eastAsia" w:hAnsi="宋体"/>
          <w:color w:val="auto"/>
          <w:sz w:val="28"/>
          <w:szCs w:val="28"/>
        </w:rPr>
        <w:t>绥环函</w:t>
      </w:r>
      <w:r>
        <w:rPr>
          <w:rFonts w:hAnsi="宋体"/>
          <w:color w:val="auto"/>
          <w:sz w:val="28"/>
          <w:szCs w:val="28"/>
        </w:rPr>
        <w:t>[2013]658</w:t>
      </w:r>
      <w:r>
        <w:rPr>
          <w:rFonts w:hint="eastAsia" w:hAnsi="宋体"/>
          <w:color w:val="auto"/>
          <w:sz w:val="28"/>
          <w:szCs w:val="28"/>
        </w:rPr>
        <w:t>号</w:t>
      </w:r>
      <w:r>
        <w:rPr>
          <w:rFonts w:hAnsi="宋体"/>
          <w:color w:val="auto"/>
          <w:sz w:val="28"/>
          <w:szCs w:val="28"/>
        </w:rPr>
        <w:t>。项目于201</w:t>
      </w:r>
      <w:r>
        <w:rPr>
          <w:rFonts w:hint="eastAsia" w:hAnsi="宋体"/>
          <w:color w:val="auto"/>
          <w:sz w:val="28"/>
          <w:szCs w:val="28"/>
        </w:rPr>
        <w:t>3</w:t>
      </w:r>
      <w:r>
        <w:rPr>
          <w:rFonts w:hAnsi="宋体"/>
          <w:color w:val="auto"/>
          <w:sz w:val="28"/>
          <w:szCs w:val="28"/>
        </w:rPr>
        <w:t>年</w:t>
      </w:r>
      <w:r>
        <w:rPr>
          <w:rFonts w:hint="eastAsia" w:hAnsi="宋体"/>
          <w:color w:val="auto"/>
          <w:sz w:val="28"/>
          <w:szCs w:val="28"/>
        </w:rPr>
        <w:t>12</w:t>
      </w:r>
      <w:r>
        <w:rPr>
          <w:rFonts w:hAnsi="宋体"/>
          <w:color w:val="auto"/>
          <w:sz w:val="28"/>
          <w:szCs w:val="28"/>
        </w:rPr>
        <w:t>月开工，201</w:t>
      </w:r>
      <w:r>
        <w:rPr>
          <w:rFonts w:hint="eastAsia" w:hAnsi="宋体"/>
          <w:color w:val="auto"/>
          <w:sz w:val="28"/>
          <w:szCs w:val="28"/>
        </w:rPr>
        <w:t>4</w:t>
      </w:r>
      <w:r>
        <w:rPr>
          <w:rFonts w:hAnsi="宋体"/>
          <w:color w:val="auto"/>
          <w:sz w:val="28"/>
          <w:szCs w:val="28"/>
        </w:rPr>
        <w:t>年</w:t>
      </w:r>
      <w:r>
        <w:rPr>
          <w:rFonts w:hint="eastAsia" w:hAnsi="宋体"/>
          <w:color w:val="auto"/>
          <w:sz w:val="28"/>
          <w:szCs w:val="28"/>
        </w:rPr>
        <w:t>10</w:t>
      </w:r>
      <w:r>
        <w:rPr>
          <w:rFonts w:hAnsi="宋体"/>
          <w:color w:val="auto"/>
          <w:sz w:val="28"/>
          <w:szCs w:val="28"/>
        </w:rPr>
        <w:t>月竣工，并于20</w:t>
      </w:r>
      <w:r>
        <w:rPr>
          <w:rFonts w:hint="eastAsia" w:hAnsi="宋体"/>
          <w:color w:val="auto"/>
          <w:sz w:val="28"/>
          <w:szCs w:val="28"/>
        </w:rPr>
        <w:t>20</w:t>
      </w:r>
      <w:r>
        <w:rPr>
          <w:rFonts w:hAnsi="宋体"/>
          <w:color w:val="auto"/>
          <w:sz w:val="28"/>
          <w:szCs w:val="28"/>
        </w:rPr>
        <w:t>年</w:t>
      </w:r>
      <w:r>
        <w:rPr>
          <w:rFonts w:hint="eastAsia" w:hAnsi="宋体"/>
          <w:color w:val="auto"/>
          <w:sz w:val="28"/>
          <w:szCs w:val="28"/>
        </w:rPr>
        <w:t>4</w:t>
      </w:r>
      <w:r>
        <w:rPr>
          <w:rFonts w:hAnsi="宋体"/>
          <w:color w:val="auto"/>
          <w:sz w:val="28"/>
          <w:szCs w:val="28"/>
        </w:rPr>
        <w:t>月进行了竣工验收。</w:t>
      </w:r>
    </w:p>
    <w:p>
      <w:pPr>
        <w:snapToGrid w:val="0"/>
        <w:spacing w:line="480" w:lineRule="exact"/>
        <w:ind w:firstLine="560" w:firstLineChars="200"/>
        <w:rPr>
          <w:rFonts w:hint="eastAsia" w:hAnsi="宋体"/>
          <w:color w:val="auto"/>
          <w:sz w:val="28"/>
          <w:szCs w:val="28"/>
        </w:rPr>
      </w:pPr>
      <w:r>
        <w:rPr>
          <w:rFonts w:hAnsi="宋体"/>
          <w:color w:val="auto"/>
          <w:sz w:val="28"/>
          <w:szCs w:val="28"/>
        </w:rPr>
        <w:t>根据《</w:t>
      </w:r>
      <w:r>
        <w:rPr>
          <w:rFonts w:hint="eastAsia" w:hAnsi="宋体"/>
          <w:color w:val="auto"/>
          <w:sz w:val="28"/>
          <w:szCs w:val="28"/>
        </w:rPr>
        <w:t>大庆油田有限责任公司第十采油厂三站气田产能建设工程建设项目竣工环境保护验收调查报告</w:t>
      </w:r>
      <w:r>
        <w:rPr>
          <w:rFonts w:hAnsi="宋体"/>
          <w:color w:val="auto"/>
          <w:sz w:val="28"/>
          <w:szCs w:val="28"/>
        </w:rPr>
        <w:t>》，施工阶段，由于施工占用了大量临时占地，大型、重型机械设备的碾压，施工人员的践踏、材料堆放等都会破坏地表植被，使土壤紧实度增高，根据现场调查，施工阶段临时占地形成的裸地基本已得到了恢复根据项目占用土地类型及周边土地类型分布，在本工程</w:t>
      </w:r>
      <w:r>
        <w:rPr>
          <w:rFonts w:hint="eastAsia" w:hAnsi="宋体"/>
          <w:color w:val="auto"/>
          <w:sz w:val="28"/>
          <w:szCs w:val="28"/>
        </w:rPr>
        <w:t>2个</w:t>
      </w:r>
      <w:r>
        <w:rPr>
          <w:rFonts w:hAnsi="宋体"/>
          <w:color w:val="auto"/>
          <w:sz w:val="28"/>
          <w:szCs w:val="28"/>
        </w:rPr>
        <w:t>井场永久占地内布设</w:t>
      </w:r>
      <w:r>
        <w:rPr>
          <w:rFonts w:hint="eastAsia" w:hAnsi="宋体"/>
          <w:color w:val="auto"/>
          <w:sz w:val="28"/>
          <w:szCs w:val="28"/>
        </w:rPr>
        <w:t>2</w:t>
      </w:r>
      <w:r>
        <w:rPr>
          <w:rFonts w:hAnsi="宋体"/>
          <w:color w:val="auto"/>
          <w:sz w:val="28"/>
          <w:szCs w:val="28"/>
        </w:rPr>
        <w:t>个土壤监测点，检测深度0-0.2m</w:t>
      </w:r>
      <w:r>
        <w:rPr>
          <w:rFonts w:hint="eastAsia" w:hAnsi="宋体"/>
          <w:color w:val="auto"/>
          <w:sz w:val="28"/>
          <w:szCs w:val="28"/>
        </w:rPr>
        <w:t>。</w:t>
      </w:r>
      <w:r>
        <w:rPr>
          <w:rFonts w:hAnsi="宋体"/>
          <w:color w:val="auto"/>
          <w:sz w:val="28"/>
          <w:szCs w:val="28"/>
        </w:rPr>
        <w:t>根据检测结果，</w:t>
      </w:r>
      <w:r>
        <w:rPr>
          <w:rFonts w:hint="eastAsia" w:hAnsi="宋体"/>
          <w:color w:val="auto"/>
          <w:sz w:val="28"/>
          <w:szCs w:val="28"/>
        </w:rPr>
        <w:t>井场内</w:t>
      </w:r>
      <w:r>
        <w:rPr>
          <w:rFonts w:hAnsi="宋体"/>
          <w:color w:val="auto"/>
          <w:sz w:val="28"/>
          <w:szCs w:val="28"/>
        </w:rPr>
        <w:t>项目特征污染物石油烃的浓度值为</w:t>
      </w:r>
      <w:r>
        <w:rPr>
          <w:rFonts w:hint="eastAsia" w:hAnsi="宋体"/>
          <w:color w:val="auto"/>
          <w:sz w:val="28"/>
          <w:szCs w:val="28"/>
        </w:rPr>
        <w:t>181~184</w:t>
      </w:r>
      <w:r>
        <w:rPr>
          <w:rFonts w:hAnsi="宋体"/>
          <w:color w:val="auto"/>
          <w:sz w:val="28"/>
          <w:szCs w:val="28"/>
        </w:rPr>
        <w:t>mg/kg，满足《土壤环境质量 建设用地土壤污染风险管控标准（试行）》（GB36600-2018）建设用地土壤污染风险筛选值，说明企业在项目实施之后较好的落实污染防治措施，油田开发对土壤环境影响较小。</w:t>
      </w:r>
    </w:p>
    <w:p>
      <w:pPr>
        <w:pStyle w:val="5"/>
        <w:numPr>
          <w:ilvl w:val="2"/>
          <w:numId w:val="4"/>
        </w:numPr>
        <w:bidi w:val="0"/>
        <w:rPr>
          <w:color w:val="auto"/>
        </w:rPr>
      </w:pPr>
      <w:r>
        <w:rPr>
          <w:color w:val="auto"/>
        </w:rPr>
        <w:t>评价结论</w:t>
      </w:r>
    </w:p>
    <w:p>
      <w:pPr>
        <w:snapToGrid w:val="0"/>
        <w:spacing w:line="480" w:lineRule="exact"/>
        <w:ind w:firstLine="560" w:firstLineChars="200"/>
        <w:rPr>
          <w:rFonts w:hint="eastAsia" w:hAnsi="宋体"/>
          <w:color w:val="auto"/>
          <w:sz w:val="28"/>
          <w:szCs w:val="28"/>
        </w:rPr>
      </w:pPr>
      <w:r>
        <w:rPr>
          <w:rFonts w:hAnsi="宋体"/>
          <w:color w:val="auto"/>
          <w:sz w:val="28"/>
          <w:szCs w:val="28"/>
        </w:rPr>
        <w:t>本项目所在地土壤环境现状较好，根据土壤环境影响分析结果，本项目对土壤环境的影响较小。</w:t>
      </w:r>
    </w:p>
    <w:bookmarkEnd w:id="574"/>
    <w:bookmarkEnd w:id="575"/>
    <w:bookmarkEnd w:id="576"/>
    <w:p>
      <w:pPr>
        <w:pStyle w:val="4"/>
        <w:numPr>
          <w:ilvl w:val="1"/>
          <w:numId w:val="4"/>
        </w:numPr>
        <w:bidi w:val="0"/>
        <w:rPr>
          <w:color w:val="auto"/>
        </w:rPr>
      </w:pPr>
      <w:bookmarkStart w:id="595" w:name="_Toc10774"/>
      <w:bookmarkStart w:id="596" w:name="_Toc96083875"/>
      <w:bookmarkStart w:id="597" w:name="_Toc109128028"/>
      <w:bookmarkStart w:id="598" w:name="_Toc189535431"/>
      <w:bookmarkStart w:id="599" w:name="_Toc77144387"/>
      <w:r>
        <w:rPr>
          <w:color w:val="auto"/>
        </w:rPr>
        <w:t>环境风险分析</w:t>
      </w:r>
      <w:bookmarkEnd w:id="595"/>
      <w:bookmarkEnd w:id="596"/>
    </w:p>
    <w:p>
      <w:pPr>
        <w:pStyle w:val="5"/>
        <w:numPr>
          <w:ilvl w:val="2"/>
          <w:numId w:val="4"/>
        </w:numPr>
        <w:bidi w:val="0"/>
        <w:rPr>
          <w:color w:val="auto"/>
        </w:rPr>
      </w:pPr>
      <w:bookmarkStart w:id="600" w:name="_Toc42785839"/>
      <w:bookmarkStart w:id="601" w:name="_Toc42667184"/>
      <w:bookmarkStart w:id="602" w:name="_Toc146352219"/>
      <w:bookmarkStart w:id="603" w:name="_Toc42666412"/>
      <w:bookmarkStart w:id="604" w:name="_Toc176941417"/>
      <w:bookmarkStart w:id="605" w:name="_Toc53650408"/>
      <w:bookmarkStart w:id="606" w:name="_Toc185145946"/>
      <w:bookmarkStart w:id="607" w:name="_Toc42667337"/>
      <w:bookmarkStart w:id="608" w:name="_Toc147376259"/>
      <w:bookmarkStart w:id="609" w:name="_Toc42473253"/>
      <w:bookmarkStart w:id="610" w:name="_Toc42474493"/>
      <w:bookmarkStart w:id="611" w:name="_Toc42666630"/>
      <w:bookmarkStart w:id="612" w:name="_Toc42473442"/>
      <w:r>
        <w:rPr>
          <w:color w:val="auto"/>
        </w:rPr>
        <w:t>风险调查</w:t>
      </w:r>
    </w:p>
    <w:p>
      <w:pPr>
        <w:spacing w:line="480" w:lineRule="exact"/>
        <w:ind w:firstLine="560" w:firstLineChars="200"/>
        <w:rPr>
          <w:color w:val="auto"/>
        </w:rPr>
      </w:pPr>
      <w:r>
        <w:rPr>
          <w:rFonts w:hAnsi="宋体"/>
          <w:color w:val="auto"/>
          <w:sz w:val="28"/>
          <w:szCs w:val="28"/>
        </w:rPr>
        <w:t>本工程涉及的主要危险物质是</w:t>
      </w:r>
      <w:r>
        <w:rPr>
          <w:color w:val="auto"/>
          <w:spacing w:val="-4"/>
          <w:sz w:val="28"/>
          <w:szCs w:val="28"/>
        </w:rPr>
        <w:t>井场柴油罐内储存的</w:t>
      </w:r>
      <w:r>
        <w:rPr>
          <w:rFonts w:hAnsi="宋体"/>
          <w:color w:val="auto"/>
          <w:sz w:val="28"/>
          <w:szCs w:val="28"/>
        </w:rPr>
        <w:t>柴油</w:t>
      </w:r>
      <w:r>
        <w:rPr>
          <w:rFonts w:hint="eastAsia" w:hAnsi="宋体"/>
          <w:color w:val="auto"/>
          <w:sz w:val="28"/>
          <w:szCs w:val="28"/>
          <w:lang w:eastAsia="zh-CN"/>
        </w:rPr>
        <w:t>、氢氧化钾和</w:t>
      </w:r>
      <w:r>
        <w:rPr>
          <w:rFonts w:hAnsi="宋体"/>
          <w:color w:val="auto"/>
          <w:sz w:val="28"/>
          <w:szCs w:val="28"/>
        </w:rPr>
        <w:t>天然气，具有易燃、易爆的性质。物料的危险性分析如下：</w:t>
      </w:r>
    </w:p>
    <w:p>
      <w:pPr>
        <w:pStyle w:val="6"/>
        <w:numPr>
          <w:ilvl w:val="3"/>
          <w:numId w:val="4"/>
        </w:numPr>
        <w:bidi w:val="0"/>
        <w:rPr>
          <w:rFonts w:hint="eastAsia"/>
          <w:color w:val="auto"/>
        </w:rPr>
      </w:pPr>
      <w:r>
        <w:rPr>
          <w:color w:val="auto"/>
        </w:rPr>
        <w:t>天然气</w:t>
      </w:r>
    </w:p>
    <w:p>
      <w:pPr>
        <w:spacing w:line="480" w:lineRule="exact"/>
        <w:ind w:firstLine="560" w:firstLineChars="200"/>
        <w:rPr>
          <w:snapToGrid w:val="0"/>
          <w:color w:val="auto"/>
          <w:kern w:val="0"/>
          <w:sz w:val="28"/>
          <w:szCs w:val="28"/>
        </w:rPr>
      </w:pPr>
      <w:r>
        <w:rPr>
          <w:rFonts w:hAnsi="宋体"/>
          <w:color w:val="auto"/>
          <w:sz w:val="28"/>
          <w:szCs w:val="28"/>
        </w:rPr>
        <w:t>天然气具有易燃、易爆的性质，属于火灾危险性甲类物质。天然气主要成分是含大量低分子烷烃混合物，属甲类易燃气体，与空气混合极易燃烧爆炸。具体危险特性见表</w:t>
      </w:r>
      <w:r>
        <w:rPr>
          <w:color w:val="auto"/>
          <w:sz w:val="28"/>
          <w:szCs w:val="28"/>
        </w:rPr>
        <w:t>5.</w:t>
      </w:r>
      <w:r>
        <w:rPr>
          <w:rFonts w:hint="eastAsia"/>
          <w:color w:val="auto"/>
          <w:sz w:val="28"/>
          <w:szCs w:val="28"/>
        </w:rPr>
        <w:t>8-1</w:t>
      </w:r>
      <w:r>
        <w:rPr>
          <w:rFonts w:hAnsi="宋体"/>
          <w:color w:val="auto"/>
          <w:sz w:val="28"/>
          <w:szCs w:val="28"/>
        </w:rPr>
        <w:t>。</w:t>
      </w:r>
    </w:p>
    <w:p>
      <w:pPr>
        <w:pStyle w:val="7"/>
        <w:numPr>
          <w:ilvl w:val="4"/>
          <w:numId w:val="4"/>
        </w:numPr>
        <w:bidi w:val="0"/>
        <w:rPr>
          <w:snapToGrid w:val="0"/>
          <w:color w:val="auto"/>
          <w:kern w:val="0"/>
          <w:sz w:val="28"/>
          <w:szCs w:val="28"/>
        </w:rPr>
      </w:pPr>
      <w:r>
        <w:rPr>
          <w:rFonts w:hAnsi="宋体"/>
          <w:snapToGrid w:val="0"/>
          <w:color w:val="auto"/>
          <w:kern w:val="0"/>
          <w:sz w:val="28"/>
          <w:szCs w:val="28"/>
        </w:rPr>
        <w:t>天然气安全技术说明书</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3734"/>
        <w:gridCol w:w="4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0" w:type="dxa"/>
            <w:vMerge w:val="restart"/>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r>
              <w:rPr>
                <w:rFonts w:hint="default" w:hAnsi="宋体"/>
                <w:color w:val="auto"/>
                <w:kern w:val="0"/>
                <w:szCs w:val="21"/>
              </w:rPr>
              <w:t>标识</w:t>
            </w:r>
          </w:p>
        </w:tc>
        <w:tc>
          <w:tcPr>
            <w:tcW w:w="3734" w:type="dxa"/>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中文名：甲烷</w:t>
            </w:r>
          </w:p>
        </w:tc>
        <w:tc>
          <w:tcPr>
            <w:tcW w:w="4433" w:type="dxa"/>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英文名：</w:t>
            </w:r>
            <w:r>
              <w:rPr>
                <w:rFonts w:hint="default"/>
                <w:color w:val="auto"/>
                <w:szCs w:val="21"/>
              </w:rPr>
              <w:t>methane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p>
        </w:tc>
        <w:tc>
          <w:tcPr>
            <w:tcW w:w="3734" w:type="dxa"/>
            <w:noWrap w:val="0"/>
            <w:vAlign w:val="top"/>
          </w:tcPr>
          <w:p>
            <w:pPr>
              <w:pStyle w:val="42"/>
              <w:keepNext w:val="0"/>
              <w:keepLines w:val="0"/>
              <w:suppressLineNumbers w:val="0"/>
              <w:spacing w:before="0" w:beforeAutospacing="0" w:after="0" w:afterAutospacing="0"/>
              <w:ind w:right="0"/>
              <w:rPr>
                <w:rFonts w:hint="default" w:ascii="Times New Roman" w:cs="Times New Roman"/>
                <w:color w:val="auto"/>
                <w:sz w:val="21"/>
                <w:szCs w:val="21"/>
              </w:rPr>
            </w:pPr>
            <w:r>
              <w:rPr>
                <w:rFonts w:hint="default" w:ascii="Times New Roman" w:hAnsi="宋体" w:cs="Times New Roman"/>
                <w:color w:val="auto"/>
                <w:sz w:val="21"/>
                <w:szCs w:val="21"/>
              </w:rPr>
              <w:t>危规号：</w:t>
            </w:r>
            <w:r>
              <w:rPr>
                <w:rFonts w:hint="default" w:ascii="Times New Roman" w:cs="Times New Roman"/>
                <w:color w:val="auto"/>
                <w:sz w:val="21"/>
                <w:szCs w:val="21"/>
              </w:rPr>
              <w:t xml:space="preserve">21007 </w:t>
            </w:r>
          </w:p>
        </w:tc>
        <w:tc>
          <w:tcPr>
            <w:tcW w:w="4433" w:type="dxa"/>
            <w:noWrap w:val="0"/>
            <w:vAlign w:val="top"/>
          </w:tcPr>
          <w:p>
            <w:pPr>
              <w:pStyle w:val="42"/>
              <w:keepNext w:val="0"/>
              <w:keepLines w:val="0"/>
              <w:suppressLineNumbers w:val="0"/>
              <w:spacing w:before="0" w:beforeAutospacing="0" w:after="0" w:afterAutospacing="0"/>
              <w:ind w:right="0"/>
              <w:rPr>
                <w:rFonts w:hint="default" w:ascii="Times New Roman" w:cs="Times New Roman"/>
                <w:color w:val="auto"/>
                <w:sz w:val="21"/>
                <w:szCs w:val="21"/>
              </w:rPr>
            </w:pPr>
            <w:r>
              <w:rPr>
                <w:rFonts w:hint="default" w:ascii="Times New Roman" w:cs="Times New Roman"/>
                <w:color w:val="auto"/>
                <w:sz w:val="21"/>
                <w:szCs w:val="21"/>
              </w:rPr>
              <w:t>CAS</w:t>
            </w:r>
            <w:r>
              <w:rPr>
                <w:rFonts w:hint="default" w:ascii="Times New Roman" w:hAnsi="宋体" w:cs="Times New Roman"/>
                <w:color w:val="auto"/>
                <w:sz w:val="21"/>
                <w:szCs w:val="21"/>
              </w:rPr>
              <w:t>号：</w:t>
            </w:r>
            <w:r>
              <w:rPr>
                <w:rFonts w:hint="default" w:ascii="Times New Roman" w:cs="Times New Roman"/>
                <w:color w:val="auto"/>
                <w:sz w:val="21"/>
                <w:szCs w:val="21"/>
              </w:rPr>
              <w:t xml:space="preserve">74-82-8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r>
              <w:rPr>
                <w:rFonts w:hint="default" w:hAnsi="宋体"/>
                <w:color w:val="auto"/>
                <w:kern w:val="0"/>
                <w:szCs w:val="21"/>
              </w:rPr>
              <w:t>理化性质</w:t>
            </w:r>
          </w:p>
        </w:tc>
        <w:tc>
          <w:tcPr>
            <w:tcW w:w="3734" w:type="dxa"/>
            <w:noWrap w:val="0"/>
            <w:vAlign w:val="top"/>
          </w:tcPr>
          <w:p>
            <w:pPr>
              <w:pStyle w:val="42"/>
              <w:keepNext w:val="0"/>
              <w:keepLines w:val="0"/>
              <w:suppressLineNumbers w:val="0"/>
              <w:spacing w:before="0" w:beforeAutospacing="0" w:after="0" w:afterAutospacing="0" w:line="300" w:lineRule="exact"/>
              <w:ind w:right="0"/>
              <w:rPr>
                <w:rFonts w:hint="default" w:ascii="Times New Roman" w:cs="Times New Roman"/>
                <w:color w:val="auto"/>
                <w:sz w:val="21"/>
                <w:szCs w:val="21"/>
              </w:rPr>
            </w:pPr>
            <w:r>
              <w:rPr>
                <w:rFonts w:hint="default" w:ascii="Times New Roman" w:hAnsi="宋体" w:cs="Times New Roman"/>
                <w:color w:val="auto"/>
                <w:sz w:val="21"/>
                <w:szCs w:val="21"/>
              </w:rPr>
              <w:t>外观与形状：无色无味气体</w:t>
            </w:r>
            <w:r>
              <w:rPr>
                <w:rFonts w:hint="default" w:ascii="Times New Roman" w:cs="Times New Roman"/>
                <w:color w:val="auto"/>
                <w:sz w:val="21"/>
                <w:szCs w:val="21"/>
              </w:rPr>
              <w:t xml:space="preserve"> </w:t>
            </w:r>
          </w:p>
        </w:tc>
        <w:tc>
          <w:tcPr>
            <w:tcW w:w="4433" w:type="dxa"/>
            <w:noWrap w:val="0"/>
            <w:vAlign w:val="top"/>
          </w:tcPr>
          <w:p>
            <w:pPr>
              <w:pStyle w:val="42"/>
              <w:keepNext w:val="0"/>
              <w:keepLines w:val="0"/>
              <w:suppressLineNumbers w:val="0"/>
              <w:spacing w:before="0" w:beforeAutospacing="0" w:after="0" w:afterAutospacing="0" w:line="300" w:lineRule="exact"/>
              <w:ind w:right="0"/>
              <w:rPr>
                <w:rFonts w:hint="default" w:ascii="Times New Roman" w:cs="Times New Roman"/>
                <w:color w:val="auto"/>
                <w:sz w:val="21"/>
                <w:szCs w:val="21"/>
              </w:rPr>
            </w:pPr>
            <w:r>
              <w:rPr>
                <w:rFonts w:hint="default" w:ascii="Times New Roman" w:hAnsi="宋体" w:cs="Times New Roman"/>
                <w:color w:val="auto"/>
                <w:sz w:val="21"/>
                <w:szCs w:val="21"/>
              </w:rPr>
              <w:t>自燃温度：</w:t>
            </w:r>
            <w:r>
              <w:rPr>
                <w:rFonts w:hint="default" w:ascii="Times New Roman" w:cs="Times New Roman"/>
                <w:color w:val="auto"/>
                <w:sz w:val="21"/>
                <w:szCs w:val="21"/>
              </w:rPr>
              <w:t>413</w:t>
            </w:r>
            <w:r>
              <w:rPr>
                <w:rFonts w:hint="default" w:ascii="Times New Roman" w:hAnsi="宋体" w:cs="Times New Roman"/>
                <w:color w:val="auto"/>
                <w:sz w:val="21"/>
                <w:szCs w:val="21"/>
              </w:rPr>
              <w:t>℃</w:t>
            </w:r>
            <w:r>
              <w:rPr>
                <w:rFonts w:hint="default" w:ascii="Times New Roman" w:cs="Times New Roman"/>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p>
        </w:tc>
        <w:tc>
          <w:tcPr>
            <w:tcW w:w="3734" w:type="dxa"/>
            <w:noWrap w:val="0"/>
            <w:vAlign w:val="top"/>
          </w:tcPr>
          <w:p>
            <w:pPr>
              <w:pStyle w:val="42"/>
              <w:keepNext w:val="0"/>
              <w:keepLines w:val="0"/>
              <w:suppressLineNumbers w:val="0"/>
              <w:spacing w:before="0" w:beforeAutospacing="0" w:after="0" w:afterAutospacing="0" w:line="300" w:lineRule="exact"/>
              <w:ind w:right="0"/>
              <w:rPr>
                <w:rFonts w:hint="default" w:ascii="Times New Roman" w:cs="Times New Roman"/>
                <w:color w:val="auto"/>
                <w:sz w:val="21"/>
                <w:szCs w:val="21"/>
              </w:rPr>
            </w:pPr>
            <w:r>
              <w:rPr>
                <w:rFonts w:hint="default" w:ascii="Times New Roman" w:hAnsi="宋体" w:cs="Times New Roman"/>
                <w:color w:val="auto"/>
                <w:sz w:val="21"/>
                <w:szCs w:val="21"/>
              </w:rPr>
              <w:t>相对密度（水</w:t>
            </w:r>
            <w:r>
              <w:rPr>
                <w:rFonts w:hint="default" w:ascii="Times New Roman" w:cs="Times New Roman"/>
                <w:color w:val="auto"/>
                <w:sz w:val="21"/>
                <w:szCs w:val="21"/>
              </w:rPr>
              <w:t>=1</w:t>
            </w:r>
            <w:r>
              <w:rPr>
                <w:rFonts w:hint="default" w:ascii="Times New Roman" w:hAnsi="宋体" w:cs="Times New Roman"/>
                <w:color w:val="auto"/>
                <w:sz w:val="21"/>
                <w:szCs w:val="21"/>
              </w:rPr>
              <w:t>）：</w:t>
            </w:r>
            <w:r>
              <w:rPr>
                <w:rFonts w:hint="default" w:ascii="Times New Roman" w:cs="Times New Roman"/>
                <w:color w:val="auto"/>
                <w:sz w:val="21"/>
                <w:szCs w:val="21"/>
              </w:rPr>
              <w:t>0.42</w:t>
            </w:r>
            <w:r>
              <w:rPr>
                <w:rFonts w:hint="default" w:ascii="Times New Roman" w:hAnsi="宋体" w:cs="Times New Roman"/>
                <w:color w:val="auto"/>
                <w:sz w:val="21"/>
                <w:szCs w:val="21"/>
              </w:rPr>
              <w:t>（</w:t>
            </w:r>
            <w:r>
              <w:rPr>
                <w:rFonts w:hint="default" w:ascii="Times New Roman" w:cs="Times New Roman"/>
                <w:color w:val="auto"/>
                <w:sz w:val="21"/>
                <w:szCs w:val="21"/>
              </w:rPr>
              <w:t>-164</w:t>
            </w:r>
            <w:r>
              <w:rPr>
                <w:rFonts w:hint="default" w:ascii="Times New Roman" w:hAnsi="宋体" w:cs="Times New Roman"/>
                <w:color w:val="auto"/>
                <w:sz w:val="21"/>
                <w:szCs w:val="21"/>
              </w:rPr>
              <w:t>℃），</w:t>
            </w:r>
            <w:r>
              <w:rPr>
                <w:rFonts w:hint="default" w:ascii="Times New Roman" w:cs="Times New Roman"/>
                <w:color w:val="auto"/>
                <w:sz w:val="21"/>
                <w:szCs w:val="21"/>
              </w:rPr>
              <w:t xml:space="preserve"> </w:t>
            </w:r>
          </w:p>
        </w:tc>
        <w:tc>
          <w:tcPr>
            <w:tcW w:w="4433" w:type="dxa"/>
            <w:noWrap w:val="0"/>
            <w:vAlign w:val="top"/>
          </w:tcPr>
          <w:p>
            <w:pPr>
              <w:pStyle w:val="42"/>
              <w:keepNext w:val="0"/>
              <w:keepLines w:val="0"/>
              <w:suppressLineNumbers w:val="0"/>
              <w:spacing w:before="0" w:beforeAutospacing="0" w:after="0" w:afterAutospacing="0" w:line="300" w:lineRule="exact"/>
              <w:ind w:right="0"/>
              <w:rPr>
                <w:rFonts w:hint="default" w:ascii="Times New Roman" w:cs="Times New Roman"/>
                <w:color w:val="auto"/>
                <w:sz w:val="21"/>
                <w:szCs w:val="21"/>
              </w:rPr>
            </w:pPr>
            <w:r>
              <w:rPr>
                <w:rFonts w:hint="default" w:ascii="Times New Roman" w:hAnsi="宋体" w:cs="Times New Roman"/>
                <w:color w:val="auto"/>
                <w:sz w:val="21"/>
                <w:szCs w:val="21"/>
              </w:rPr>
              <w:t>相对蒸气密度（空气</w:t>
            </w:r>
            <w:r>
              <w:rPr>
                <w:rFonts w:hint="default" w:ascii="Times New Roman" w:cs="Times New Roman"/>
                <w:color w:val="auto"/>
                <w:sz w:val="21"/>
                <w:szCs w:val="21"/>
              </w:rPr>
              <w:t>=1</w:t>
            </w:r>
            <w:r>
              <w:rPr>
                <w:rFonts w:hint="default" w:ascii="Times New Roman" w:hAnsi="宋体" w:cs="Times New Roman"/>
                <w:color w:val="auto"/>
                <w:sz w:val="21"/>
                <w:szCs w:val="21"/>
              </w:rPr>
              <w:t>）：</w:t>
            </w:r>
            <w:r>
              <w:rPr>
                <w:rFonts w:hint="default" w:ascii="Times New Roman" w:cs="Times New Roman"/>
                <w:color w:val="auto"/>
                <w:sz w:val="21"/>
                <w:szCs w:val="21"/>
              </w:rPr>
              <w:t xml:space="preserve">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r>
              <w:rPr>
                <w:rFonts w:hint="default" w:hAnsi="宋体"/>
                <w:color w:val="auto"/>
                <w:kern w:val="0"/>
                <w:szCs w:val="21"/>
              </w:rPr>
              <w:t>危险特性</w:t>
            </w:r>
          </w:p>
        </w:tc>
        <w:tc>
          <w:tcPr>
            <w:tcW w:w="3734" w:type="dxa"/>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危险性类别：第</w:t>
            </w:r>
            <w:r>
              <w:rPr>
                <w:rFonts w:hint="default"/>
                <w:color w:val="auto"/>
                <w:szCs w:val="21"/>
              </w:rPr>
              <w:t>2.1</w:t>
            </w:r>
            <w:r>
              <w:rPr>
                <w:rFonts w:hint="default" w:hAnsi="宋体"/>
                <w:color w:val="auto"/>
                <w:szCs w:val="21"/>
              </w:rPr>
              <w:t>类易燃气体</w:t>
            </w:r>
          </w:p>
        </w:tc>
        <w:tc>
          <w:tcPr>
            <w:tcW w:w="4433" w:type="dxa"/>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燃烧性：易燃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p>
        </w:tc>
        <w:tc>
          <w:tcPr>
            <w:tcW w:w="3734" w:type="dxa"/>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闪点（℃）：</w:t>
            </w:r>
            <w:r>
              <w:rPr>
                <w:rFonts w:hint="default"/>
                <w:color w:val="auto"/>
                <w:szCs w:val="21"/>
              </w:rPr>
              <w:t>-218</w:t>
            </w:r>
            <w:r>
              <w:rPr>
                <w:rFonts w:hint="default" w:hAnsi="宋体"/>
                <w:color w:val="auto"/>
                <w:szCs w:val="21"/>
              </w:rPr>
              <w:t>℃</w:t>
            </w:r>
          </w:p>
        </w:tc>
        <w:tc>
          <w:tcPr>
            <w:tcW w:w="4433" w:type="dxa"/>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爆炸上限（</w:t>
            </w:r>
            <w:r>
              <w:rPr>
                <w:rFonts w:hint="default"/>
                <w:color w:val="auto"/>
                <w:szCs w:val="21"/>
              </w:rPr>
              <w:t>%</w:t>
            </w:r>
            <w:r>
              <w:rPr>
                <w:rFonts w:hint="default" w:hAnsi="宋体"/>
                <w:color w:val="auto"/>
                <w:szCs w:val="21"/>
              </w:rPr>
              <w:t>）：</w:t>
            </w:r>
            <w:r>
              <w:rPr>
                <w:rFonts w:hint="default"/>
                <w:color w:val="auto"/>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p>
        </w:tc>
        <w:tc>
          <w:tcPr>
            <w:tcW w:w="3734" w:type="dxa"/>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爆炸下限（</w:t>
            </w:r>
            <w:r>
              <w:rPr>
                <w:rFonts w:hint="default"/>
                <w:color w:val="auto"/>
                <w:szCs w:val="21"/>
              </w:rPr>
              <w:t>%</w:t>
            </w:r>
            <w:r>
              <w:rPr>
                <w:rFonts w:hint="default" w:hAnsi="宋体"/>
                <w:color w:val="auto"/>
                <w:szCs w:val="21"/>
              </w:rPr>
              <w:t>）：</w:t>
            </w:r>
            <w:r>
              <w:rPr>
                <w:rFonts w:hint="default"/>
                <w:color w:val="auto"/>
                <w:szCs w:val="21"/>
              </w:rPr>
              <w:t>5</w:t>
            </w:r>
          </w:p>
        </w:tc>
        <w:tc>
          <w:tcPr>
            <w:tcW w:w="4433" w:type="dxa"/>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燃烧（分解）产物：一氧化碳、二氧化碳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p>
        </w:tc>
        <w:tc>
          <w:tcPr>
            <w:tcW w:w="8167" w:type="dxa"/>
            <w:gridSpan w:val="2"/>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易燃，与空气混合能形成爆炸性混合物，遇热源和明火有燃烧爆炸的危险。与五氧化溴、氯气、次氯酸、三氟化氮、液氧、二氟化氧及其它强氧化剂接触剧烈反应。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p>
        </w:tc>
        <w:tc>
          <w:tcPr>
            <w:tcW w:w="8167" w:type="dxa"/>
            <w:gridSpan w:val="2"/>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灭火方法：切断气源。若不能切断气源，则不允许熄灭泄漏处的火焰。喷水冷却容器，可能的话将容器从火场移至空旷处。灭火剂：雾状水、泡沫、二氧化碳、干粉。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p>
        </w:tc>
        <w:tc>
          <w:tcPr>
            <w:tcW w:w="8167" w:type="dxa"/>
            <w:gridSpan w:val="2"/>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restart"/>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r>
              <w:rPr>
                <w:rFonts w:hint="default" w:hAnsi="宋体"/>
                <w:color w:val="auto"/>
                <w:kern w:val="0"/>
                <w:szCs w:val="21"/>
              </w:rPr>
              <w:t>健康危害</w:t>
            </w:r>
          </w:p>
        </w:tc>
        <w:tc>
          <w:tcPr>
            <w:tcW w:w="8167" w:type="dxa"/>
            <w:gridSpan w:val="2"/>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侵入途径：吸入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0" w:type="dxa"/>
            <w:vMerge w:val="continue"/>
            <w:noWrap w:val="0"/>
            <w:vAlign w:val="center"/>
          </w:tcPr>
          <w:p>
            <w:pPr>
              <w:keepNext w:val="0"/>
              <w:keepLines w:val="0"/>
              <w:suppressLineNumbers w:val="0"/>
              <w:spacing w:before="0" w:beforeAutospacing="0" w:after="0" w:afterAutospacing="0" w:line="300" w:lineRule="exact"/>
              <w:ind w:left="0" w:right="0"/>
              <w:rPr>
                <w:rFonts w:hint="default"/>
                <w:color w:val="auto"/>
                <w:kern w:val="0"/>
                <w:szCs w:val="21"/>
              </w:rPr>
            </w:pPr>
          </w:p>
        </w:tc>
        <w:tc>
          <w:tcPr>
            <w:tcW w:w="8167" w:type="dxa"/>
            <w:gridSpan w:val="2"/>
            <w:noWrap w:val="0"/>
            <w:vAlign w:val="center"/>
          </w:tcPr>
          <w:p>
            <w:pPr>
              <w:keepNext w:val="0"/>
              <w:keepLines w:val="0"/>
              <w:suppressLineNumbers w:val="0"/>
              <w:spacing w:before="0" w:beforeAutospacing="0" w:after="0" w:afterAutospacing="0" w:line="300" w:lineRule="exact"/>
              <w:ind w:left="0" w:right="0"/>
              <w:rPr>
                <w:rFonts w:hint="default"/>
                <w:color w:val="auto"/>
                <w:szCs w:val="21"/>
              </w:rPr>
            </w:pPr>
            <w:r>
              <w:rPr>
                <w:rFonts w:hint="default" w:hAnsi="宋体"/>
                <w:color w:val="auto"/>
                <w:szCs w:val="21"/>
              </w:rPr>
              <w:t>健康危害：甲烷对人基本无毒，但浓度过高时，使空气中氧含量明显降低，使人窒息。当空气中甲烷达</w:t>
            </w:r>
            <w:r>
              <w:rPr>
                <w:rFonts w:hint="default"/>
                <w:color w:val="auto"/>
                <w:szCs w:val="21"/>
              </w:rPr>
              <w:t>25%</w:t>
            </w:r>
            <w:r>
              <w:rPr>
                <w:rFonts w:hint="default" w:hAnsi="宋体"/>
                <w:color w:val="auto"/>
                <w:szCs w:val="21"/>
              </w:rPr>
              <w:t>～</w:t>
            </w:r>
            <w:r>
              <w:rPr>
                <w:rFonts w:hint="default"/>
                <w:color w:val="auto"/>
                <w:szCs w:val="21"/>
              </w:rPr>
              <w:t>30%</w:t>
            </w:r>
            <w:r>
              <w:rPr>
                <w:rFonts w:hint="default" w:hAnsi="宋体"/>
                <w:color w:val="auto"/>
                <w:szCs w:val="21"/>
              </w:rPr>
              <w:t>时，可引起头痛、头晕、乏力、注意力不集中、呼吸和心跳加速、共济失调。若不及时远离，可致窒息死亡。皮肤接触液化的甲烷，可致冻伤。</w:t>
            </w:r>
          </w:p>
        </w:tc>
      </w:tr>
    </w:tbl>
    <w:p>
      <w:pPr>
        <w:pStyle w:val="6"/>
        <w:numPr>
          <w:ilvl w:val="3"/>
          <w:numId w:val="4"/>
        </w:numPr>
        <w:bidi w:val="0"/>
        <w:rPr>
          <w:color w:val="auto"/>
        </w:rPr>
      </w:pPr>
      <w:r>
        <w:rPr>
          <w:color w:val="auto"/>
        </w:rPr>
        <w:t>柴油</w:t>
      </w:r>
    </w:p>
    <w:p>
      <w:pPr>
        <w:spacing w:line="480" w:lineRule="exact"/>
        <w:ind w:firstLine="560" w:firstLineChars="200"/>
        <w:rPr>
          <w:color w:val="auto"/>
          <w:sz w:val="28"/>
          <w:szCs w:val="28"/>
        </w:rPr>
      </w:pPr>
      <w:r>
        <w:rPr>
          <w:rFonts w:hAnsi="宋体"/>
          <w:color w:val="auto"/>
          <w:sz w:val="28"/>
          <w:szCs w:val="28"/>
        </w:rPr>
        <w:t>柴油是易燃烧和爆炸的物品。柴油的电阻率均较大，因摩擦、吸附、沉降、溅泼、喷雾、碰撞均可产生静电积累，并可能导致产生火花。直击雷、雷电感应、静电火花是造成加油站火灾爆炸事故的最常见因素。柴油具有一定的毒害性，高浓度接触或者是长期接触可使人产生急性或者慢性中毒。柴油的危险特性见表</w:t>
      </w:r>
      <w:r>
        <w:rPr>
          <w:color w:val="auto"/>
          <w:sz w:val="28"/>
          <w:szCs w:val="28"/>
        </w:rPr>
        <w:t>5.</w:t>
      </w:r>
      <w:r>
        <w:rPr>
          <w:rFonts w:hint="eastAsia"/>
          <w:color w:val="auto"/>
          <w:sz w:val="28"/>
          <w:szCs w:val="28"/>
        </w:rPr>
        <w:t>8-2</w:t>
      </w:r>
      <w:r>
        <w:rPr>
          <w:rFonts w:hAnsi="宋体"/>
          <w:color w:val="auto"/>
          <w:sz w:val="28"/>
          <w:szCs w:val="28"/>
        </w:rPr>
        <w:t>。</w:t>
      </w:r>
    </w:p>
    <w:p>
      <w:pPr>
        <w:pStyle w:val="7"/>
        <w:numPr>
          <w:ilvl w:val="4"/>
          <w:numId w:val="4"/>
        </w:numPr>
        <w:bidi w:val="0"/>
        <w:rPr>
          <w:snapToGrid w:val="0"/>
          <w:color w:val="auto"/>
          <w:kern w:val="0"/>
          <w:sz w:val="28"/>
          <w:szCs w:val="28"/>
        </w:rPr>
      </w:pPr>
      <w:r>
        <w:rPr>
          <w:rFonts w:hAnsi="宋体"/>
          <w:snapToGrid w:val="0"/>
          <w:color w:val="auto"/>
          <w:kern w:val="0"/>
          <w:sz w:val="28"/>
          <w:szCs w:val="28"/>
        </w:rPr>
        <w:t>柴油危险特性</w:t>
      </w:r>
    </w:p>
    <w:tbl>
      <w:tblPr>
        <w:tblStyle w:val="34"/>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Layout w:type="fixed"/>
        <w:tblCellMar>
          <w:top w:w="0" w:type="dxa"/>
          <w:left w:w="108" w:type="dxa"/>
          <w:bottom w:w="0" w:type="dxa"/>
          <w:right w:w="108" w:type="dxa"/>
        </w:tblCellMar>
      </w:tblPr>
      <w:tblGrid>
        <w:gridCol w:w="1906"/>
        <w:gridCol w:w="360"/>
        <w:gridCol w:w="1035"/>
        <w:gridCol w:w="981"/>
        <w:gridCol w:w="600"/>
        <w:gridCol w:w="232"/>
        <w:gridCol w:w="1263"/>
        <w:gridCol w:w="163"/>
        <w:gridCol w:w="27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物质名称：柴油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物化特性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沸点（℃）</w:t>
            </w:r>
          </w:p>
        </w:tc>
        <w:tc>
          <w:tcPr>
            <w:tcW w:w="2616" w:type="dxa"/>
            <w:gridSpan w:val="3"/>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color w:val="auto"/>
                <w:kern w:val="24"/>
                <w:szCs w:val="21"/>
              </w:rPr>
              <w:t>180</w:t>
            </w:r>
            <w:r>
              <w:rPr>
                <w:rFonts w:hint="default" w:hAnsi="宋体"/>
                <w:color w:val="auto"/>
                <w:kern w:val="24"/>
                <w:szCs w:val="21"/>
              </w:rPr>
              <w:t>～</w:t>
            </w:r>
            <w:r>
              <w:rPr>
                <w:rFonts w:hint="default"/>
                <w:color w:val="auto"/>
                <w:kern w:val="24"/>
                <w:szCs w:val="21"/>
              </w:rPr>
              <w:t>410</w:t>
            </w:r>
            <w:r>
              <w:rPr>
                <w:rFonts w:hint="default" w:hAnsi="宋体"/>
                <w:color w:val="auto"/>
                <w:kern w:val="24"/>
                <w:szCs w:val="21"/>
              </w:rPr>
              <w:t>（约）</w:t>
            </w:r>
          </w:p>
        </w:tc>
        <w:tc>
          <w:tcPr>
            <w:tcW w:w="1658" w:type="dxa"/>
            <w:gridSpan w:val="3"/>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比重（水</w:t>
            </w:r>
            <w:r>
              <w:rPr>
                <w:rFonts w:hint="default"/>
                <w:color w:val="auto"/>
                <w:kern w:val="24"/>
                <w:szCs w:val="21"/>
              </w:rPr>
              <w:t>=1</w:t>
            </w:r>
            <w:r>
              <w:rPr>
                <w:rFonts w:hint="default" w:hAnsi="宋体"/>
                <w:color w:val="auto"/>
                <w:kern w:val="24"/>
                <w:szCs w:val="21"/>
              </w:rPr>
              <w:t>）</w:t>
            </w:r>
          </w:p>
        </w:tc>
        <w:tc>
          <w:tcPr>
            <w:tcW w:w="2747" w:type="dxa"/>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color w:val="auto"/>
                <w:kern w:val="24"/>
                <w:szCs w:val="21"/>
              </w:rPr>
              <w:t>0.8</w:t>
            </w:r>
            <w:r>
              <w:rPr>
                <w:rFonts w:hint="default" w:hAnsi="宋体"/>
                <w:color w:val="auto"/>
                <w:kern w:val="24"/>
                <w:szCs w:val="21"/>
              </w:rPr>
              <w:t>～</w:t>
            </w:r>
            <w:r>
              <w:rPr>
                <w:rFonts w:hint="default"/>
                <w:color w:val="auto"/>
                <w:kern w:val="24"/>
                <w:szCs w:val="21"/>
              </w:rPr>
              <w:t>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饱和蒸气压（</w:t>
            </w:r>
            <w:r>
              <w:rPr>
                <w:rFonts w:hint="default"/>
                <w:color w:val="auto"/>
                <w:kern w:val="24"/>
                <w:szCs w:val="21"/>
              </w:rPr>
              <w:t>kPa</w:t>
            </w:r>
            <w:r>
              <w:rPr>
                <w:rFonts w:hint="default" w:hAnsi="宋体"/>
                <w:color w:val="auto"/>
                <w:kern w:val="24"/>
                <w:szCs w:val="21"/>
              </w:rPr>
              <w:t>）</w:t>
            </w:r>
          </w:p>
        </w:tc>
        <w:tc>
          <w:tcPr>
            <w:tcW w:w="2616" w:type="dxa"/>
            <w:gridSpan w:val="3"/>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color w:val="auto"/>
                <w:kern w:val="24"/>
                <w:szCs w:val="21"/>
              </w:rPr>
              <w:t>0.67kMPa</w:t>
            </w:r>
            <w:r>
              <w:rPr>
                <w:rFonts w:hint="default" w:hAnsi="宋体"/>
                <w:color w:val="auto"/>
                <w:kern w:val="24"/>
                <w:szCs w:val="21"/>
              </w:rPr>
              <w:t>（</w:t>
            </w:r>
            <w:r>
              <w:rPr>
                <w:rFonts w:hint="default"/>
                <w:color w:val="auto"/>
                <w:kern w:val="24"/>
                <w:szCs w:val="21"/>
              </w:rPr>
              <w:t>25</w:t>
            </w:r>
            <w:r>
              <w:rPr>
                <w:rFonts w:hint="default" w:hAnsi="宋体"/>
                <w:color w:val="auto"/>
                <w:kern w:val="24"/>
                <w:szCs w:val="21"/>
              </w:rPr>
              <w:t>℃，纯品）</w:t>
            </w:r>
          </w:p>
        </w:tc>
        <w:tc>
          <w:tcPr>
            <w:tcW w:w="1658" w:type="dxa"/>
            <w:gridSpan w:val="3"/>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熔点（℃）</w:t>
            </w:r>
          </w:p>
        </w:tc>
        <w:tc>
          <w:tcPr>
            <w:tcW w:w="2747" w:type="dxa"/>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color w:val="auto"/>
                <w:kern w:val="24"/>
                <w:szCs w:val="21"/>
              </w:rPr>
              <w:t>-35</w:t>
            </w:r>
            <w:r>
              <w:rPr>
                <w:rFonts w:hint="default" w:hAnsi="宋体"/>
                <w:color w:val="auto"/>
                <w:kern w:val="24"/>
                <w:szCs w:val="21"/>
              </w:rPr>
              <w:t>～</w:t>
            </w:r>
            <w:r>
              <w:rPr>
                <w:rFonts w:hint="default"/>
                <w:color w:val="auto"/>
                <w:kern w:val="24"/>
                <w:szCs w:val="21"/>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蒸气密度（空气</w:t>
            </w:r>
            <w:r>
              <w:rPr>
                <w:rFonts w:hint="default"/>
                <w:color w:val="auto"/>
                <w:kern w:val="24"/>
                <w:szCs w:val="21"/>
              </w:rPr>
              <w:t>=1</w:t>
            </w:r>
            <w:r>
              <w:rPr>
                <w:rFonts w:hint="default" w:hAnsi="宋体"/>
                <w:color w:val="auto"/>
                <w:kern w:val="24"/>
                <w:szCs w:val="21"/>
              </w:rPr>
              <w:t>）</w:t>
            </w:r>
          </w:p>
        </w:tc>
        <w:tc>
          <w:tcPr>
            <w:tcW w:w="2616" w:type="dxa"/>
            <w:gridSpan w:val="3"/>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无资料</w:t>
            </w:r>
          </w:p>
        </w:tc>
        <w:tc>
          <w:tcPr>
            <w:tcW w:w="1658" w:type="dxa"/>
            <w:gridSpan w:val="3"/>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溶解性</w:t>
            </w:r>
          </w:p>
        </w:tc>
        <w:tc>
          <w:tcPr>
            <w:tcW w:w="2747" w:type="dxa"/>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不溶于水，易溶于苯、二硫化碳、醇等。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外观与气味</w:t>
            </w:r>
          </w:p>
        </w:tc>
        <w:tc>
          <w:tcPr>
            <w:tcW w:w="7021" w:type="dxa"/>
            <w:gridSpan w:val="7"/>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稍有粘性的浅黄至棕色液体。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火灾爆炸危险数据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闪点（℃）</w:t>
            </w:r>
          </w:p>
        </w:tc>
        <w:tc>
          <w:tcPr>
            <w:tcW w:w="2016" w:type="dxa"/>
            <w:gridSpan w:val="2"/>
            <w:noWrap w:val="0"/>
            <w:vAlign w:val="center"/>
          </w:tcPr>
          <w:p>
            <w:pPr>
              <w:keepNext w:val="0"/>
              <w:keepLines w:val="0"/>
              <w:suppressLineNumbers w:val="0"/>
              <w:spacing w:before="0" w:beforeAutospacing="0" w:after="0" w:afterAutospacing="0" w:line="260" w:lineRule="exact"/>
              <w:ind w:left="420" w:right="0" w:hanging="420" w:hangingChars="200"/>
              <w:jc w:val="left"/>
              <w:rPr>
                <w:rFonts w:hint="default"/>
                <w:color w:val="auto"/>
                <w:szCs w:val="21"/>
              </w:rPr>
            </w:pPr>
            <w:r>
              <w:rPr>
                <w:rFonts w:hint="default"/>
                <w:color w:val="auto"/>
                <w:szCs w:val="21"/>
              </w:rPr>
              <w:t>≥ 65</w:t>
            </w:r>
          </w:p>
        </w:tc>
        <w:tc>
          <w:tcPr>
            <w:tcW w:w="2095" w:type="dxa"/>
            <w:gridSpan w:val="3"/>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爆炸极限（</w:t>
            </w:r>
            <w:r>
              <w:rPr>
                <w:rFonts w:hint="default"/>
                <w:color w:val="auto"/>
                <w:szCs w:val="21"/>
              </w:rPr>
              <w:t>V%</w:t>
            </w:r>
            <w:r>
              <w:rPr>
                <w:rFonts w:hint="default" w:hAnsi="宋体"/>
                <w:color w:val="auto"/>
                <w:szCs w:val="21"/>
              </w:rPr>
              <w:t>）</w:t>
            </w:r>
          </w:p>
        </w:tc>
        <w:tc>
          <w:tcPr>
            <w:tcW w:w="2910" w:type="dxa"/>
            <w:gridSpan w:val="2"/>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color w:val="auto"/>
                <w:szCs w:val="21"/>
              </w:rPr>
              <w:t>1.5</w:t>
            </w:r>
            <w:r>
              <w:rPr>
                <w:rFonts w:hint="default" w:hAnsi="宋体"/>
                <w:color w:val="auto"/>
                <w:szCs w:val="21"/>
              </w:rPr>
              <w:t>～</w:t>
            </w:r>
            <w:r>
              <w:rPr>
                <w:rFonts w:hint="default"/>
                <w:color w:val="auto"/>
                <w:szCs w:val="21"/>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引燃温度（℃）</w:t>
            </w:r>
          </w:p>
        </w:tc>
        <w:tc>
          <w:tcPr>
            <w:tcW w:w="7021" w:type="dxa"/>
            <w:gridSpan w:val="7"/>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color w:val="auto"/>
                <w:kern w:val="24"/>
                <w:szCs w:val="21"/>
              </w:rPr>
              <w:t>285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287" w:hRule="atLeast"/>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灭火剂</w:t>
            </w:r>
          </w:p>
        </w:tc>
        <w:tc>
          <w:tcPr>
            <w:tcW w:w="7021" w:type="dxa"/>
            <w:gridSpan w:val="7"/>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泡沫、二氧化碳、干粉、</w:t>
            </w:r>
            <w:r>
              <w:rPr>
                <w:rFonts w:hint="default"/>
                <w:color w:val="auto"/>
                <w:szCs w:val="21"/>
              </w:rPr>
              <w:t>1211</w:t>
            </w:r>
            <w:r>
              <w:rPr>
                <w:rFonts w:hint="default" w:hAnsi="宋体"/>
                <w:color w:val="auto"/>
                <w:szCs w:val="21"/>
              </w:rPr>
              <w:t>灭火剂、砂土。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灭火方法</w:t>
            </w:r>
          </w:p>
        </w:tc>
        <w:tc>
          <w:tcPr>
            <w:tcW w:w="7021" w:type="dxa"/>
            <w:gridSpan w:val="7"/>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喷水冷却容器，可能时将容器从火场移至空旷处。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adjustRightInd w:val="0"/>
              <w:snapToGrid w:val="0"/>
              <w:spacing w:before="0" w:beforeAutospacing="0" w:after="0" w:afterAutospacing="0" w:line="260" w:lineRule="exact"/>
              <w:ind w:left="0" w:right="0"/>
              <w:jc w:val="left"/>
              <w:textAlignment w:val="baseline"/>
              <w:rPr>
                <w:rFonts w:hint="default"/>
                <w:color w:val="auto"/>
                <w:kern w:val="24"/>
                <w:szCs w:val="21"/>
              </w:rPr>
            </w:pPr>
            <w:r>
              <w:rPr>
                <w:rFonts w:hint="default" w:hAnsi="宋体"/>
                <w:color w:val="auto"/>
                <w:kern w:val="24"/>
                <w:szCs w:val="21"/>
              </w:rPr>
              <w:t>危险特性</w:t>
            </w:r>
          </w:p>
        </w:tc>
        <w:tc>
          <w:tcPr>
            <w:tcW w:w="7021" w:type="dxa"/>
            <w:gridSpan w:val="7"/>
            <w:noWrap w:val="0"/>
            <w:vAlign w:val="center"/>
          </w:tcPr>
          <w:p>
            <w:pPr>
              <w:keepNext w:val="0"/>
              <w:keepLines w:val="0"/>
              <w:suppressLineNumbers w:val="0"/>
              <w:snapToGrid w:val="0"/>
              <w:spacing w:before="0" w:beforeAutospacing="0" w:after="0" w:afterAutospacing="0" w:line="260" w:lineRule="exact"/>
              <w:ind w:left="480" w:right="0" w:firstLine="574"/>
              <w:jc w:val="left"/>
              <w:rPr>
                <w:rFonts w:hint="default"/>
                <w:color w:val="auto"/>
                <w:kern w:val="0"/>
                <w:szCs w:val="21"/>
              </w:rPr>
            </w:pPr>
            <w:r>
              <w:rPr>
                <w:rFonts w:hint="default" w:hAnsi="宋体"/>
                <w:color w:val="auto"/>
                <w:kern w:val="0"/>
                <w:szCs w:val="21"/>
              </w:rPr>
              <w:t>遇明火、高热或与氧化剂接触，有引起燃烧爆炸的危险；若遇高热，容器内压增大，有开裂和爆炸的危险。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反应活性数据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稳定性</w:t>
            </w:r>
          </w:p>
        </w:tc>
        <w:tc>
          <w:tcPr>
            <w:tcW w:w="1035" w:type="dxa"/>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稳定</w:t>
            </w:r>
          </w:p>
        </w:tc>
        <w:tc>
          <w:tcPr>
            <w:tcW w:w="981" w:type="dxa"/>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禁忌物</w:t>
            </w:r>
          </w:p>
        </w:tc>
        <w:tc>
          <w:tcPr>
            <w:tcW w:w="5005" w:type="dxa"/>
            <w:gridSpan w:val="5"/>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强氧化剂、卤素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2266" w:type="dxa"/>
            <w:gridSpan w:val="2"/>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燃烧（分解）产物</w:t>
            </w:r>
          </w:p>
        </w:tc>
        <w:tc>
          <w:tcPr>
            <w:tcW w:w="7021" w:type="dxa"/>
            <w:gridSpan w:val="7"/>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一氧化碳、二氧化碳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健康危害数据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309" w:hRule="atLeast"/>
          <w:jc w:val="center"/>
        </w:trPr>
        <w:tc>
          <w:tcPr>
            <w:tcW w:w="2266" w:type="dxa"/>
            <w:gridSpan w:val="2"/>
            <w:noWrap w:val="0"/>
            <w:vAlign w:val="center"/>
          </w:tcPr>
          <w:p>
            <w:pPr>
              <w:keepNext w:val="0"/>
              <w:keepLines w:val="0"/>
              <w:suppressLineNumbers w:val="0"/>
              <w:tabs>
                <w:tab w:val="center" w:pos="4153"/>
                <w:tab w:val="right" w:pos="8306"/>
              </w:tabs>
              <w:snapToGrid w:val="0"/>
              <w:spacing w:before="0" w:beforeAutospacing="0" w:after="0" w:afterAutospacing="0" w:line="260" w:lineRule="exact"/>
              <w:ind w:left="0" w:right="0"/>
              <w:jc w:val="left"/>
              <w:rPr>
                <w:rFonts w:hint="default"/>
                <w:color w:val="auto"/>
                <w:kern w:val="0"/>
                <w:szCs w:val="21"/>
              </w:rPr>
            </w:pPr>
            <w:r>
              <w:rPr>
                <w:rFonts w:hint="default" w:hAnsi="宋体"/>
                <w:color w:val="auto"/>
                <w:kern w:val="0"/>
                <w:szCs w:val="21"/>
              </w:rPr>
              <w:t>侵入途径</w:t>
            </w:r>
          </w:p>
        </w:tc>
        <w:tc>
          <w:tcPr>
            <w:tcW w:w="7021" w:type="dxa"/>
            <w:gridSpan w:val="7"/>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吸入、皮肤、口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健康危害（急性和慢性）：皮肤接触柴油可引起接触性皮炎、油性痤疮；吸入可引起吸入性肺炎。能经胎盘进入胎儿血中。柴油废气可引起眼、鼻刺激症状，头晕及头痛。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泄漏紧急处理：迅速撤离泄漏污染区人员至安全区，并进行隔离，严格限制出入。切断火源。建议应急处理人员戴自给正压空气呼吸器，穿消防防护服。尽可能切断泄漏源，防止进入下水道、排洪沟等限制性空间。小量泄漏：用砂土、蛭石或其它惰性材料吸收。或在保证安全情况下，就地焚烧。大量泄漏：构筑围堤或挖坑收容；用泡沫覆盖，降低蒸气灾害。用防爆泵转移至槽车或专用收集器内，回收或运至废物处理场所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储运注意事项：配备相应品种和数量的消防器材。罐储要有防火防爆技术措施。禁止使用易产生火花的机械设备和工具，充装要控制流速，注意防止静电积聚。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9287" w:type="dxa"/>
            <w:gridSpan w:val="9"/>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防护措施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jc w:val="center"/>
        </w:trPr>
        <w:tc>
          <w:tcPr>
            <w:tcW w:w="1906" w:type="dxa"/>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呼吸系统防护</w:t>
            </w:r>
          </w:p>
        </w:tc>
        <w:tc>
          <w:tcPr>
            <w:tcW w:w="3208" w:type="dxa"/>
            <w:gridSpan w:val="5"/>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一般不需特殊防护，但建议特殊情况下，佩带正压空气呼吸机。</w:t>
            </w:r>
          </w:p>
        </w:tc>
        <w:tc>
          <w:tcPr>
            <w:tcW w:w="1426" w:type="dxa"/>
            <w:gridSpan w:val="2"/>
            <w:noWrap w:val="0"/>
            <w:vAlign w:val="center"/>
          </w:tcPr>
          <w:p>
            <w:pPr>
              <w:keepNext w:val="0"/>
              <w:keepLines w:val="0"/>
              <w:suppressLineNumbers w:val="0"/>
              <w:tabs>
                <w:tab w:val="center" w:pos="4153"/>
                <w:tab w:val="right" w:pos="8306"/>
              </w:tabs>
              <w:snapToGrid w:val="0"/>
              <w:spacing w:before="0" w:beforeAutospacing="0" w:after="0" w:afterAutospacing="0" w:line="260" w:lineRule="exact"/>
              <w:ind w:left="0" w:right="0"/>
              <w:jc w:val="left"/>
              <w:rPr>
                <w:rFonts w:hint="default"/>
                <w:color w:val="auto"/>
                <w:kern w:val="0"/>
                <w:szCs w:val="21"/>
              </w:rPr>
            </w:pPr>
            <w:r>
              <w:rPr>
                <w:rFonts w:hint="default" w:hAnsi="宋体"/>
                <w:color w:val="auto"/>
                <w:kern w:val="0"/>
                <w:szCs w:val="21"/>
              </w:rPr>
              <w:t>身体防护</w:t>
            </w:r>
          </w:p>
        </w:tc>
        <w:tc>
          <w:tcPr>
            <w:tcW w:w="2747" w:type="dxa"/>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穿防静电服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358" w:hRule="atLeast"/>
          <w:jc w:val="center"/>
        </w:trPr>
        <w:tc>
          <w:tcPr>
            <w:tcW w:w="1906" w:type="dxa"/>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手防护</w:t>
            </w:r>
          </w:p>
        </w:tc>
        <w:tc>
          <w:tcPr>
            <w:tcW w:w="3208" w:type="dxa"/>
            <w:gridSpan w:val="5"/>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戴防护手套</w:t>
            </w:r>
          </w:p>
        </w:tc>
        <w:tc>
          <w:tcPr>
            <w:tcW w:w="1426" w:type="dxa"/>
            <w:gridSpan w:val="2"/>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眼防护</w:t>
            </w:r>
          </w:p>
        </w:tc>
        <w:tc>
          <w:tcPr>
            <w:tcW w:w="2747" w:type="dxa"/>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必要时戴安全防护眼镜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340" w:hRule="atLeast"/>
          <w:jc w:val="center"/>
        </w:trPr>
        <w:tc>
          <w:tcPr>
            <w:tcW w:w="1906" w:type="dxa"/>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其</w:t>
            </w:r>
            <w:r>
              <w:rPr>
                <w:rFonts w:hint="default"/>
                <w:color w:val="auto"/>
                <w:szCs w:val="21"/>
              </w:rPr>
              <w:t xml:space="preserve">  </w:t>
            </w:r>
            <w:r>
              <w:rPr>
                <w:rFonts w:hint="default" w:hAnsi="宋体"/>
                <w:color w:val="auto"/>
                <w:szCs w:val="21"/>
              </w:rPr>
              <w:t>它</w:t>
            </w:r>
          </w:p>
        </w:tc>
        <w:tc>
          <w:tcPr>
            <w:tcW w:w="7381" w:type="dxa"/>
            <w:gridSpan w:val="8"/>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工作后，淋浴更衣。保持良好的卫生习惯。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340" w:hRule="atLeast"/>
          <w:jc w:val="center"/>
        </w:trPr>
        <w:tc>
          <w:tcPr>
            <w:tcW w:w="1906" w:type="dxa"/>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急救措施</w:t>
            </w:r>
          </w:p>
        </w:tc>
        <w:tc>
          <w:tcPr>
            <w:tcW w:w="7381" w:type="dxa"/>
            <w:gridSpan w:val="8"/>
            <w:noWrap w:val="0"/>
            <w:vAlign w:val="center"/>
          </w:tcPr>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皮肤接触：立即脱去污染的衣着，用肥皂水和清水彻底清洗皮肤。就医。</w:t>
            </w:r>
          </w:p>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眼睛接触：立即提起眼睑，用大量流动的清水彻底冲洗。就医。</w:t>
            </w:r>
          </w:p>
          <w:p>
            <w:pPr>
              <w:keepNext w:val="0"/>
              <w:keepLines w:val="0"/>
              <w:suppressLineNumbers w:val="0"/>
              <w:snapToGrid w:val="0"/>
              <w:spacing w:before="0" w:beforeAutospacing="0" w:after="0" w:afterAutospacing="0" w:line="260" w:lineRule="exact"/>
              <w:ind w:left="0" w:right="0"/>
              <w:jc w:val="left"/>
              <w:rPr>
                <w:rFonts w:hint="default"/>
                <w:color w:val="auto"/>
                <w:szCs w:val="21"/>
              </w:rPr>
            </w:pPr>
            <w:r>
              <w:rPr>
                <w:rFonts w:hint="default" w:hAnsi="宋体"/>
                <w:color w:val="auto"/>
                <w:szCs w:val="21"/>
              </w:rPr>
              <w:t>食入：尽快彻底洗胃，就医。</w:t>
            </w:r>
          </w:p>
        </w:tc>
      </w:tr>
    </w:tbl>
    <w:p>
      <w:pPr>
        <w:pStyle w:val="6"/>
        <w:numPr>
          <w:ilvl w:val="3"/>
          <w:numId w:val="4"/>
        </w:numPr>
        <w:bidi w:val="0"/>
        <w:rPr>
          <w:rFonts w:hint="eastAsia"/>
          <w:color w:val="auto"/>
        </w:rPr>
      </w:pPr>
      <w:r>
        <w:rPr>
          <w:rFonts w:hint="eastAsia"/>
          <w:color w:val="auto"/>
        </w:rPr>
        <w:t>氢氧化钾</w:t>
      </w:r>
    </w:p>
    <w:p>
      <w:pPr>
        <w:spacing w:line="480" w:lineRule="exact"/>
        <w:ind w:firstLine="560" w:firstLineChars="200"/>
        <w:rPr>
          <w:rFonts w:hint="eastAsia"/>
          <w:color w:val="auto"/>
          <w:sz w:val="28"/>
          <w:szCs w:val="28"/>
        </w:rPr>
      </w:pPr>
      <w:r>
        <w:rPr>
          <w:color w:val="auto"/>
          <w:sz w:val="28"/>
          <w:szCs w:val="28"/>
        </w:rPr>
        <w:t>氢氧化钾</w:t>
      </w:r>
      <w:r>
        <w:rPr>
          <w:rFonts w:hint="eastAsia"/>
          <w:color w:val="auto"/>
          <w:sz w:val="28"/>
          <w:szCs w:val="28"/>
        </w:rPr>
        <w:t>（</w:t>
      </w:r>
      <w:r>
        <w:rPr>
          <w:color w:val="auto"/>
          <w:sz w:val="28"/>
          <w:szCs w:val="28"/>
        </w:rPr>
        <w:fldChar w:fldCharType="begin"/>
      </w:r>
      <w:r>
        <w:rPr>
          <w:color w:val="auto"/>
          <w:sz w:val="28"/>
          <w:szCs w:val="28"/>
        </w:rPr>
        <w:instrText xml:space="preserve"> HYPERLINK "https://baike.so.com/doc/804239-850746.html" \t "_blank" </w:instrText>
      </w:r>
      <w:r>
        <w:rPr>
          <w:color w:val="auto"/>
          <w:sz w:val="28"/>
          <w:szCs w:val="28"/>
        </w:rPr>
        <w:fldChar w:fldCharType="separate"/>
      </w:r>
      <w:r>
        <w:rPr>
          <w:color w:val="auto"/>
          <w:sz w:val="28"/>
          <w:szCs w:val="28"/>
        </w:rPr>
        <w:t>化学式</w:t>
      </w:r>
      <w:r>
        <w:rPr>
          <w:color w:val="auto"/>
          <w:sz w:val="28"/>
          <w:szCs w:val="28"/>
        </w:rPr>
        <w:fldChar w:fldCharType="end"/>
      </w:r>
      <w:r>
        <w:rPr>
          <w:color w:val="auto"/>
          <w:sz w:val="28"/>
          <w:szCs w:val="28"/>
        </w:rPr>
        <w:t>:KOH，</w:t>
      </w:r>
      <w:r>
        <w:rPr>
          <w:color w:val="auto"/>
          <w:sz w:val="28"/>
          <w:szCs w:val="28"/>
        </w:rPr>
        <w:fldChar w:fldCharType="begin"/>
      </w:r>
      <w:r>
        <w:rPr>
          <w:color w:val="auto"/>
          <w:sz w:val="28"/>
          <w:szCs w:val="28"/>
        </w:rPr>
        <w:instrText xml:space="preserve"> HYPERLINK "https://baike.so.com/doc/6917580-7139494.html" \t "_blank" </w:instrText>
      </w:r>
      <w:r>
        <w:rPr>
          <w:color w:val="auto"/>
          <w:sz w:val="28"/>
          <w:szCs w:val="28"/>
        </w:rPr>
        <w:fldChar w:fldCharType="separate"/>
      </w:r>
      <w:r>
        <w:rPr>
          <w:rFonts w:hint="eastAsia"/>
          <w:color w:val="auto"/>
          <w:sz w:val="28"/>
          <w:szCs w:val="28"/>
        </w:rPr>
        <w:t>分子</w:t>
      </w:r>
      <w:r>
        <w:rPr>
          <w:color w:val="auto"/>
          <w:sz w:val="28"/>
          <w:szCs w:val="28"/>
        </w:rPr>
        <w:t>量</w:t>
      </w:r>
      <w:r>
        <w:rPr>
          <w:color w:val="auto"/>
          <w:sz w:val="28"/>
          <w:szCs w:val="28"/>
        </w:rPr>
        <w:fldChar w:fldCharType="end"/>
      </w:r>
      <w:r>
        <w:rPr>
          <w:color w:val="auto"/>
          <w:sz w:val="28"/>
          <w:szCs w:val="28"/>
        </w:rPr>
        <w:t>:56.11</w:t>
      </w:r>
      <w:r>
        <w:rPr>
          <w:rFonts w:hint="eastAsia"/>
          <w:color w:val="auto"/>
          <w:sz w:val="28"/>
          <w:szCs w:val="28"/>
        </w:rPr>
        <w:t>）为</w:t>
      </w:r>
      <w:r>
        <w:rPr>
          <w:color w:val="auto"/>
          <w:sz w:val="28"/>
          <w:szCs w:val="28"/>
        </w:rPr>
        <w:t>白色粉末或片状固体。</w:t>
      </w:r>
      <w:r>
        <w:rPr>
          <w:color w:val="auto"/>
          <w:sz w:val="28"/>
          <w:szCs w:val="28"/>
        </w:rPr>
        <w:fldChar w:fldCharType="begin"/>
      </w:r>
      <w:r>
        <w:rPr>
          <w:color w:val="auto"/>
          <w:sz w:val="28"/>
          <w:szCs w:val="28"/>
        </w:rPr>
        <w:instrText xml:space="preserve"> HYPERLINK "https://baike.so.com/doc/367780-389604.html" \t "_blank" </w:instrText>
      </w:r>
      <w:r>
        <w:rPr>
          <w:color w:val="auto"/>
          <w:sz w:val="28"/>
          <w:szCs w:val="28"/>
        </w:rPr>
        <w:fldChar w:fldCharType="separate"/>
      </w:r>
      <w:r>
        <w:rPr>
          <w:color w:val="auto"/>
          <w:sz w:val="28"/>
          <w:szCs w:val="28"/>
        </w:rPr>
        <w:t>熔点</w:t>
      </w:r>
      <w:r>
        <w:rPr>
          <w:color w:val="auto"/>
          <w:sz w:val="28"/>
          <w:szCs w:val="28"/>
        </w:rPr>
        <w:fldChar w:fldCharType="end"/>
      </w:r>
      <w:r>
        <w:rPr>
          <w:color w:val="auto"/>
          <w:sz w:val="28"/>
          <w:szCs w:val="28"/>
        </w:rPr>
        <w:t>360~406</w:t>
      </w:r>
      <w:r>
        <w:rPr>
          <w:rFonts w:hint="eastAsia"/>
          <w:color w:val="auto"/>
          <w:sz w:val="28"/>
          <w:szCs w:val="28"/>
        </w:rPr>
        <w:t>℃</w:t>
      </w:r>
      <w:r>
        <w:rPr>
          <w:color w:val="auto"/>
          <w:sz w:val="28"/>
          <w:szCs w:val="28"/>
        </w:rPr>
        <w:t>，沸点1320~1324</w:t>
      </w:r>
      <w:r>
        <w:rPr>
          <w:rFonts w:hint="eastAsia"/>
          <w:color w:val="auto"/>
          <w:sz w:val="28"/>
          <w:szCs w:val="28"/>
        </w:rPr>
        <w:t>℃</w:t>
      </w:r>
      <w:r>
        <w:rPr>
          <w:color w:val="auto"/>
          <w:sz w:val="28"/>
          <w:szCs w:val="28"/>
        </w:rPr>
        <w:t>，</w:t>
      </w:r>
      <w:r>
        <w:rPr>
          <w:color w:val="auto"/>
          <w:sz w:val="28"/>
          <w:szCs w:val="28"/>
        </w:rPr>
        <w:fldChar w:fldCharType="begin"/>
      </w:r>
      <w:r>
        <w:rPr>
          <w:color w:val="auto"/>
          <w:sz w:val="28"/>
          <w:szCs w:val="28"/>
        </w:rPr>
        <w:instrText xml:space="preserve"> HYPERLINK "https://baike.so.com/doc/2751462-2903816.html" \t "_blank" </w:instrText>
      </w:r>
      <w:r>
        <w:rPr>
          <w:color w:val="auto"/>
          <w:sz w:val="28"/>
          <w:szCs w:val="28"/>
        </w:rPr>
        <w:fldChar w:fldCharType="separate"/>
      </w:r>
      <w:r>
        <w:rPr>
          <w:color w:val="auto"/>
          <w:sz w:val="28"/>
          <w:szCs w:val="28"/>
        </w:rPr>
        <w:t>相对密度</w:t>
      </w:r>
      <w:r>
        <w:rPr>
          <w:color w:val="auto"/>
          <w:sz w:val="28"/>
          <w:szCs w:val="28"/>
        </w:rPr>
        <w:fldChar w:fldCharType="end"/>
      </w:r>
      <w:r>
        <w:rPr>
          <w:color w:val="auto"/>
          <w:sz w:val="28"/>
          <w:szCs w:val="28"/>
        </w:rPr>
        <w:t>2.04g/cm</w:t>
      </w:r>
      <w:r>
        <w:rPr>
          <w:rFonts w:hint="eastAsia"/>
          <w:color w:val="auto"/>
          <w:sz w:val="28"/>
          <w:szCs w:val="28"/>
          <w:vertAlign w:val="superscript"/>
        </w:rPr>
        <w:t>3</w:t>
      </w:r>
      <w:r>
        <w:rPr>
          <w:rFonts w:hint="eastAsia"/>
          <w:color w:val="auto"/>
          <w:sz w:val="28"/>
          <w:szCs w:val="28"/>
        </w:rPr>
        <w:t>，</w:t>
      </w:r>
      <w:r>
        <w:rPr>
          <w:color w:val="auto"/>
          <w:sz w:val="28"/>
          <w:szCs w:val="28"/>
        </w:rPr>
        <w:t>具强碱性及腐蚀性。极易吸收空气中水分而潮解，吸收二氧化碳而成碳酸钾。溶于乙醇，微溶于醚。</w:t>
      </w:r>
      <w:r>
        <w:rPr>
          <w:rFonts w:hint="eastAsia"/>
          <w:color w:val="auto"/>
          <w:sz w:val="28"/>
          <w:szCs w:val="28"/>
        </w:rPr>
        <w:t>具体特性见表5.</w:t>
      </w:r>
      <w:r>
        <w:rPr>
          <w:rFonts w:hint="eastAsia"/>
          <w:color w:val="auto"/>
          <w:sz w:val="28"/>
          <w:szCs w:val="28"/>
          <w:lang w:val="en-US" w:eastAsia="zh-CN"/>
        </w:rPr>
        <w:t>8</w:t>
      </w:r>
      <w:r>
        <w:rPr>
          <w:rFonts w:hint="eastAsia"/>
          <w:color w:val="auto"/>
          <w:sz w:val="28"/>
          <w:szCs w:val="28"/>
        </w:rPr>
        <w:t>-4。</w:t>
      </w:r>
    </w:p>
    <w:p>
      <w:pPr>
        <w:pStyle w:val="7"/>
        <w:numPr>
          <w:ilvl w:val="4"/>
          <w:numId w:val="2"/>
        </w:numPr>
        <w:bidi w:val="0"/>
        <w:rPr>
          <w:color w:val="auto"/>
        </w:rPr>
      </w:pPr>
      <w:r>
        <w:rPr>
          <w:rFonts w:hint="eastAsia"/>
          <w:color w:val="auto"/>
        </w:rPr>
        <w:t xml:space="preserve"> </w:t>
      </w:r>
      <w:r>
        <w:rPr>
          <w:color w:val="auto"/>
        </w:rPr>
        <w:t>氢氧化钾化学品安全技术说明书</w:t>
      </w:r>
    </w:p>
    <w:tbl>
      <w:tblPr>
        <w:tblStyle w:val="34"/>
        <w:tblW w:w="91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标识</w:t>
            </w:r>
          </w:p>
        </w:tc>
        <w:tc>
          <w:tcPr>
            <w:tcW w:w="3971" w:type="dxa"/>
            <w:gridSpan w:val="2"/>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rPr>
                <w:rFonts w:hint="default" w:eastAsia="宋体"/>
                <w:color w:val="auto"/>
              </w:rPr>
            </w:pPr>
            <w:r>
              <w:rPr>
                <w:rFonts w:hint="default" w:eastAsia="宋体"/>
                <w:color w:val="auto"/>
                <w:szCs w:val="21"/>
              </w:rPr>
              <w:t>中文名：氢氧化钾</w:t>
            </w:r>
          </w:p>
        </w:tc>
        <w:tc>
          <w:tcPr>
            <w:tcW w:w="4024" w:type="dxa"/>
            <w:noWrap w:val="0"/>
            <w:vAlign w:val="center"/>
          </w:tcPr>
          <w:p>
            <w:pPr>
              <w:keepNext w:val="0"/>
              <w:keepLines w:val="0"/>
              <w:suppressLineNumbers w:val="0"/>
              <w:autoSpaceDE w:val="0"/>
              <w:autoSpaceDN w:val="0"/>
              <w:adjustRightInd w:val="0"/>
              <w:snapToGrid w:val="0"/>
              <w:spacing w:before="0" w:beforeAutospacing="0" w:after="0" w:afterAutospacing="0" w:line="360" w:lineRule="exact"/>
              <w:ind w:left="0" w:right="0"/>
              <w:rPr>
                <w:rFonts w:hint="default" w:eastAsia="宋体"/>
                <w:color w:val="auto"/>
              </w:rPr>
            </w:pPr>
            <w:r>
              <w:rPr>
                <w:rFonts w:hint="default" w:eastAsia="宋体"/>
                <w:color w:val="auto"/>
                <w:szCs w:val="21"/>
              </w:rPr>
              <w:t>英文名：potassium hydroxide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分子式：KOH</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分子量：56.11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2127"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危规号：82002</w:t>
            </w:r>
          </w:p>
        </w:tc>
        <w:tc>
          <w:tcPr>
            <w:tcW w:w="184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UN编号：1813</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CAS号：1310-58-3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理化特性</w:t>
            </w: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外观及性状：白色片状晶体，易潮解。</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溶解性：溶于水、乙醇，微溶于乙醚。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理化特性</w:t>
            </w: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熔点（℃）：360</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沸点（℃）：1320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相对密度（水=1）：2.04</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相对密度（空气=1）：无资料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饱和蒸气压（kPa）：0.13（719℃）</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禁忌物：酸类、二氧化碳、过氧化物、水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临界压力（MPa）：无资料</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临界温度（℃）：无资料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稳定性：暴露在空气中吸收CO</w:t>
            </w:r>
            <w:r>
              <w:rPr>
                <w:rFonts w:hint="default" w:eastAsia="宋体"/>
                <w:color w:val="auto"/>
                <w:szCs w:val="21"/>
                <w:vertAlign w:val="subscript"/>
              </w:rPr>
              <w:t>2</w:t>
            </w:r>
            <w:r>
              <w:rPr>
                <w:rFonts w:hint="default" w:eastAsia="宋体"/>
                <w:color w:val="auto"/>
                <w:szCs w:val="21"/>
              </w:rPr>
              <w:t>转化为碳酸盐</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聚合危害：不聚合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危险特性</w:t>
            </w: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危险性类别：第8.2类碱性腐蚀品</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燃烧性：无资料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引燃温度（℃）：无资料</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闪点（℃）：无资料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爆炸上限（v%）：无资料</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爆炸下限（v%）：无资料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燃烧热（kJ/L）：无资料</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火灾危险类别：无资料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燃烧（分解）产物：无资料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危险特性：遇火会产生刺激性、毒性或腐蚀性的气体。加热时，容器可能爆炸。暴露于火中的容器可能会通过压力安全阀泄漏出内容物。受热或接触火焰可能会产生膨胀或爆炸性分解。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灭火方法：灭火时，应佩戴呼吸面具（符合MSHA/NIOSH要求的或相当的）并穿上全身防护服。在安全距离处、有充足防护的情况下灭火。防止消防水污染地表和地下水系统。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灭火剂: 水、砂土。但须防止物品遇水飞溅，造成灼伤。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毒理性质</w:t>
            </w:r>
          </w:p>
        </w:tc>
        <w:tc>
          <w:tcPr>
            <w:tcW w:w="3971" w:type="dxa"/>
            <w:gridSpan w:val="2"/>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LC</w:t>
            </w:r>
            <w:r>
              <w:rPr>
                <w:rFonts w:hint="default" w:eastAsia="宋体"/>
                <w:color w:val="auto"/>
                <w:szCs w:val="21"/>
                <w:vertAlign w:val="subscript"/>
              </w:rPr>
              <w:t>50</w:t>
            </w:r>
            <w:r>
              <w:rPr>
                <w:rFonts w:hint="default" w:eastAsia="宋体"/>
                <w:color w:val="auto"/>
                <w:szCs w:val="21"/>
              </w:rPr>
              <w:t>：无资料</w:t>
            </w:r>
          </w:p>
        </w:tc>
        <w:tc>
          <w:tcPr>
            <w:tcW w:w="4024" w:type="dxa"/>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LD</w:t>
            </w:r>
            <w:r>
              <w:rPr>
                <w:rFonts w:hint="default" w:eastAsia="宋体"/>
                <w:color w:val="auto"/>
                <w:szCs w:val="21"/>
                <w:vertAlign w:val="subscript"/>
              </w:rPr>
              <w:t>50</w:t>
            </w:r>
            <w:r>
              <w:rPr>
                <w:rFonts w:hint="default" w:eastAsia="宋体"/>
                <w:color w:val="auto"/>
                <w:szCs w:val="21"/>
              </w:rPr>
              <w:t>：273mg/kg（大鼠经口）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生物毒性：TLM：80ppm（96h，食蚊鱼）。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健康危害</w:t>
            </w: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侵入途径：吸入、食入、皮肤吸收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健康危害：吸入能引起呼吸道刺激，伴有咳嗽、呼吸道阻塞和粘膜损伤；食入可引起食道、胃肠道灼伤。皮肤接触造成严重皮肤灼伤。眼睛接触能造成严重化学灼伤，甚至造成永久性失明。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急救</w:t>
            </w: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 xml:space="preserve">皮肤接触：立即脱去污染的衣物，用大量清水冲洗皮肤，就医。 </w:t>
            </w:r>
          </w:p>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 xml:space="preserve">眼睛接触：用大量清水或生理盐水彻底冲洗至少15min，就医。 </w:t>
            </w:r>
          </w:p>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 xml:space="preserve">吸入：立即移到新鲜空气处，保持呼吸畅通。如果呼吸困难，给于吸氧。立即就医。 </w:t>
            </w:r>
          </w:p>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食入：用水漱口，给饮牛奶或蛋清。立即呼叫医生或中毒控制中心。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泄漏处理</w:t>
            </w: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迅速将人员撤离到安全区域，远离泄漏区域并处于上风方向。使用个人防护装备。避免吸入蒸气、烟雾、气体或风尘。</w:t>
            </w:r>
          </w:p>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在确保安全的情况下，采取措施防止进一步的泄漏或溢出。避免排放到周围环境中。</w:t>
            </w:r>
          </w:p>
          <w:p>
            <w:pPr>
              <w:keepNext w:val="0"/>
              <w:keepLines w:val="0"/>
              <w:suppressLineNumbers w:val="0"/>
              <w:spacing w:before="0" w:beforeAutospacing="0" w:after="0" w:afterAutospacing="0" w:line="360" w:lineRule="exact"/>
              <w:ind w:left="0" w:right="0"/>
              <w:rPr>
                <w:rFonts w:hint="default" w:eastAsia="宋体"/>
                <w:color w:val="auto"/>
                <w:szCs w:val="20"/>
              </w:rPr>
            </w:pPr>
            <w:r>
              <w:rPr>
                <w:rFonts w:hint="default" w:eastAsia="宋体"/>
                <w:color w:val="auto"/>
                <w:szCs w:val="21"/>
              </w:rPr>
              <w:t>泄漏物采取中和、稀释、收集、回收，运至危险废物处置场所处理与处置。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noWrap w:val="0"/>
            <w:vAlign w:val="center"/>
          </w:tcPr>
          <w:p>
            <w:pPr>
              <w:keepNext w:val="0"/>
              <w:keepLines w:val="0"/>
              <w:suppressLineNumbers w:val="0"/>
              <w:spacing w:before="0" w:beforeAutospacing="0" w:after="0" w:afterAutospacing="0" w:line="360" w:lineRule="exact"/>
              <w:ind w:left="0" w:right="0"/>
              <w:jc w:val="center"/>
              <w:rPr>
                <w:rFonts w:hint="default" w:eastAsia="宋体"/>
                <w:color w:val="auto"/>
                <w:szCs w:val="21"/>
              </w:rPr>
            </w:pPr>
            <w:r>
              <w:rPr>
                <w:rFonts w:hint="default" w:eastAsia="宋体"/>
                <w:color w:val="auto"/>
                <w:szCs w:val="21"/>
              </w:rPr>
              <w:t>储运</w:t>
            </w:r>
          </w:p>
        </w:tc>
        <w:tc>
          <w:tcPr>
            <w:tcW w:w="7995" w:type="dxa"/>
            <w:gridSpan w:val="3"/>
            <w:noWrap w:val="0"/>
            <w:vAlign w:val="center"/>
          </w:tcPr>
          <w:p>
            <w:pPr>
              <w:keepNext w:val="0"/>
              <w:keepLines w:val="0"/>
              <w:suppressLineNumbers w:val="0"/>
              <w:spacing w:before="0" w:beforeAutospacing="0" w:after="0" w:afterAutospacing="0" w:line="360" w:lineRule="exact"/>
              <w:ind w:left="0" w:right="0"/>
              <w:rPr>
                <w:rFonts w:hint="default" w:eastAsia="宋体"/>
                <w:color w:val="auto"/>
                <w:szCs w:val="21"/>
              </w:rPr>
            </w:pPr>
            <w:r>
              <w:rPr>
                <w:rFonts w:hint="default" w:eastAsia="宋体"/>
                <w:color w:val="auto"/>
                <w:szCs w:val="21"/>
              </w:rPr>
              <w:t>运输时运输车辆应配备相应品种和数量的消防器材及泄漏应急处理设备。运输前应先检查包装容器是否完整、密封。运输工具上应根据相关运输要求张贴危险标志、公告。</w:t>
            </w:r>
          </w:p>
        </w:tc>
      </w:tr>
    </w:tbl>
    <w:p>
      <w:pPr>
        <w:pStyle w:val="5"/>
        <w:numPr>
          <w:ilvl w:val="2"/>
          <w:numId w:val="4"/>
        </w:numPr>
        <w:bidi w:val="0"/>
        <w:rPr>
          <w:color w:val="auto"/>
        </w:rPr>
      </w:pPr>
      <w:r>
        <w:rPr>
          <w:color w:val="auto"/>
        </w:rPr>
        <w:t>风险识别</w:t>
      </w:r>
    </w:p>
    <w:p>
      <w:pPr>
        <w:spacing w:line="480" w:lineRule="exact"/>
        <w:ind w:firstLine="560" w:firstLineChars="200"/>
        <w:rPr>
          <w:color w:val="auto"/>
          <w:sz w:val="28"/>
          <w:szCs w:val="28"/>
        </w:rPr>
      </w:pPr>
      <w:r>
        <w:rPr>
          <w:rFonts w:hAnsi="宋体"/>
          <w:color w:val="auto"/>
          <w:sz w:val="28"/>
          <w:szCs w:val="28"/>
        </w:rPr>
        <w:t>本工程钻井过程中最可能发生的环境污染事故为井喷</w:t>
      </w:r>
      <w:r>
        <w:rPr>
          <w:rFonts w:hint="eastAsia" w:hAnsi="宋体"/>
          <w:color w:val="auto"/>
          <w:sz w:val="28"/>
          <w:szCs w:val="28"/>
          <w:lang w:eastAsia="zh-CN"/>
        </w:rPr>
        <w:t>、</w:t>
      </w:r>
      <w:r>
        <w:rPr>
          <w:rFonts w:hAnsi="宋体"/>
          <w:color w:val="auto"/>
          <w:sz w:val="28"/>
          <w:szCs w:val="28"/>
        </w:rPr>
        <w:t>柴油罐泄漏</w:t>
      </w:r>
      <w:r>
        <w:rPr>
          <w:rFonts w:hint="eastAsia" w:hAnsi="宋体"/>
          <w:color w:val="auto"/>
          <w:sz w:val="28"/>
          <w:szCs w:val="28"/>
          <w:lang w:eastAsia="zh-CN"/>
        </w:rPr>
        <w:t>和</w:t>
      </w:r>
      <w:r>
        <w:rPr>
          <w:rFonts w:hint="eastAsia"/>
          <w:color w:val="auto"/>
          <w:sz w:val="28"/>
          <w:szCs w:val="28"/>
        </w:rPr>
        <w:t>KOH</w:t>
      </w:r>
      <w:r>
        <w:rPr>
          <w:color w:val="auto"/>
          <w:sz w:val="28"/>
          <w:szCs w:val="28"/>
        </w:rPr>
        <w:t>泄露等</w:t>
      </w:r>
      <w:r>
        <w:rPr>
          <w:rFonts w:hAnsi="宋体"/>
          <w:color w:val="auto"/>
          <w:sz w:val="28"/>
          <w:szCs w:val="28"/>
        </w:rPr>
        <w:t>，其影响环境的途径分析如下：</w:t>
      </w:r>
    </w:p>
    <w:p>
      <w:pPr>
        <w:pStyle w:val="6"/>
        <w:numPr>
          <w:ilvl w:val="3"/>
          <w:numId w:val="4"/>
        </w:numPr>
        <w:bidi w:val="0"/>
        <w:rPr>
          <w:color w:val="auto"/>
        </w:rPr>
      </w:pPr>
      <w:r>
        <w:rPr>
          <w:color w:val="auto"/>
        </w:rPr>
        <w:t>井喷</w:t>
      </w:r>
    </w:p>
    <w:p>
      <w:pPr>
        <w:spacing w:line="480" w:lineRule="exact"/>
        <w:ind w:firstLine="560" w:firstLineChars="200"/>
        <w:rPr>
          <w:color w:val="auto"/>
          <w:sz w:val="28"/>
          <w:szCs w:val="28"/>
        </w:rPr>
      </w:pPr>
      <w:r>
        <w:rPr>
          <w:rFonts w:hAnsi="宋体"/>
          <w:color w:val="auto"/>
          <w:sz w:val="28"/>
          <w:szCs w:val="28"/>
        </w:rPr>
        <w:t>钻井作业是通过地面钻机等设备带动钻杆、钻头，破碎地层岩石，使井不断加深，直至目的层。当钻井作业进入含气层后，存在发生井喷事故的可能性。另外，完井和井下作业过程中也有发生井喷的可能性。</w:t>
      </w:r>
    </w:p>
    <w:p>
      <w:pPr>
        <w:spacing w:line="480" w:lineRule="exact"/>
        <w:ind w:firstLine="560" w:firstLineChars="200"/>
        <w:rPr>
          <w:color w:val="auto"/>
          <w:sz w:val="28"/>
          <w:szCs w:val="28"/>
        </w:rPr>
      </w:pPr>
      <w:r>
        <w:rPr>
          <w:rFonts w:hAnsi="宋体"/>
          <w:color w:val="auto"/>
          <w:sz w:val="28"/>
          <w:szCs w:val="28"/>
        </w:rPr>
        <w:t>井喷时大量的</w:t>
      </w:r>
      <w:r>
        <w:rPr>
          <w:rFonts w:hint="eastAsia" w:hAnsi="宋体"/>
          <w:color w:val="auto"/>
          <w:sz w:val="28"/>
          <w:szCs w:val="28"/>
        </w:rPr>
        <w:t>天然</w:t>
      </w:r>
      <w:r>
        <w:rPr>
          <w:rFonts w:hAnsi="宋体"/>
          <w:color w:val="auto"/>
          <w:sz w:val="28"/>
          <w:szCs w:val="28"/>
        </w:rPr>
        <w:t>气从井口喷出，喷出的气流可高达数十米，喷出气体几万到几十万方，并且井喷发生时，当天然气在空气中的浓度达到</w:t>
      </w:r>
      <w:r>
        <w:rPr>
          <w:color w:val="auto"/>
          <w:sz w:val="28"/>
          <w:szCs w:val="28"/>
        </w:rPr>
        <w:t>5%</w:t>
      </w:r>
      <w:r>
        <w:rPr>
          <w:rFonts w:hAnsi="宋体"/>
          <w:color w:val="auto"/>
          <w:sz w:val="28"/>
          <w:szCs w:val="28"/>
        </w:rPr>
        <w:t>～</w:t>
      </w:r>
      <w:r>
        <w:rPr>
          <w:color w:val="auto"/>
          <w:sz w:val="28"/>
          <w:szCs w:val="28"/>
        </w:rPr>
        <w:t>1</w:t>
      </w:r>
      <w:r>
        <w:rPr>
          <w:rFonts w:hint="eastAsia"/>
          <w:color w:val="auto"/>
          <w:sz w:val="28"/>
          <w:szCs w:val="28"/>
        </w:rPr>
        <w:t>5</w:t>
      </w:r>
      <w:r>
        <w:rPr>
          <w:color w:val="auto"/>
          <w:sz w:val="28"/>
          <w:szCs w:val="28"/>
        </w:rPr>
        <w:t>%</w:t>
      </w:r>
      <w:r>
        <w:rPr>
          <w:rFonts w:hAnsi="宋体"/>
          <w:color w:val="auto"/>
          <w:sz w:val="28"/>
          <w:szCs w:val="28"/>
        </w:rPr>
        <w:t>时，遇火可形成爆炸，而在爆炸浓度范围以外，则极易发生火灾，无论是火灾还是爆炸均会造成灾难性的后果。</w:t>
      </w:r>
    </w:p>
    <w:p>
      <w:pPr>
        <w:spacing w:line="480" w:lineRule="exact"/>
        <w:ind w:firstLine="560" w:firstLineChars="200"/>
        <w:rPr>
          <w:color w:val="auto"/>
          <w:sz w:val="28"/>
          <w:szCs w:val="28"/>
        </w:rPr>
      </w:pPr>
      <w:r>
        <w:rPr>
          <w:rFonts w:hAnsi="宋体"/>
          <w:color w:val="auto"/>
          <w:sz w:val="28"/>
          <w:szCs w:val="28"/>
        </w:rPr>
        <w:t>在钻井过程中由于操作者直接责任而引起的井控措施不当、违反操作规程、井控措施故障是造成井喷失控事故的主要因素。通常井喷可能由以下因素引起：</w:t>
      </w:r>
    </w:p>
    <w:p>
      <w:pPr>
        <w:spacing w:line="480" w:lineRule="exact"/>
        <w:ind w:firstLine="560" w:firstLineChars="200"/>
        <w:rPr>
          <w:color w:val="auto"/>
          <w:sz w:val="28"/>
          <w:szCs w:val="28"/>
        </w:rPr>
      </w:pPr>
      <w:r>
        <w:rPr>
          <w:color w:val="auto"/>
          <w:sz w:val="28"/>
          <w:szCs w:val="28"/>
        </w:rPr>
        <w:t>1</w:t>
      </w:r>
      <w:r>
        <w:rPr>
          <w:rFonts w:hAnsi="宋体"/>
          <w:color w:val="auto"/>
          <w:sz w:val="28"/>
          <w:szCs w:val="28"/>
        </w:rPr>
        <w:t>）进入地层，钻井泥浆的密度偏低，使泥浆液柱压力达不到抑制地层压力的要求，或泥浆密度不够。</w:t>
      </w:r>
    </w:p>
    <w:p>
      <w:pPr>
        <w:spacing w:line="480" w:lineRule="exact"/>
        <w:ind w:firstLine="560" w:firstLineChars="200"/>
        <w:rPr>
          <w:color w:val="auto"/>
          <w:sz w:val="28"/>
          <w:szCs w:val="28"/>
        </w:rPr>
      </w:pPr>
      <w:r>
        <w:rPr>
          <w:color w:val="auto"/>
          <w:sz w:val="28"/>
          <w:szCs w:val="28"/>
        </w:rPr>
        <w:t>2</w:t>
      </w:r>
      <w:r>
        <w:rPr>
          <w:rFonts w:hAnsi="宋体"/>
          <w:color w:val="auto"/>
          <w:sz w:val="28"/>
          <w:szCs w:val="28"/>
        </w:rPr>
        <w:t>）起下钻后未及时灌满井筒内的泥浆，或起钻速度过快抽喷。</w:t>
      </w:r>
    </w:p>
    <w:p>
      <w:pPr>
        <w:spacing w:line="480" w:lineRule="exact"/>
        <w:ind w:firstLine="560" w:firstLineChars="200"/>
        <w:rPr>
          <w:color w:val="auto"/>
          <w:sz w:val="28"/>
          <w:szCs w:val="28"/>
        </w:rPr>
      </w:pPr>
      <w:r>
        <w:rPr>
          <w:color w:val="auto"/>
          <w:sz w:val="28"/>
          <w:szCs w:val="28"/>
        </w:rPr>
        <w:t>3</w:t>
      </w:r>
      <w:r>
        <w:rPr>
          <w:rFonts w:hAnsi="宋体"/>
          <w:color w:val="auto"/>
          <w:sz w:val="28"/>
          <w:szCs w:val="28"/>
        </w:rPr>
        <w:t>）对地质情况掌握不够，地质差异认识不足，地层实际压力比预计值大。</w:t>
      </w:r>
    </w:p>
    <w:p>
      <w:pPr>
        <w:spacing w:line="480" w:lineRule="exact"/>
        <w:ind w:firstLine="560" w:firstLineChars="200"/>
        <w:rPr>
          <w:color w:val="auto"/>
          <w:sz w:val="28"/>
          <w:szCs w:val="28"/>
        </w:rPr>
      </w:pPr>
      <w:r>
        <w:rPr>
          <w:color w:val="auto"/>
          <w:sz w:val="28"/>
          <w:szCs w:val="28"/>
        </w:rPr>
        <w:t>4</w:t>
      </w:r>
      <w:r>
        <w:rPr>
          <w:rFonts w:hAnsi="宋体"/>
          <w:color w:val="auto"/>
          <w:sz w:val="28"/>
          <w:szCs w:val="28"/>
        </w:rPr>
        <w:t>）井口未安装防喷器或防喷器的安装不符合要求。</w:t>
      </w:r>
    </w:p>
    <w:p>
      <w:pPr>
        <w:spacing w:line="480" w:lineRule="exact"/>
        <w:ind w:firstLine="560" w:firstLineChars="200"/>
        <w:rPr>
          <w:color w:val="auto"/>
          <w:sz w:val="28"/>
          <w:szCs w:val="28"/>
        </w:rPr>
      </w:pPr>
      <w:r>
        <w:rPr>
          <w:color w:val="auto"/>
          <w:sz w:val="28"/>
          <w:szCs w:val="28"/>
        </w:rPr>
        <w:t>5</w:t>
      </w:r>
      <w:r>
        <w:rPr>
          <w:rFonts w:hAnsi="宋体"/>
          <w:color w:val="auto"/>
          <w:sz w:val="28"/>
          <w:szCs w:val="28"/>
        </w:rPr>
        <w:t>）施工组织不严密，违章逾越程序。</w:t>
      </w:r>
    </w:p>
    <w:p>
      <w:pPr>
        <w:spacing w:line="480" w:lineRule="exact"/>
        <w:ind w:firstLine="560" w:firstLineChars="200"/>
        <w:rPr>
          <w:rFonts w:hint="eastAsia" w:hAnsi="宋体"/>
          <w:color w:val="auto"/>
          <w:sz w:val="28"/>
          <w:szCs w:val="28"/>
        </w:rPr>
      </w:pPr>
      <w:r>
        <w:rPr>
          <w:color w:val="auto"/>
          <w:sz w:val="28"/>
          <w:szCs w:val="28"/>
        </w:rPr>
        <w:t>6</w:t>
      </w:r>
      <w:r>
        <w:rPr>
          <w:rFonts w:hAnsi="宋体"/>
          <w:color w:val="auto"/>
          <w:sz w:val="28"/>
          <w:szCs w:val="28"/>
        </w:rPr>
        <w:t>）作业人员素质差，缺乏应急能力。</w:t>
      </w:r>
    </w:p>
    <w:p>
      <w:pPr>
        <w:pStyle w:val="6"/>
        <w:numPr>
          <w:ilvl w:val="3"/>
          <w:numId w:val="4"/>
        </w:numPr>
        <w:bidi w:val="0"/>
        <w:rPr>
          <w:color w:val="auto"/>
        </w:rPr>
      </w:pPr>
      <w:r>
        <w:rPr>
          <w:color w:val="auto"/>
        </w:rPr>
        <w:t>套管破损</w:t>
      </w:r>
    </w:p>
    <w:p>
      <w:pPr>
        <w:spacing w:line="480" w:lineRule="exact"/>
        <w:ind w:firstLine="560" w:firstLineChars="200"/>
        <w:rPr>
          <w:color w:val="auto"/>
          <w:sz w:val="28"/>
          <w:szCs w:val="28"/>
        </w:rPr>
      </w:pPr>
      <w:r>
        <w:rPr>
          <w:color w:val="auto"/>
          <w:sz w:val="28"/>
          <w:szCs w:val="28"/>
        </w:rPr>
        <w:t>为保证钻井期间不对地下水造成污染，本工程在钻井过程中使用</w:t>
      </w:r>
      <w:r>
        <w:rPr>
          <w:rFonts w:hint="eastAsia"/>
          <w:color w:val="auto"/>
          <w:sz w:val="28"/>
          <w:szCs w:val="28"/>
          <w:lang w:eastAsia="zh-CN"/>
        </w:rPr>
        <w:t>四</w:t>
      </w:r>
      <w:r>
        <w:rPr>
          <w:rFonts w:hint="eastAsia"/>
          <w:color w:val="auto"/>
          <w:sz w:val="28"/>
          <w:szCs w:val="28"/>
        </w:rPr>
        <w:t>层套管</w:t>
      </w:r>
      <w:r>
        <w:rPr>
          <w:color w:val="auto"/>
          <w:sz w:val="28"/>
          <w:szCs w:val="28"/>
        </w:rPr>
        <w:t>（由表层套管、</w:t>
      </w:r>
      <w:r>
        <w:rPr>
          <w:rFonts w:hint="eastAsia"/>
          <w:color w:val="auto"/>
          <w:sz w:val="28"/>
          <w:szCs w:val="28"/>
        </w:rPr>
        <w:t>技术</w:t>
      </w:r>
      <w:r>
        <w:rPr>
          <w:color w:val="auto"/>
          <w:sz w:val="28"/>
          <w:szCs w:val="28"/>
        </w:rPr>
        <w:t>套管</w:t>
      </w:r>
      <w:r>
        <w:rPr>
          <w:rFonts w:hint="eastAsia"/>
          <w:color w:val="auto"/>
          <w:sz w:val="28"/>
          <w:szCs w:val="28"/>
        </w:rPr>
        <w:t>、生产</w:t>
      </w:r>
      <w:r>
        <w:rPr>
          <w:color w:val="auto"/>
          <w:sz w:val="28"/>
          <w:szCs w:val="28"/>
        </w:rPr>
        <w:t>套管组成）。一旦套管发生破损，天然气从破损套管中漏出可能对地下水造成污染。套管破损可能的污染途径包括：污染物通过破损的套管运移、通过井套管与钻孔器之间的圆环缝隙运移等。</w:t>
      </w:r>
    </w:p>
    <w:p>
      <w:pPr>
        <w:pStyle w:val="6"/>
        <w:numPr>
          <w:ilvl w:val="3"/>
          <w:numId w:val="4"/>
        </w:numPr>
        <w:bidi w:val="0"/>
        <w:rPr>
          <w:color w:val="auto"/>
        </w:rPr>
      </w:pPr>
      <w:r>
        <w:rPr>
          <w:color w:val="auto"/>
        </w:rPr>
        <w:t>柴油罐泄漏</w:t>
      </w:r>
    </w:p>
    <w:p>
      <w:pPr>
        <w:spacing w:line="480" w:lineRule="exact"/>
        <w:ind w:firstLine="560" w:firstLineChars="200"/>
        <w:rPr>
          <w:rFonts w:hAnsi="宋体"/>
          <w:color w:val="auto"/>
          <w:sz w:val="28"/>
          <w:szCs w:val="28"/>
        </w:rPr>
      </w:pPr>
      <w:r>
        <w:rPr>
          <w:rFonts w:hAnsi="宋体"/>
          <w:color w:val="auto"/>
          <w:sz w:val="28"/>
          <w:szCs w:val="28"/>
        </w:rPr>
        <w:t>正常情况下，柴油在储罐中密闭贮存，不具备发生火灾爆炸的条件。但是由于储罐的阀门、法兰连接处泄漏，操作失误等情况下，导致大量柴油释放，在空气中形成爆炸性气体，一旦遇有点火源即可引发火灾、爆炸事故。</w:t>
      </w:r>
    </w:p>
    <w:p>
      <w:pPr>
        <w:pStyle w:val="6"/>
        <w:numPr>
          <w:ilvl w:val="3"/>
          <w:numId w:val="4"/>
        </w:numPr>
        <w:bidi w:val="0"/>
        <w:rPr>
          <w:color w:val="auto"/>
        </w:rPr>
      </w:pPr>
      <w:r>
        <w:rPr>
          <w:color w:val="auto"/>
        </w:rPr>
        <w:t>KOH泄漏因素</w:t>
      </w:r>
    </w:p>
    <w:p>
      <w:pPr>
        <w:pStyle w:val="21"/>
        <w:adjustRightInd w:val="0"/>
        <w:snapToGrid w:val="0"/>
        <w:spacing w:line="480" w:lineRule="exact"/>
        <w:ind w:firstLine="560" w:firstLineChars="200"/>
        <w:rPr>
          <w:rFonts w:ascii="Times New Roman"/>
          <w:color w:val="auto"/>
          <w:sz w:val="28"/>
          <w:szCs w:val="28"/>
        </w:rPr>
      </w:pPr>
      <w:r>
        <w:rPr>
          <w:rFonts w:ascii="Times New Roman"/>
          <w:color w:val="auto"/>
          <w:sz w:val="28"/>
          <w:szCs w:val="28"/>
        </w:rPr>
        <w:t>钻井液配置阶段人为误操作等因素导致KOH泄漏，污染土壤及地下水。</w:t>
      </w:r>
    </w:p>
    <w:p>
      <w:pPr>
        <w:pStyle w:val="6"/>
        <w:numPr>
          <w:ilvl w:val="3"/>
          <w:numId w:val="4"/>
        </w:numPr>
        <w:bidi w:val="0"/>
        <w:rPr>
          <w:color w:val="auto"/>
        </w:rPr>
      </w:pPr>
      <w:r>
        <w:rPr>
          <w:color w:val="auto"/>
        </w:rPr>
        <w:t>火灾、爆炸</w:t>
      </w:r>
    </w:p>
    <w:p>
      <w:pPr>
        <w:pStyle w:val="21"/>
        <w:adjustRightInd w:val="0"/>
        <w:snapToGrid w:val="0"/>
        <w:spacing w:line="480" w:lineRule="exact"/>
        <w:ind w:firstLine="560" w:firstLineChars="200"/>
        <w:rPr>
          <w:rFonts w:ascii="Times New Roman"/>
          <w:color w:val="auto"/>
          <w:sz w:val="28"/>
          <w:szCs w:val="28"/>
        </w:rPr>
      </w:pPr>
      <w:r>
        <w:rPr>
          <w:rFonts w:hint="eastAsia" w:ascii="Times New Roman"/>
          <w:color w:val="auto"/>
          <w:sz w:val="28"/>
          <w:szCs w:val="28"/>
        </w:rPr>
        <w:t>本工程</w:t>
      </w:r>
      <w:r>
        <w:rPr>
          <w:rFonts w:ascii="Times New Roman"/>
          <w:color w:val="auto"/>
          <w:sz w:val="28"/>
          <w:szCs w:val="28"/>
        </w:rPr>
        <w:t>发生火灾爆炸的原因很多，主要包括：</w:t>
      </w:r>
    </w:p>
    <w:p>
      <w:pPr>
        <w:pStyle w:val="21"/>
        <w:numPr>
          <w:ilvl w:val="0"/>
          <w:numId w:val="6"/>
        </w:numPr>
        <w:adjustRightInd w:val="0"/>
        <w:snapToGrid w:val="0"/>
        <w:spacing w:line="480" w:lineRule="exact"/>
        <w:ind w:firstLine="560" w:firstLineChars="200"/>
        <w:rPr>
          <w:rFonts w:ascii="Times New Roman"/>
          <w:color w:val="auto"/>
          <w:sz w:val="28"/>
          <w:szCs w:val="28"/>
        </w:rPr>
      </w:pPr>
      <w:r>
        <w:rPr>
          <w:rFonts w:ascii="Times New Roman"/>
          <w:color w:val="auto"/>
          <w:sz w:val="28"/>
          <w:szCs w:val="28"/>
        </w:rPr>
        <w:t>组织不严密，管理不善，违章作业导致</w:t>
      </w:r>
      <w:r>
        <w:rPr>
          <w:rFonts w:hint="eastAsia" w:ascii="Times New Roman"/>
          <w:color w:val="auto"/>
          <w:sz w:val="28"/>
          <w:szCs w:val="28"/>
        </w:rPr>
        <w:t>井喷产生</w:t>
      </w:r>
      <w:r>
        <w:rPr>
          <w:rFonts w:ascii="Times New Roman"/>
          <w:color w:val="auto"/>
          <w:sz w:val="28"/>
          <w:szCs w:val="28"/>
        </w:rPr>
        <w:t>大量的油气泄漏遇明火爆炸燃烧；</w:t>
      </w:r>
    </w:p>
    <w:p>
      <w:pPr>
        <w:pStyle w:val="21"/>
        <w:numPr>
          <w:ilvl w:val="0"/>
          <w:numId w:val="6"/>
        </w:numPr>
        <w:adjustRightInd w:val="0"/>
        <w:snapToGrid w:val="0"/>
        <w:spacing w:line="480" w:lineRule="exact"/>
        <w:ind w:firstLine="560" w:firstLineChars="200"/>
        <w:rPr>
          <w:rFonts w:ascii="Times New Roman"/>
          <w:color w:val="auto"/>
          <w:sz w:val="28"/>
          <w:szCs w:val="28"/>
        </w:rPr>
      </w:pPr>
      <w:r>
        <w:rPr>
          <w:rFonts w:ascii="Times New Roman"/>
          <w:color w:val="auto"/>
          <w:sz w:val="28"/>
          <w:szCs w:val="28"/>
        </w:rPr>
        <w:t>设备缺陷主要包括因选材错误而引起的设备、管线的腐蚀、侵蚀等引发火灾、爆炸；</w:t>
      </w:r>
    </w:p>
    <w:p>
      <w:pPr>
        <w:pStyle w:val="21"/>
        <w:numPr>
          <w:ilvl w:val="0"/>
          <w:numId w:val="6"/>
        </w:numPr>
        <w:adjustRightInd w:val="0"/>
        <w:snapToGrid w:val="0"/>
        <w:spacing w:line="480" w:lineRule="exact"/>
        <w:ind w:firstLine="560" w:firstLineChars="200"/>
        <w:rPr>
          <w:rFonts w:ascii="Times New Roman"/>
          <w:color w:val="auto"/>
          <w:sz w:val="28"/>
          <w:szCs w:val="28"/>
        </w:rPr>
      </w:pPr>
      <w:r>
        <w:rPr>
          <w:rFonts w:ascii="Times New Roman"/>
          <w:color w:val="auto"/>
          <w:sz w:val="28"/>
          <w:szCs w:val="28"/>
        </w:rPr>
        <w:t>设备安装时考虑不周不细，施工时施工质量差，不符合设计要求和施工验收规范，从而导致投产后发生事故；</w:t>
      </w:r>
    </w:p>
    <w:p>
      <w:pPr>
        <w:pStyle w:val="21"/>
        <w:numPr>
          <w:ilvl w:val="0"/>
          <w:numId w:val="6"/>
        </w:numPr>
        <w:adjustRightInd w:val="0"/>
        <w:snapToGrid w:val="0"/>
        <w:spacing w:line="480" w:lineRule="exact"/>
        <w:ind w:firstLine="560" w:firstLineChars="200"/>
        <w:rPr>
          <w:rFonts w:ascii="Times New Roman"/>
          <w:color w:val="auto"/>
          <w:sz w:val="28"/>
          <w:szCs w:val="28"/>
        </w:rPr>
      </w:pPr>
      <w:r>
        <w:rPr>
          <w:rFonts w:ascii="Times New Roman"/>
          <w:color w:val="auto"/>
          <w:sz w:val="28"/>
          <w:szCs w:val="28"/>
        </w:rPr>
        <w:t>控制生产装置的仪表仪器失灵，造成设备操作失控，引发油气泄漏，形成火灾等。上述各类生产事故在发生火灾及爆炸安全生产危害的同时，对区域内环境也将产生严重的污染。</w:t>
      </w:r>
    </w:p>
    <w:p>
      <w:pPr>
        <w:pStyle w:val="6"/>
        <w:numPr>
          <w:ilvl w:val="3"/>
          <w:numId w:val="4"/>
        </w:numPr>
        <w:bidi w:val="0"/>
        <w:rPr>
          <w:color w:val="auto"/>
        </w:rPr>
      </w:pPr>
      <w:r>
        <w:rPr>
          <w:color w:val="auto"/>
        </w:rPr>
        <w:t>中毒</w:t>
      </w:r>
    </w:p>
    <w:p>
      <w:pPr>
        <w:spacing w:line="480" w:lineRule="exact"/>
        <w:ind w:firstLine="560" w:firstLineChars="200"/>
        <w:rPr>
          <w:color w:val="auto"/>
          <w:sz w:val="28"/>
          <w:szCs w:val="28"/>
        </w:rPr>
      </w:pPr>
      <w:r>
        <w:rPr>
          <w:rFonts w:hAnsi="宋体"/>
          <w:color w:val="auto"/>
          <w:sz w:val="28"/>
          <w:szCs w:val="28"/>
        </w:rPr>
        <w:t>本工程涉及的天然气毒性较低，其中天然气主要成分烃类物质毒性较低，但如果浓度过高将使人昏迷、窒息，一般在封闭或通风不良的作业场所积聚后可能产生此类事故。</w:t>
      </w:r>
    </w:p>
    <w:p>
      <w:pPr>
        <w:spacing w:line="480" w:lineRule="exact"/>
        <w:ind w:firstLine="560" w:firstLineChars="200"/>
        <w:rPr>
          <w:color w:val="auto"/>
          <w:sz w:val="28"/>
          <w:szCs w:val="28"/>
        </w:rPr>
      </w:pPr>
      <w:r>
        <w:rPr>
          <w:rFonts w:hAnsi="宋体"/>
          <w:color w:val="auto"/>
          <w:sz w:val="28"/>
          <w:szCs w:val="28"/>
        </w:rPr>
        <w:t>本工程主要作业场所、生产设备设施环境风险识别见表</w:t>
      </w:r>
      <w:r>
        <w:rPr>
          <w:color w:val="auto"/>
          <w:sz w:val="28"/>
          <w:szCs w:val="28"/>
        </w:rPr>
        <w:t>5.</w:t>
      </w:r>
      <w:r>
        <w:rPr>
          <w:rFonts w:hint="eastAsia"/>
          <w:color w:val="auto"/>
          <w:sz w:val="28"/>
          <w:szCs w:val="28"/>
        </w:rPr>
        <w:t>8-</w:t>
      </w:r>
      <w:r>
        <w:rPr>
          <w:rFonts w:hint="eastAsia"/>
          <w:color w:val="auto"/>
          <w:sz w:val="28"/>
          <w:szCs w:val="28"/>
          <w:lang w:val="en-US" w:eastAsia="zh-CN"/>
        </w:rPr>
        <w:t>5</w:t>
      </w:r>
      <w:r>
        <w:rPr>
          <w:rFonts w:hAnsi="宋体"/>
          <w:color w:val="auto"/>
          <w:sz w:val="28"/>
          <w:szCs w:val="28"/>
        </w:rPr>
        <w:t>。</w:t>
      </w:r>
    </w:p>
    <w:p>
      <w:pPr>
        <w:pStyle w:val="7"/>
        <w:numPr>
          <w:ilvl w:val="4"/>
          <w:numId w:val="2"/>
        </w:numPr>
        <w:bidi w:val="0"/>
        <w:rPr>
          <w:snapToGrid w:val="0"/>
          <w:color w:val="auto"/>
          <w:kern w:val="0"/>
          <w:sz w:val="28"/>
          <w:szCs w:val="28"/>
        </w:rPr>
      </w:pPr>
      <w:r>
        <w:rPr>
          <w:rFonts w:hAnsi="宋体"/>
          <w:snapToGrid w:val="0"/>
          <w:color w:val="auto"/>
          <w:kern w:val="0"/>
          <w:sz w:val="28"/>
          <w:szCs w:val="28"/>
        </w:rPr>
        <w:t>工程环境风险识别表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80"/>
        <w:gridCol w:w="2351"/>
        <w:gridCol w:w="2307"/>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tblHeader/>
          <w:jc w:val="center"/>
        </w:trPr>
        <w:tc>
          <w:tcPr>
            <w:tcW w:w="2180"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主要设备及场所名称</w:t>
            </w:r>
          </w:p>
        </w:tc>
        <w:tc>
          <w:tcPr>
            <w:tcW w:w="2351"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危险介质</w:t>
            </w:r>
          </w:p>
        </w:tc>
        <w:tc>
          <w:tcPr>
            <w:tcW w:w="2307"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主要危险特性</w:t>
            </w:r>
          </w:p>
        </w:tc>
        <w:tc>
          <w:tcPr>
            <w:tcW w:w="228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影响环境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2180"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bCs/>
                <w:color w:val="auto"/>
                <w:szCs w:val="21"/>
              </w:rPr>
            </w:pPr>
            <w:r>
              <w:rPr>
                <w:rFonts w:hint="default" w:hAnsi="宋体"/>
                <w:color w:val="auto"/>
                <w:szCs w:val="21"/>
              </w:rPr>
              <w:t>钻井井场</w:t>
            </w:r>
          </w:p>
        </w:tc>
        <w:tc>
          <w:tcPr>
            <w:tcW w:w="2351"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天然气、柴油</w:t>
            </w:r>
          </w:p>
        </w:tc>
        <w:tc>
          <w:tcPr>
            <w:tcW w:w="2307"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bCs/>
                <w:color w:val="auto"/>
                <w:szCs w:val="21"/>
              </w:rPr>
            </w:pPr>
            <w:r>
              <w:rPr>
                <w:rFonts w:hint="default" w:hAnsi="宋体"/>
                <w:bCs/>
                <w:color w:val="auto"/>
                <w:szCs w:val="21"/>
              </w:rPr>
              <w:t>火灾、爆炸、中毒</w:t>
            </w:r>
          </w:p>
        </w:tc>
        <w:tc>
          <w:tcPr>
            <w:tcW w:w="2289" w:type="dxa"/>
            <w:noWrap w:val="0"/>
            <w:vAlign w:val="center"/>
          </w:tcPr>
          <w:p>
            <w:pPr>
              <w:keepNext w:val="0"/>
              <w:keepLines w:val="0"/>
              <w:suppressLineNumbers w:val="0"/>
              <w:spacing w:before="0" w:beforeAutospacing="0" w:after="0" w:afterAutospacing="0" w:line="240" w:lineRule="exact"/>
              <w:ind w:left="0" w:right="0"/>
              <w:jc w:val="center"/>
              <w:rPr>
                <w:rFonts w:hint="default"/>
                <w:bCs/>
                <w:color w:val="auto"/>
                <w:szCs w:val="21"/>
              </w:rPr>
            </w:pPr>
            <w:r>
              <w:rPr>
                <w:rFonts w:hint="default" w:hAnsi="宋体"/>
                <w:bCs/>
                <w:color w:val="auto"/>
                <w:szCs w:val="21"/>
              </w:rPr>
              <w:t>空气、</w:t>
            </w:r>
            <w:r>
              <w:rPr>
                <w:rFonts w:hint="eastAsia" w:hAnsi="宋体"/>
                <w:bCs/>
                <w:color w:val="auto"/>
                <w:szCs w:val="21"/>
              </w:rPr>
              <w:t>地表水、</w:t>
            </w:r>
            <w:r>
              <w:rPr>
                <w:rFonts w:hint="default" w:hAnsi="宋体"/>
                <w:bCs/>
                <w:color w:val="auto"/>
                <w:szCs w:val="21"/>
              </w:rPr>
              <w:t>地下水</w:t>
            </w:r>
          </w:p>
        </w:tc>
      </w:tr>
    </w:tbl>
    <w:p>
      <w:pPr>
        <w:pStyle w:val="5"/>
        <w:numPr>
          <w:ilvl w:val="2"/>
          <w:numId w:val="4"/>
        </w:numPr>
        <w:bidi w:val="0"/>
        <w:rPr>
          <w:color w:val="auto"/>
        </w:rPr>
      </w:pPr>
      <w:r>
        <w:rPr>
          <w:color w:val="auto"/>
        </w:rPr>
        <w:t>风险潜势初判</w:t>
      </w:r>
    </w:p>
    <w:p>
      <w:pPr>
        <w:spacing w:line="480" w:lineRule="exact"/>
        <w:ind w:firstLine="560" w:firstLineChars="200"/>
        <w:rPr>
          <w:color w:val="auto"/>
          <w:spacing w:val="9"/>
          <w:sz w:val="28"/>
          <w:szCs w:val="28"/>
        </w:rPr>
      </w:pPr>
      <w:r>
        <w:rPr>
          <w:snapToGrid w:val="0"/>
          <w:color w:val="auto"/>
          <w:kern w:val="0"/>
          <w:sz w:val="28"/>
          <w:szCs w:val="28"/>
        </w:rPr>
        <w:t>根据《建设项目环境风险评价技术导则》（HJ169-2018），</w:t>
      </w:r>
      <w:r>
        <w:rPr>
          <w:color w:val="auto"/>
          <w:spacing w:val="10"/>
          <w:sz w:val="28"/>
          <w:szCs w:val="28"/>
        </w:rPr>
        <w:t>定</w:t>
      </w:r>
      <w:r>
        <w:rPr>
          <w:color w:val="auto"/>
          <w:spacing w:val="9"/>
          <w:sz w:val="28"/>
          <w:szCs w:val="28"/>
        </w:rPr>
        <w:t>量分</w:t>
      </w:r>
      <w:r>
        <w:rPr>
          <w:color w:val="auto"/>
          <w:spacing w:val="10"/>
          <w:sz w:val="28"/>
          <w:szCs w:val="28"/>
        </w:rPr>
        <w:t>析</w:t>
      </w:r>
      <w:r>
        <w:rPr>
          <w:color w:val="auto"/>
          <w:spacing w:val="9"/>
          <w:sz w:val="28"/>
          <w:szCs w:val="28"/>
        </w:rPr>
        <w:t>危</w:t>
      </w:r>
      <w:r>
        <w:rPr>
          <w:color w:val="auto"/>
          <w:spacing w:val="10"/>
          <w:sz w:val="28"/>
          <w:szCs w:val="28"/>
        </w:rPr>
        <w:t>险</w:t>
      </w:r>
      <w:r>
        <w:rPr>
          <w:color w:val="auto"/>
          <w:spacing w:val="9"/>
          <w:sz w:val="28"/>
          <w:szCs w:val="28"/>
        </w:rPr>
        <w:t>物质</w:t>
      </w:r>
      <w:r>
        <w:rPr>
          <w:color w:val="auto"/>
          <w:spacing w:val="10"/>
          <w:sz w:val="28"/>
          <w:szCs w:val="28"/>
        </w:rPr>
        <w:t>数</w:t>
      </w:r>
      <w:r>
        <w:rPr>
          <w:color w:val="auto"/>
          <w:spacing w:val="9"/>
          <w:sz w:val="28"/>
          <w:szCs w:val="28"/>
        </w:rPr>
        <w:t>量</w:t>
      </w:r>
      <w:r>
        <w:rPr>
          <w:color w:val="auto"/>
          <w:spacing w:val="10"/>
          <w:sz w:val="28"/>
          <w:szCs w:val="28"/>
        </w:rPr>
        <w:t>与</w:t>
      </w:r>
      <w:r>
        <w:rPr>
          <w:color w:val="auto"/>
          <w:spacing w:val="9"/>
          <w:sz w:val="28"/>
          <w:szCs w:val="28"/>
        </w:rPr>
        <w:t>临界</w:t>
      </w:r>
      <w:r>
        <w:rPr>
          <w:color w:val="auto"/>
          <w:spacing w:val="10"/>
          <w:sz w:val="28"/>
          <w:szCs w:val="28"/>
        </w:rPr>
        <w:t>量</w:t>
      </w:r>
      <w:r>
        <w:rPr>
          <w:color w:val="auto"/>
          <w:spacing w:val="9"/>
          <w:sz w:val="28"/>
          <w:szCs w:val="28"/>
        </w:rPr>
        <w:t>的</w:t>
      </w:r>
      <w:r>
        <w:rPr>
          <w:color w:val="auto"/>
          <w:spacing w:val="10"/>
          <w:sz w:val="28"/>
          <w:szCs w:val="28"/>
        </w:rPr>
        <w:t>比</w:t>
      </w:r>
      <w:r>
        <w:rPr>
          <w:color w:val="auto"/>
          <w:spacing w:val="9"/>
          <w:sz w:val="28"/>
          <w:szCs w:val="28"/>
        </w:rPr>
        <w:t>值（</w:t>
      </w:r>
      <w:r>
        <w:rPr>
          <w:i/>
          <w:iCs/>
          <w:color w:val="auto"/>
          <w:spacing w:val="6"/>
          <w:sz w:val="28"/>
          <w:szCs w:val="28"/>
        </w:rPr>
        <w:t>Q</w:t>
      </w:r>
      <w:r>
        <w:rPr>
          <w:color w:val="auto"/>
          <w:spacing w:val="9"/>
          <w:sz w:val="28"/>
          <w:szCs w:val="28"/>
        </w:rPr>
        <w:t>），</w:t>
      </w:r>
      <w:r>
        <w:rPr>
          <w:color w:val="auto"/>
          <w:sz w:val="28"/>
          <w:szCs w:val="28"/>
        </w:rPr>
        <w:t>当</w:t>
      </w:r>
      <w:r>
        <w:rPr>
          <w:i/>
          <w:iCs/>
          <w:color w:val="auto"/>
          <w:sz w:val="28"/>
          <w:szCs w:val="28"/>
        </w:rPr>
        <w:t>Q</w:t>
      </w:r>
      <w:r>
        <w:rPr>
          <w:color w:val="auto"/>
          <w:sz w:val="28"/>
          <w:szCs w:val="28"/>
        </w:rPr>
        <w:t>＜1时，该项目环境风险潜势为</w:t>
      </w:r>
      <w:r>
        <w:rPr>
          <w:rFonts w:hint="eastAsia" w:ascii="宋体" w:hAnsi="宋体" w:cs="宋体"/>
          <w:color w:val="auto"/>
          <w:sz w:val="28"/>
          <w:szCs w:val="28"/>
        </w:rPr>
        <w:t>Ⅰ</w:t>
      </w:r>
      <w:r>
        <w:rPr>
          <w:color w:val="auto"/>
          <w:sz w:val="28"/>
          <w:szCs w:val="28"/>
        </w:rPr>
        <w:t>。本项目</w:t>
      </w:r>
      <w:r>
        <w:rPr>
          <w:bCs/>
          <w:color w:val="auto"/>
          <w:sz w:val="28"/>
          <w:szCs w:val="28"/>
        </w:rPr>
        <w:t>功能单元</w:t>
      </w:r>
      <w:r>
        <w:rPr>
          <w:color w:val="auto"/>
          <w:sz w:val="28"/>
          <w:szCs w:val="28"/>
        </w:rPr>
        <w:t>施工期为柴油罐区</w:t>
      </w:r>
      <w:r>
        <w:rPr>
          <w:rFonts w:hint="eastAsia"/>
          <w:color w:val="auto"/>
          <w:sz w:val="28"/>
          <w:szCs w:val="28"/>
        </w:rPr>
        <w:t>（钻井</w:t>
      </w:r>
      <w:r>
        <w:rPr>
          <w:color w:val="auto"/>
          <w:sz w:val="28"/>
          <w:szCs w:val="28"/>
        </w:rPr>
        <w:t>期间</w:t>
      </w:r>
      <w:r>
        <w:rPr>
          <w:rFonts w:hint="eastAsia"/>
          <w:color w:val="auto"/>
          <w:sz w:val="28"/>
          <w:szCs w:val="28"/>
        </w:rPr>
        <w:t>存储</w:t>
      </w:r>
      <w:r>
        <w:rPr>
          <w:color w:val="auto"/>
          <w:sz w:val="28"/>
          <w:szCs w:val="28"/>
        </w:rPr>
        <w:t>柴油</w:t>
      </w:r>
      <w:r>
        <w:rPr>
          <w:rFonts w:hint="eastAsia"/>
          <w:color w:val="auto"/>
          <w:sz w:val="28"/>
          <w:szCs w:val="28"/>
          <w:lang w:val="en-US" w:eastAsia="zh-CN"/>
        </w:rPr>
        <w:t>5</w:t>
      </w:r>
      <w:r>
        <w:rPr>
          <w:rFonts w:hint="eastAsia"/>
          <w:color w:val="auto"/>
          <w:sz w:val="28"/>
          <w:szCs w:val="28"/>
        </w:rPr>
        <w:t>0</w:t>
      </w:r>
      <w:r>
        <w:rPr>
          <w:color w:val="auto"/>
          <w:sz w:val="28"/>
          <w:szCs w:val="28"/>
        </w:rPr>
        <w:t>t</w:t>
      </w:r>
      <w:r>
        <w:rPr>
          <w:rFonts w:hint="eastAsia"/>
          <w:color w:val="auto"/>
          <w:sz w:val="28"/>
          <w:szCs w:val="28"/>
        </w:rPr>
        <w:t>）</w:t>
      </w:r>
      <w:r>
        <w:rPr>
          <w:color w:val="auto"/>
          <w:sz w:val="28"/>
          <w:szCs w:val="28"/>
        </w:rPr>
        <w:t>。本项目的</w:t>
      </w:r>
      <w:r>
        <w:rPr>
          <w:i/>
          <w:iCs/>
          <w:color w:val="auto"/>
          <w:spacing w:val="6"/>
          <w:sz w:val="28"/>
          <w:szCs w:val="28"/>
        </w:rPr>
        <w:t>Q</w:t>
      </w:r>
      <w:r>
        <w:rPr>
          <w:color w:val="auto"/>
          <w:spacing w:val="9"/>
          <w:sz w:val="28"/>
          <w:szCs w:val="28"/>
        </w:rPr>
        <w:t>值确定情况（场站）见表</w:t>
      </w:r>
      <w:r>
        <w:rPr>
          <w:rFonts w:hint="eastAsia"/>
          <w:color w:val="auto"/>
          <w:spacing w:val="9"/>
          <w:sz w:val="28"/>
          <w:szCs w:val="28"/>
        </w:rPr>
        <w:t>5.8-</w:t>
      </w:r>
      <w:r>
        <w:rPr>
          <w:rFonts w:hint="eastAsia"/>
          <w:color w:val="auto"/>
          <w:spacing w:val="9"/>
          <w:sz w:val="28"/>
          <w:szCs w:val="28"/>
          <w:lang w:val="en-US" w:eastAsia="zh-CN"/>
        </w:rPr>
        <w:t>6</w:t>
      </w:r>
      <w:r>
        <w:rPr>
          <w:color w:val="auto"/>
          <w:spacing w:val="9"/>
          <w:sz w:val="28"/>
          <w:szCs w:val="28"/>
        </w:rPr>
        <w:t>。</w:t>
      </w:r>
    </w:p>
    <w:p>
      <w:pPr>
        <w:pStyle w:val="7"/>
        <w:numPr>
          <w:ilvl w:val="4"/>
          <w:numId w:val="2"/>
        </w:numPr>
        <w:bidi w:val="0"/>
        <w:rPr>
          <w:color w:val="auto"/>
          <w:spacing w:val="9"/>
          <w:sz w:val="28"/>
          <w:szCs w:val="28"/>
        </w:rPr>
      </w:pPr>
      <w:r>
        <w:rPr>
          <w:color w:val="auto"/>
          <w:spacing w:val="9"/>
          <w:sz w:val="28"/>
          <w:szCs w:val="28"/>
        </w:rPr>
        <w:t>危</w:t>
      </w:r>
      <w:r>
        <w:rPr>
          <w:color w:val="auto"/>
          <w:spacing w:val="10"/>
          <w:sz w:val="28"/>
          <w:szCs w:val="28"/>
        </w:rPr>
        <w:t>险</w:t>
      </w:r>
      <w:r>
        <w:rPr>
          <w:color w:val="auto"/>
          <w:spacing w:val="9"/>
          <w:sz w:val="28"/>
          <w:szCs w:val="28"/>
        </w:rPr>
        <w:t>物质</w:t>
      </w:r>
      <w:r>
        <w:rPr>
          <w:color w:val="auto"/>
          <w:spacing w:val="10"/>
          <w:sz w:val="28"/>
          <w:szCs w:val="28"/>
        </w:rPr>
        <w:t>数</w:t>
      </w:r>
      <w:r>
        <w:rPr>
          <w:color w:val="auto"/>
          <w:spacing w:val="9"/>
          <w:sz w:val="28"/>
          <w:szCs w:val="28"/>
        </w:rPr>
        <w:t>量</w:t>
      </w:r>
      <w:r>
        <w:rPr>
          <w:color w:val="auto"/>
          <w:spacing w:val="10"/>
          <w:sz w:val="28"/>
          <w:szCs w:val="28"/>
        </w:rPr>
        <w:t>与</w:t>
      </w:r>
      <w:r>
        <w:rPr>
          <w:color w:val="auto"/>
          <w:spacing w:val="9"/>
          <w:sz w:val="28"/>
          <w:szCs w:val="28"/>
        </w:rPr>
        <w:t>临界</w:t>
      </w:r>
      <w:r>
        <w:rPr>
          <w:color w:val="auto"/>
          <w:spacing w:val="10"/>
          <w:sz w:val="28"/>
          <w:szCs w:val="28"/>
        </w:rPr>
        <w:t>量</w:t>
      </w:r>
      <w:r>
        <w:rPr>
          <w:color w:val="auto"/>
          <w:spacing w:val="9"/>
          <w:sz w:val="28"/>
          <w:szCs w:val="28"/>
        </w:rPr>
        <w:t>的</w:t>
      </w:r>
      <w:r>
        <w:rPr>
          <w:color w:val="auto"/>
          <w:spacing w:val="10"/>
          <w:sz w:val="28"/>
          <w:szCs w:val="28"/>
        </w:rPr>
        <w:t>比</w:t>
      </w:r>
      <w:r>
        <w:rPr>
          <w:color w:val="auto"/>
          <w:spacing w:val="9"/>
          <w:sz w:val="28"/>
          <w:szCs w:val="28"/>
        </w:rPr>
        <w:t>值（</w:t>
      </w:r>
      <w:r>
        <w:rPr>
          <w:i/>
          <w:iCs/>
          <w:color w:val="auto"/>
          <w:spacing w:val="6"/>
          <w:sz w:val="28"/>
          <w:szCs w:val="28"/>
        </w:rPr>
        <w:t>Q</w:t>
      </w:r>
      <w:r>
        <w:rPr>
          <w:color w:val="auto"/>
          <w:spacing w:val="9"/>
          <w:sz w:val="28"/>
          <w:szCs w:val="28"/>
        </w:rPr>
        <w:t>）确定情况</w:t>
      </w:r>
    </w:p>
    <w:tbl>
      <w:tblPr>
        <w:tblStyle w:val="34"/>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28" w:type="dxa"/>
          <w:bottom w:w="0" w:type="dxa"/>
          <w:right w:w="28" w:type="dxa"/>
        </w:tblCellMar>
      </w:tblPr>
      <w:tblGrid>
        <w:gridCol w:w="599"/>
        <w:gridCol w:w="1632"/>
        <w:gridCol w:w="1102"/>
        <w:gridCol w:w="2466"/>
        <w:gridCol w:w="1235"/>
        <w:gridCol w:w="209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618"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序号</w:t>
            </w:r>
          </w:p>
        </w:tc>
        <w:tc>
          <w:tcPr>
            <w:tcW w:w="1687" w:type="dxa"/>
            <w:tcBorders>
              <w:right w:val="single" w:color="auto" w:sz="2"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危险物质</w:t>
            </w:r>
          </w:p>
        </w:tc>
        <w:tc>
          <w:tcPr>
            <w:tcW w:w="113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CAS号</w:t>
            </w:r>
          </w:p>
        </w:tc>
        <w:tc>
          <w:tcPr>
            <w:tcW w:w="2551"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最大存在总量（t）</w:t>
            </w:r>
          </w:p>
        </w:tc>
        <w:tc>
          <w:tcPr>
            <w:tcW w:w="1276"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临界量（t）</w:t>
            </w:r>
          </w:p>
        </w:tc>
        <w:tc>
          <w:tcPr>
            <w:tcW w:w="2165"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物质Q值q</w:t>
            </w:r>
            <w:r>
              <w:rPr>
                <w:rFonts w:hint="default"/>
                <w:color w:val="auto"/>
                <w:szCs w:val="21"/>
                <w:vertAlign w:val="subscript"/>
              </w:rPr>
              <w:t>n</w:t>
            </w:r>
            <w:r>
              <w:rPr>
                <w:rFonts w:hint="default"/>
                <w:color w:val="auto"/>
                <w:szCs w:val="21"/>
              </w:rPr>
              <w:t>/Q</w:t>
            </w:r>
            <w:r>
              <w:rPr>
                <w:rFonts w:hint="default"/>
                <w:color w:val="auto"/>
                <w:szCs w:val="21"/>
                <w:vertAlign w:val="subscript"/>
              </w:rPr>
              <w:t>n</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618"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1</w:t>
            </w:r>
          </w:p>
        </w:tc>
        <w:tc>
          <w:tcPr>
            <w:tcW w:w="1687" w:type="dxa"/>
            <w:tcBorders>
              <w:right w:val="single" w:color="auto" w:sz="2" w:space="0"/>
            </w:tcBorders>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柴油</w:t>
            </w:r>
          </w:p>
        </w:tc>
        <w:tc>
          <w:tcPr>
            <w:tcW w:w="113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w:t>
            </w:r>
          </w:p>
        </w:tc>
        <w:tc>
          <w:tcPr>
            <w:tcW w:w="2551" w:type="dxa"/>
            <w:noWrap w:val="0"/>
            <w:vAlign w:val="center"/>
          </w:tcPr>
          <w:p>
            <w:pPr>
              <w:keepNext w:val="0"/>
              <w:keepLines w:val="0"/>
              <w:suppressLineNumbers w:val="0"/>
              <w:spacing w:before="0" w:beforeAutospacing="0" w:after="0" w:afterAutospacing="0" w:line="240" w:lineRule="exact"/>
              <w:ind w:left="0" w:right="0"/>
              <w:jc w:val="center"/>
              <w:rPr>
                <w:rFonts w:hint="eastAsia"/>
                <w:color w:val="auto"/>
                <w:szCs w:val="21"/>
              </w:rPr>
            </w:pPr>
            <w:r>
              <w:rPr>
                <w:rFonts w:hint="eastAsia"/>
                <w:color w:val="auto"/>
                <w:szCs w:val="21"/>
                <w:lang w:val="en-US" w:eastAsia="zh-CN"/>
              </w:rPr>
              <w:t>5</w:t>
            </w:r>
            <w:r>
              <w:rPr>
                <w:rFonts w:hint="eastAsia"/>
                <w:color w:val="auto"/>
                <w:szCs w:val="21"/>
              </w:rPr>
              <w:t>0</w:t>
            </w:r>
          </w:p>
        </w:tc>
        <w:tc>
          <w:tcPr>
            <w:tcW w:w="1276"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2500</w:t>
            </w:r>
          </w:p>
        </w:tc>
        <w:tc>
          <w:tcPr>
            <w:tcW w:w="2165"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0.0</w:t>
            </w:r>
            <w:r>
              <w:rPr>
                <w:rFonts w:hint="eastAsia"/>
                <w:color w:val="auto"/>
                <w:szCs w:val="21"/>
              </w:rPr>
              <w:t>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618"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eastAsia" w:eastAsia="宋体"/>
                <w:color w:val="auto"/>
                <w:szCs w:val="21"/>
                <w:lang w:val="en-US" w:eastAsia="zh-CN"/>
              </w:rPr>
            </w:pPr>
            <w:r>
              <w:rPr>
                <w:rFonts w:hint="eastAsia"/>
                <w:color w:val="auto"/>
                <w:szCs w:val="21"/>
                <w:lang w:val="en-US" w:eastAsia="zh-CN"/>
              </w:rPr>
              <w:t>2</w:t>
            </w:r>
          </w:p>
        </w:tc>
        <w:tc>
          <w:tcPr>
            <w:tcW w:w="1687" w:type="dxa"/>
            <w:tcBorders>
              <w:right w:val="single" w:color="auto" w:sz="2" w:space="0"/>
            </w:tcBorders>
            <w:noWrap w:val="0"/>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lang w:val="en-US" w:eastAsia="zh-CN"/>
              </w:rPr>
            </w:pPr>
            <w:r>
              <w:rPr>
                <w:rFonts w:hint="eastAsia"/>
                <w:color w:val="auto"/>
                <w:szCs w:val="21"/>
                <w:lang w:val="en-US" w:eastAsia="zh-CN"/>
              </w:rPr>
              <w:t>KOH</w:t>
            </w:r>
          </w:p>
        </w:tc>
        <w:tc>
          <w:tcPr>
            <w:tcW w:w="1138"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eastAsia="宋体"/>
                <w:color w:val="auto"/>
                <w:szCs w:val="21"/>
              </w:rPr>
              <w:t>/</w:t>
            </w:r>
          </w:p>
        </w:tc>
        <w:tc>
          <w:tcPr>
            <w:tcW w:w="2551" w:type="dxa"/>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13.5</w:t>
            </w:r>
          </w:p>
        </w:tc>
        <w:tc>
          <w:tcPr>
            <w:tcW w:w="1276"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eastAsia="宋体"/>
                <w:color w:val="auto"/>
                <w:szCs w:val="21"/>
              </w:rPr>
              <w:t>50</w:t>
            </w:r>
          </w:p>
        </w:tc>
        <w:tc>
          <w:tcPr>
            <w:tcW w:w="2165" w:type="dxa"/>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eastAsia="宋体"/>
                <w:color w:val="auto"/>
                <w:szCs w:val="21"/>
              </w:rPr>
              <w:t>0.</w:t>
            </w:r>
            <w:r>
              <w:rPr>
                <w:rFonts w:hint="eastAsia"/>
                <w:color w:val="auto"/>
                <w:szCs w:val="21"/>
                <w:lang w:val="en-US" w:eastAsia="zh-CN"/>
              </w:rPr>
              <w:t>27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28" w:type="dxa"/>
            <w:bottom w:w="0" w:type="dxa"/>
            <w:right w:w="28" w:type="dxa"/>
          </w:tblCellMar>
        </w:tblPrEx>
        <w:trPr>
          <w:trHeight w:val="340" w:hRule="exact"/>
          <w:jc w:val="center"/>
        </w:trPr>
        <w:tc>
          <w:tcPr>
            <w:tcW w:w="7270" w:type="dxa"/>
            <w:gridSpan w:val="5"/>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color w:val="auto"/>
                <w:szCs w:val="21"/>
              </w:rPr>
              <w:t>项目Q=Σq</w:t>
            </w:r>
            <w:r>
              <w:rPr>
                <w:rFonts w:hint="default"/>
                <w:color w:val="auto"/>
                <w:szCs w:val="21"/>
                <w:vertAlign w:val="subscript"/>
              </w:rPr>
              <w:t>n</w:t>
            </w:r>
            <w:r>
              <w:rPr>
                <w:rFonts w:hint="default"/>
                <w:color w:val="auto"/>
                <w:szCs w:val="21"/>
              </w:rPr>
              <w:t>/Q</w:t>
            </w:r>
            <w:r>
              <w:rPr>
                <w:rFonts w:hint="default"/>
                <w:color w:val="auto"/>
                <w:szCs w:val="21"/>
                <w:vertAlign w:val="subscript"/>
              </w:rPr>
              <w:t>n</w:t>
            </w:r>
          </w:p>
        </w:tc>
        <w:tc>
          <w:tcPr>
            <w:tcW w:w="2165" w:type="dxa"/>
            <w:noWrap w:val="0"/>
            <w:vAlign w:val="center"/>
          </w:tcPr>
          <w:p>
            <w:pPr>
              <w:keepNext w:val="0"/>
              <w:keepLines w:val="0"/>
              <w:suppressLineNumbers w:val="0"/>
              <w:spacing w:before="0" w:beforeAutospacing="0" w:after="0" w:afterAutospacing="0" w:line="240" w:lineRule="exact"/>
              <w:ind w:left="0" w:right="0"/>
              <w:jc w:val="center"/>
              <w:rPr>
                <w:rFonts w:hint="default" w:eastAsia="宋体"/>
                <w:color w:val="auto"/>
                <w:szCs w:val="21"/>
                <w:lang w:val="en-US" w:eastAsia="zh-CN"/>
              </w:rPr>
            </w:pPr>
            <w:r>
              <w:rPr>
                <w:rFonts w:hint="eastAsia"/>
                <w:color w:val="auto"/>
                <w:szCs w:val="21"/>
                <w:lang w:val="en-US" w:eastAsia="zh-CN"/>
              </w:rPr>
              <w:t>0.29</w:t>
            </w:r>
          </w:p>
        </w:tc>
      </w:tr>
    </w:tbl>
    <w:p>
      <w:pPr>
        <w:adjustRightInd w:val="0"/>
        <w:snapToGrid w:val="0"/>
        <w:spacing w:before="0" w:beforeAutospacing="0" w:after="0" w:afterAutospacing="0" w:line="480" w:lineRule="exact"/>
        <w:ind w:firstLine="560" w:firstLineChars="200"/>
        <w:rPr>
          <w:rFonts w:ascii="Times New Roman" w:hAnsi="Times New Roman" w:cs="Times New Roman"/>
          <w:b/>
          <w:color w:val="auto"/>
          <w:sz w:val="28"/>
          <w:szCs w:val="28"/>
        </w:rPr>
      </w:pPr>
      <w:r>
        <w:rPr>
          <w:rFonts w:ascii="Times New Roman" w:hAnsi="Times New Roman" w:cs="Times New Roman"/>
          <w:color w:val="auto"/>
          <w:kern w:val="2"/>
          <w:sz w:val="28"/>
          <w:szCs w:val="28"/>
        </w:rPr>
        <w:t>根据上表，本项目</w:t>
      </w:r>
      <w:r>
        <w:rPr>
          <w:rFonts w:ascii="Times New Roman" w:hAnsi="Times New Roman" w:cs="Times New Roman"/>
          <w:i/>
          <w:iCs/>
          <w:color w:val="auto"/>
          <w:kern w:val="2"/>
          <w:sz w:val="28"/>
          <w:szCs w:val="28"/>
        </w:rPr>
        <w:t>Q</w:t>
      </w:r>
      <w:r>
        <w:rPr>
          <w:rFonts w:ascii="Times New Roman" w:hAnsi="Times New Roman" w:cs="Times New Roman"/>
          <w:color w:val="auto"/>
          <w:kern w:val="2"/>
          <w:sz w:val="28"/>
          <w:szCs w:val="28"/>
        </w:rPr>
        <w:t>＜1时，环境风险潜势为</w:t>
      </w:r>
      <w:r>
        <w:rPr>
          <w:rFonts w:hint="eastAsia"/>
          <w:color w:val="auto"/>
          <w:kern w:val="2"/>
          <w:sz w:val="28"/>
          <w:szCs w:val="28"/>
        </w:rPr>
        <w:t>Ⅰ</w:t>
      </w:r>
      <w:r>
        <w:rPr>
          <w:rFonts w:ascii="Times New Roman" w:hAnsi="Times New Roman" w:cs="Times New Roman"/>
          <w:color w:val="auto"/>
          <w:kern w:val="2"/>
          <w:sz w:val="28"/>
          <w:szCs w:val="28"/>
        </w:rPr>
        <w:t>。</w:t>
      </w:r>
      <w:r>
        <w:rPr>
          <w:rFonts w:ascii="Times New Roman" w:hAnsi="Times New Roman" w:cs="Times New Roman"/>
          <w:snapToGrid w:val="0"/>
          <w:color w:val="auto"/>
          <w:sz w:val="28"/>
          <w:szCs w:val="28"/>
        </w:rPr>
        <w:t>根据《建设项目环境风险评价技术导则》（HJ169-2018）中评价等级的判定方法见表</w:t>
      </w:r>
      <w:r>
        <w:rPr>
          <w:rFonts w:ascii="Times New Roman" w:hAnsi="Times New Roman" w:cs="Times New Roman"/>
          <w:bCs/>
          <w:color w:val="auto"/>
          <w:sz w:val="28"/>
          <w:szCs w:val="28"/>
        </w:rPr>
        <w:t>5.</w:t>
      </w:r>
      <w:r>
        <w:rPr>
          <w:rFonts w:hint="eastAsia" w:ascii="Times New Roman" w:hAnsi="Times New Roman" w:cs="Times New Roman"/>
          <w:bCs/>
          <w:color w:val="auto"/>
          <w:sz w:val="28"/>
          <w:szCs w:val="28"/>
        </w:rPr>
        <w:t>8-</w:t>
      </w:r>
      <w:r>
        <w:rPr>
          <w:rFonts w:hint="eastAsia" w:cs="Times New Roman"/>
          <w:bCs/>
          <w:color w:val="auto"/>
          <w:sz w:val="28"/>
          <w:szCs w:val="28"/>
          <w:lang w:val="en-US" w:eastAsia="zh-CN"/>
        </w:rPr>
        <w:t>7</w:t>
      </w:r>
      <w:r>
        <w:rPr>
          <w:rFonts w:ascii="Times New Roman" w:hAnsi="Times New Roman" w:cs="Times New Roman"/>
          <w:snapToGrid w:val="0"/>
          <w:color w:val="auto"/>
          <w:sz w:val="28"/>
          <w:szCs w:val="28"/>
        </w:rPr>
        <w:t>，本项目风险潜势为</w:t>
      </w:r>
      <w:r>
        <w:rPr>
          <w:rFonts w:hint="eastAsia"/>
          <w:color w:val="auto"/>
          <w:sz w:val="28"/>
          <w:szCs w:val="28"/>
        </w:rPr>
        <w:t>Ⅰ</w:t>
      </w:r>
      <w:r>
        <w:rPr>
          <w:rFonts w:ascii="Times New Roman" w:hAnsi="Times New Roman" w:cs="Times New Roman"/>
          <w:snapToGrid w:val="0"/>
          <w:color w:val="auto"/>
          <w:sz w:val="28"/>
          <w:szCs w:val="28"/>
        </w:rPr>
        <w:t>，确定本工程风险评价等级为简单分析。</w:t>
      </w:r>
    </w:p>
    <w:p>
      <w:pPr>
        <w:pStyle w:val="7"/>
        <w:numPr>
          <w:ilvl w:val="4"/>
          <w:numId w:val="2"/>
        </w:numPr>
        <w:bidi w:val="0"/>
        <w:rPr>
          <w:color w:val="auto"/>
        </w:rPr>
      </w:pPr>
      <w:r>
        <w:rPr>
          <w:color w:val="auto"/>
        </w:rPr>
        <w:t>环境风险评价工作级别</w:t>
      </w:r>
    </w:p>
    <w:tbl>
      <w:tblPr>
        <w:tblStyle w:val="34"/>
        <w:tblW w:w="5000" w:type="pct"/>
        <w:jc w:val="center"/>
        <w:tblLayout w:type="fixed"/>
        <w:tblCellMar>
          <w:top w:w="0" w:type="dxa"/>
          <w:left w:w="0" w:type="dxa"/>
          <w:bottom w:w="0" w:type="dxa"/>
          <w:right w:w="0" w:type="dxa"/>
        </w:tblCellMar>
      </w:tblPr>
      <w:tblGrid>
        <w:gridCol w:w="1563"/>
        <w:gridCol w:w="1744"/>
        <w:gridCol w:w="1847"/>
        <w:gridCol w:w="1847"/>
        <w:gridCol w:w="2086"/>
      </w:tblGrid>
      <w:tr>
        <w:tblPrEx>
          <w:tblCellMar>
            <w:top w:w="0" w:type="dxa"/>
            <w:left w:w="0" w:type="dxa"/>
            <w:bottom w:w="0" w:type="dxa"/>
            <w:right w:w="0" w:type="dxa"/>
          </w:tblCellMar>
        </w:tblPrEx>
        <w:trPr>
          <w:trHeight w:val="340" w:hRule="exact"/>
          <w:jc w:val="center"/>
        </w:trPr>
        <w:tc>
          <w:tcPr>
            <w:tcW w:w="1563" w:type="dxa"/>
            <w:tcBorders>
              <w:top w:val="single" w:color="000000" w:sz="6"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环境风险潜势</w:t>
            </w:r>
          </w:p>
        </w:tc>
        <w:tc>
          <w:tcPr>
            <w:tcW w:w="1744"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eastAsia" w:ascii="宋体" w:hAnsi="宋体" w:cs="宋体"/>
                <w:color w:val="auto"/>
                <w:kern w:val="0"/>
                <w:szCs w:val="21"/>
              </w:rPr>
              <w:t>Ⅳ</w:t>
            </w:r>
            <w:r>
              <w:rPr>
                <w:rFonts w:hint="default"/>
                <w:color w:val="auto"/>
                <w:kern w:val="0"/>
                <w:szCs w:val="21"/>
              </w:rPr>
              <w:t>、</w:t>
            </w:r>
            <w:r>
              <w:rPr>
                <w:rFonts w:hint="eastAsia" w:ascii="宋体" w:hAnsi="宋体" w:cs="宋体"/>
                <w:color w:val="auto"/>
                <w:kern w:val="0"/>
                <w:szCs w:val="21"/>
              </w:rPr>
              <w:t>Ⅳ</w:t>
            </w:r>
            <w:r>
              <w:rPr>
                <w:rFonts w:hint="default"/>
                <w:color w:val="auto"/>
                <w:kern w:val="0"/>
                <w:position w:val="8"/>
                <w:szCs w:val="21"/>
              </w:rPr>
              <w:t>+</w:t>
            </w:r>
          </w:p>
        </w:tc>
        <w:tc>
          <w:tcPr>
            <w:tcW w:w="1847"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eastAsia" w:ascii="宋体" w:hAnsi="宋体" w:cs="宋体"/>
                <w:color w:val="auto"/>
                <w:kern w:val="0"/>
                <w:szCs w:val="21"/>
              </w:rPr>
              <w:t>Ⅲ</w:t>
            </w:r>
          </w:p>
        </w:tc>
        <w:tc>
          <w:tcPr>
            <w:tcW w:w="1847"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eastAsia" w:ascii="宋体" w:hAnsi="宋体" w:cs="宋体"/>
                <w:color w:val="auto"/>
                <w:kern w:val="0"/>
                <w:szCs w:val="21"/>
              </w:rPr>
              <w:t>Ⅱ</w:t>
            </w:r>
          </w:p>
        </w:tc>
        <w:tc>
          <w:tcPr>
            <w:tcW w:w="2086" w:type="dxa"/>
            <w:tcBorders>
              <w:top w:val="single" w:color="000000" w:sz="6"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eastAsia" w:ascii="宋体" w:hAnsi="宋体" w:cs="宋体"/>
                <w:color w:val="auto"/>
                <w:kern w:val="0"/>
                <w:szCs w:val="21"/>
              </w:rPr>
              <w:t>Ⅰ</w:t>
            </w:r>
          </w:p>
        </w:tc>
      </w:tr>
      <w:tr>
        <w:trPr>
          <w:trHeight w:val="340" w:hRule="exact"/>
          <w:jc w:val="center"/>
        </w:trPr>
        <w:tc>
          <w:tcPr>
            <w:tcW w:w="1563"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评价工作等级</w:t>
            </w:r>
          </w:p>
        </w:tc>
        <w:tc>
          <w:tcPr>
            <w:tcW w:w="17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一</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二</w:t>
            </w:r>
          </w:p>
        </w:tc>
        <w:tc>
          <w:tcPr>
            <w:tcW w:w="18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三</w:t>
            </w:r>
          </w:p>
        </w:tc>
        <w:tc>
          <w:tcPr>
            <w:tcW w:w="2086"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简单分析</w:t>
            </w:r>
          </w:p>
        </w:tc>
      </w:tr>
    </w:tbl>
    <w:p>
      <w:pPr>
        <w:pStyle w:val="5"/>
        <w:numPr>
          <w:ilvl w:val="2"/>
          <w:numId w:val="4"/>
        </w:numPr>
        <w:bidi w:val="0"/>
        <w:rPr>
          <w:color w:val="auto"/>
        </w:rPr>
      </w:pPr>
      <w:r>
        <w:rPr>
          <w:color w:val="auto"/>
        </w:rPr>
        <w:t>环境风险分析</w:t>
      </w:r>
    </w:p>
    <w:p>
      <w:pPr>
        <w:pStyle w:val="6"/>
        <w:numPr>
          <w:ilvl w:val="3"/>
          <w:numId w:val="4"/>
        </w:numPr>
        <w:bidi w:val="0"/>
        <w:rPr>
          <w:color w:val="auto"/>
        </w:rPr>
      </w:pPr>
      <w:r>
        <w:rPr>
          <w:color w:val="auto"/>
        </w:rPr>
        <w:t>大气环境影响分析</w:t>
      </w:r>
    </w:p>
    <w:p>
      <w:pPr>
        <w:spacing w:line="480" w:lineRule="exact"/>
        <w:ind w:firstLine="560" w:firstLineChars="200"/>
        <w:rPr>
          <w:rFonts w:hint="eastAsia" w:hAnsi="宋体"/>
          <w:color w:val="auto"/>
          <w:sz w:val="28"/>
          <w:szCs w:val="28"/>
        </w:rPr>
      </w:pPr>
      <w:r>
        <w:rPr>
          <w:rFonts w:hAnsi="宋体"/>
          <w:color w:val="auto"/>
          <w:sz w:val="28"/>
          <w:szCs w:val="28"/>
        </w:rPr>
        <w:t>发生井喷事故时</w:t>
      </w:r>
      <w:r>
        <w:rPr>
          <w:rFonts w:hint="eastAsia" w:hAnsi="宋体"/>
          <w:color w:val="auto"/>
          <w:sz w:val="28"/>
          <w:szCs w:val="28"/>
        </w:rPr>
        <w:t>天然气</w:t>
      </w:r>
      <w:r>
        <w:rPr>
          <w:rFonts w:hAnsi="宋体"/>
          <w:color w:val="auto"/>
          <w:sz w:val="28"/>
          <w:szCs w:val="28"/>
        </w:rPr>
        <w:t>泄漏将导致局部大气中总烃浓度可比正常情况高出数倍甚至数十倍，对大气环境造成短时的严重污染。若遇明火，引发的火灾事故可在短时间内产生大量燃烧烟气，对大气环境造成短时的严重污染。由于本地区所处地势平坦，扩散条件好，一次性事故形成的局部大气污染在一定的气象条件下会逐步自然净化，对周围大气环境的影响很小。</w:t>
      </w:r>
    </w:p>
    <w:p>
      <w:pPr>
        <w:pStyle w:val="6"/>
        <w:numPr>
          <w:ilvl w:val="3"/>
          <w:numId w:val="4"/>
        </w:numPr>
        <w:bidi w:val="0"/>
        <w:rPr>
          <w:rFonts w:hint="eastAsia"/>
          <w:color w:val="auto"/>
        </w:rPr>
      </w:pPr>
      <w:r>
        <w:rPr>
          <w:color w:val="auto"/>
        </w:rPr>
        <w:t>地</w:t>
      </w:r>
      <w:r>
        <w:rPr>
          <w:rFonts w:hint="eastAsia"/>
          <w:color w:val="auto"/>
        </w:rPr>
        <w:t>表</w:t>
      </w:r>
      <w:r>
        <w:rPr>
          <w:color w:val="auto"/>
        </w:rPr>
        <w:t>水环境影响</w:t>
      </w:r>
      <w:r>
        <w:rPr>
          <w:rFonts w:hint="eastAsia"/>
          <w:color w:val="auto"/>
        </w:rPr>
        <w:t>分析</w:t>
      </w:r>
    </w:p>
    <w:p>
      <w:pPr>
        <w:snapToGrid w:val="0"/>
        <w:spacing w:line="480" w:lineRule="exact"/>
        <w:ind w:firstLine="560" w:firstLineChars="200"/>
        <w:rPr>
          <w:rFonts w:hint="eastAsia" w:eastAsia="宋体"/>
          <w:b/>
          <w:color w:val="auto"/>
          <w:lang w:eastAsia="zh-CN"/>
        </w:rPr>
      </w:pPr>
      <w:r>
        <w:rPr>
          <w:rFonts w:hint="eastAsia"/>
          <w:color w:val="auto"/>
          <w:sz w:val="28"/>
          <w:szCs w:val="28"/>
        </w:rPr>
        <w:t>发生</w:t>
      </w:r>
      <w:r>
        <w:rPr>
          <w:color w:val="auto"/>
          <w:sz w:val="28"/>
          <w:szCs w:val="28"/>
        </w:rPr>
        <w:t>井喷事故</w:t>
      </w:r>
      <w:r>
        <w:rPr>
          <w:rFonts w:hint="eastAsia"/>
          <w:color w:val="auto"/>
          <w:sz w:val="28"/>
          <w:szCs w:val="28"/>
        </w:rPr>
        <w:t>时</w:t>
      </w:r>
      <w:r>
        <w:rPr>
          <w:color w:val="auto"/>
          <w:sz w:val="28"/>
          <w:szCs w:val="28"/>
        </w:rPr>
        <w:t>可能</w:t>
      </w:r>
      <w:r>
        <w:rPr>
          <w:rFonts w:hint="eastAsia"/>
          <w:color w:val="auto"/>
          <w:sz w:val="28"/>
          <w:szCs w:val="28"/>
        </w:rPr>
        <w:t>导致钻井液</w:t>
      </w:r>
      <w:r>
        <w:rPr>
          <w:color w:val="auto"/>
          <w:sz w:val="28"/>
          <w:szCs w:val="28"/>
        </w:rPr>
        <w:t>或</w:t>
      </w:r>
      <w:r>
        <w:rPr>
          <w:rFonts w:hint="eastAsia"/>
          <w:color w:val="auto"/>
          <w:sz w:val="28"/>
          <w:szCs w:val="28"/>
        </w:rPr>
        <w:t>钻井污水直接进入</w:t>
      </w:r>
      <w:r>
        <w:rPr>
          <w:rFonts w:hint="eastAsia"/>
          <w:color w:val="auto"/>
          <w:sz w:val="28"/>
          <w:szCs w:val="28"/>
          <w:lang w:eastAsia="zh-CN"/>
        </w:rPr>
        <w:t>地表水</w:t>
      </w:r>
      <w:r>
        <w:rPr>
          <w:color w:val="auto"/>
          <w:sz w:val="28"/>
          <w:szCs w:val="28"/>
        </w:rPr>
        <w:t>，</w:t>
      </w:r>
      <w:r>
        <w:rPr>
          <w:rFonts w:hint="eastAsia"/>
          <w:color w:val="auto"/>
          <w:sz w:val="28"/>
          <w:szCs w:val="28"/>
        </w:rPr>
        <w:t>对其水质</w:t>
      </w:r>
      <w:r>
        <w:rPr>
          <w:color w:val="auto"/>
          <w:sz w:val="28"/>
          <w:szCs w:val="28"/>
        </w:rPr>
        <w:t>造成</w:t>
      </w:r>
      <w:r>
        <w:rPr>
          <w:rFonts w:hint="eastAsia"/>
          <w:color w:val="auto"/>
          <w:sz w:val="28"/>
          <w:szCs w:val="28"/>
        </w:rPr>
        <w:t>污染</w:t>
      </w:r>
      <w:r>
        <w:rPr>
          <w:color w:val="auto"/>
          <w:sz w:val="28"/>
          <w:szCs w:val="28"/>
        </w:rPr>
        <w:t>。</w:t>
      </w:r>
      <w:r>
        <w:rPr>
          <w:rFonts w:hint="eastAsia"/>
          <w:color w:val="auto"/>
          <w:sz w:val="28"/>
          <w:szCs w:val="28"/>
        </w:rPr>
        <w:t>钻井液</w:t>
      </w:r>
      <w:r>
        <w:rPr>
          <w:color w:val="auto"/>
          <w:sz w:val="28"/>
          <w:szCs w:val="28"/>
        </w:rPr>
        <w:t>可能造成水体中pH、含盐量等变化，</w:t>
      </w:r>
      <w:r>
        <w:rPr>
          <w:rFonts w:hint="eastAsia"/>
          <w:color w:val="auto"/>
          <w:sz w:val="28"/>
          <w:szCs w:val="28"/>
        </w:rPr>
        <w:t>钻井污水</w:t>
      </w:r>
      <w:r>
        <w:rPr>
          <w:color w:val="auto"/>
          <w:sz w:val="28"/>
          <w:szCs w:val="28"/>
        </w:rPr>
        <w:t>进入水体可能</w:t>
      </w:r>
      <w:r>
        <w:rPr>
          <w:rFonts w:hint="eastAsia"/>
          <w:color w:val="auto"/>
          <w:sz w:val="28"/>
          <w:szCs w:val="28"/>
        </w:rPr>
        <w:t>对</w:t>
      </w:r>
      <w:r>
        <w:rPr>
          <w:color w:val="auto"/>
          <w:sz w:val="28"/>
          <w:szCs w:val="28"/>
        </w:rPr>
        <w:t>地表水水质造成破坏，溶入水中的石油类组份对水生生物有直接的危害。</w:t>
      </w:r>
      <w:r>
        <w:rPr>
          <w:rFonts w:hint="eastAsia"/>
          <w:color w:val="auto"/>
          <w:sz w:val="28"/>
          <w:szCs w:val="28"/>
        </w:rPr>
        <w:t>由钻井液各主要成分其理化性质表可知，泥浆中均为低毒或无毒的助剂且用量较少，可以减轻事故时泄漏对地表水的污染程度。</w:t>
      </w:r>
      <w:r>
        <w:rPr>
          <w:rFonts w:hint="eastAsia"/>
          <w:color w:val="auto"/>
          <w:sz w:val="28"/>
          <w:szCs w:val="28"/>
          <w:lang w:eastAsia="zh-CN"/>
        </w:rPr>
        <w:t>根据现场调查，本项目没有地表水保护目标，对地表水环境影响很小。</w:t>
      </w:r>
    </w:p>
    <w:p>
      <w:pPr>
        <w:pStyle w:val="6"/>
        <w:numPr>
          <w:ilvl w:val="3"/>
          <w:numId w:val="4"/>
        </w:numPr>
        <w:bidi w:val="0"/>
        <w:rPr>
          <w:color w:val="auto"/>
        </w:rPr>
      </w:pPr>
      <w:r>
        <w:rPr>
          <w:color w:val="auto"/>
        </w:rPr>
        <w:t>地下水环境影响分析</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）套管破损对地下水产生影响的可能性</w:t>
      </w:r>
    </w:p>
    <w:p>
      <w:pPr>
        <w:spacing w:line="480" w:lineRule="exact"/>
        <w:ind w:firstLine="560" w:firstLineChars="200"/>
        <w:rPr>
          <w:color w:val="auto"/>
          <w:sz w:val="28"/>
          <w:szCs w:val="28"/>
        </w:rPr>
      </w:pPr>
      <w:r>
        <w:rPr>
          <w:rFonts w:hAnsi="宋体"/>
          <w:color w:val="auto"/>
          <w:sz w:val="28"/>
          <w:szCs w:val="28"/>
        </w:rPr>
        <w:t>为保证钻井期间不对地下水造成污染，本工程在钻井过程中使用</w:t>
      </w:r>
      <w:r>
        <w:rPr>
          <w:rFonts w:hint="eastAsia" w:hAnsi="宋体"/>
          <w:color w:val="auto"/>
          <w:sz w:val="28"/>
          <w:szCs w:val="28"/>
          <w:lang w:eastAsia="zh-CN"/>
        </w:rPr>
        <w:t>四</w:t>
      </w:r>
      <w:r>
        <w:rPr>
          <w:rFonts w:hint="eastAsia" w:hAnsi="宋体"/>
          <w:color w:val="auto"/>
          <w:sz w:val="28"/>
          <w:szCs w:val="28"/>
        </w:rPr>
        <w:t>层套管</w:t>
      </w:r>
      <w:r>
        <w:rPr>
          <w:rFonts w:hAnsi="宋体"/>
          <w:color w:val="auto"/>
          <w:sz w:val="28"/>
          <w:szCs w:val="28"/>
        </w:rPr>
        <w:t>（由表层套管、</w:t>
      </w:r>
      <w:r>
        <w:rPr>
          <w:rFonts w:hint="eastAsia" w:hAnsi="宋体"/>
          <w:color w:val="auto"/>
          <w:sz w:val="28"/>
          <w:szCs w:val="28"/>
        </w:rPr>
        <w:t>技术</w:t>
      </w:r>
      <w:r>
        <w:rPr>
          <w:rFonts w:hAnsi="宋体"/>
          <w:color w:val="auto"/>
          <w:sz w:val="28"/>
          <w:szCs w:val="28"/>
        </w:rPr>
        <w:t>套管</w:t>
      </w:r>
      <w:r>
        <w:rPr>
          <w:rFonts w:hint="eastAsia" w:hAnsi="宋体"/>
          <w:color w:val="auto"/>
          <w:sz w:val="28"/>
          <w:szCs w:val="28"/>
        </w:rPr>
        <w:t>、生产套管</w:t>
      </w:r>
      <w:r>
        <w:rPr>
          <w:rFonts w:hAnsi="宋体"/>
          <w:color w:val="auto"/>
          <w:sz w:val="28"/>
          <w:szCs w:val="28"/>
        </w:rPr>
        <w:t>组成）。天然气从破损套管中漏出进入地下饮用水源可能的污染途径包括：通过破损的套管运移、通过井套管与钻孔器之间的圆环缝隙运移等。</w:t>
      </w:r>
    </w:p>
    <w:p>
      <w:pPr>
        <w:spacing w:line="480" w:lineRule="exact"/>
        <w:ind w:firstLine="560" w:firstLineChars="200"/>
        <w:rPr>
          <w:color w:val="auto"/>
          <w:sz w:val="28"/>
          <w:szCs w:val="28"/>
        </w:rPr>
      </w:pPr>
      <w:r>
        <w:rPr>
          <w:color w:val="auto"/>
          <w:sz w:val="28"/>
          <w:szCs w:val="28"/>
        </w:rPr>
        <w:t>1</w:t>
      </w:r>
      <w:r>
        <w:rPr>
          <w:rFonts w:hAnsi="宋体"/>
          <w:color w:val="auto"/>
          <w:sz w:val="28"/>
          <w:szCs w:val="28"/>
        </w:rPr>
        <w:t>）套管结构分析</w:t>
      </w:r>
    </w:p>
    <w:p>
      <w:pPr>
        <w:spacing w:line="480" w:lineRule="exact"/>
        <w:ind w:firstLine="560" w:firstLineChars="200"/>
        <w:rPr>
          <w:color w:val="auto"/>
          <w:sz w:val="28"/>
          <w:szCs w:val="28"/>
        </w:rPr>
      </w:pPr>
      <w:r>
        <w:rPr>
          <w:rFonts w:hAnsi="宋体"/>
          <w:color w:val="auto"/>
          <w:sz w:val="28"/>
          <w:szCs w:val="28"/>
        </w:rPr>
        <w:t>表层套管的作用是封固上部易垮塌的松软地层以利于后续钻井，防止后续钻井中井壁垮塌和钻井液对上部淡水层的污染、安装防止井喷用的设备、支撑油层套管的重量。</w:t>
      </w:r>
    </w:p>
    <w:p>
      <w:pPr>
        <w:spacing w:line="480" w:lineRule="exact"/>
        <w:ind w:firstLine="560" w:firstLineChars="200"/>
        <w:rPr>
          <w:color w:val="auto"/>
          <w:sz w:val="28"/>
          <w:szCs w:val="28"/>
        </w:rPr>
      </w:pPr>
      <w:r>
        <w:rPr>
          <w:color w:val="auto"/>
          <w:sz w:val="28"/>
          <w:szCs w:val="28"/>
        </w:rPr>
        <w:t>2</w:t>
      </w:r>
      <w:r>
        <w:rPr>
          <w:rFonts w:hAnsi="宋体"/>
          <w:color w:val="auto"/>
          <w:sz w:val="28"/>
          <w:szCs w:val="28"/>
        </w:rPr>
        <w:t>）套管破损发生泄漏的过程分析</w:t>
      </w:r>
    </w:p>
    <w:p>
      <w:pPr>
        <w:spacing w:line="480" w:lineRule="exact"/>
        <w:ind w:firstLine="560" w:firstLineChars="200"/>
        <w:rPr>
          <w:color w:val="auto"/>
          <w:sz w:val="28"/>
          <w:szCs w:val="28"/>
        </w:rPr>
      </w:pPr>
      <w:r>
        <w:rPr>
          <w:rFonts w:hAnsi="宋体"/>
          <w:color w:val="auto"/>
          <w:sz w:val="28"/>
          <w:szCs w:val="28"/>
        </w:rPr>
        <w:t>对于污染物从套管中泄漏至地层中的事故是分两个阶段来发生的：首先，套管由于种种原因造成破损，其次，套管外多层防护层均失效造成泄漏发生。也就是说套管破损了未必泄漏，只有破损和泄漏都发生了，污染物才可能进入地层中造成事故。</w:t>
      </w:r>
    </w:p>
    <w:p>
      <w:pPr>
        <w:spacing w:line="480" w:lineRule="exact"/>
        <w:ind w:firstLine="560" w:firstLineChars="200"/>
        <w:rPr>
          <w:color w:val="auto"/>
          <w:sz w:val="28"/>
          <w:szCs w:val="28"/>
        </w:rPr>
      </w:pPr>
      <w:r>
        <w:rPr>
          <w:rFonts w:hAnsi="宋体"/>
          <w:color w:val="auto"/>
          <w:sz w:val="28"/>
          <w:szCs w:val="28"/>
        </w:rPr>
        <w:t>对于套管破损后污染物是否污染地下水问题，初因事件是套管由于种种原因造成了破损的状态，这时如果灌注管道防泄，环空压力防泄，长套管柱水泥防泄等逐级防护若都失效，则系统失败，若任一级防护起作用，则泄漏就不会发生。</w:t>
      </w:r>
    </w:p>
    <w:p>
      <w:pPr>
        <w:spacing w:line="480" w:lineRule="exact"/>
        <w:ind w:firstLine="560" w:firstLineChars="200"/>
        <w:rPr>
          <w:color w:val="auto"/>
          <w:sz w:val="28"/>
          <w:szCs w:val="28"/>
        </w:rPr>
      </w:pPr>
      <w:r>
        <w:rPr>
          <w:color w:val="auto"/>
          <w:sz w:val="28"/>
          <w:szCs w:val="28"/>
        </w:rPr>
        <w:t>3</w:t>
      </w:r>
      <w:r>
        <w:rPr>
          <w:rFonts w:hAnsi="宋体"/>
          <w:color w:val="auto"/>
          <w:sz w:val="28"/>
          <w:szCs w:val="28"/>
        </w:rPr>
        <w:t>）套管破损泄漏的概率分析</w:t>
      </w:r>
    </w:p>
    <w:p>
      <w:pPr>
        <w:spacing w:line="480" w:lineRule="exact"/>
        <w:ind w:firstLine="560" w:firstLineChars="200"/>
        <w:rPr>
          <w:color w:val="auto"/>
          <w:sz w:val="28"/>
          <w:szCs w:val="28"/>
        </w:rPr>
      </w:pPr>
      <w:r>
        <w:rPr>
          <w:rFonts w:hAnsi="宋体"/>
          <w:color w:val="auto"/>
          <w:sz w:val="28"/>
          <w:szCs w:val="28"/>
        </w:rPr>
        <w:t>由于井管是由不同长度的节管连接而成，容易在节点处发生破损。根据大庆油田生产实际统计，套管破损的机率一般为万分之一至五万分之一，破损在某一固定结点的机率约为百分之一，则套损泄漏污染地下水的最大概率约为二百万分之一。可见，套管破损的情况虽然存在，但经过层层防护，危险逐级递减，破损后最终发生气水串层或是油气直接泄漏到含水层造成污染的概率并不大。</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）套管破损发生泄漏对地下水影响分析</w:t>
      </w:r>
    </w:p>
    <w:p>
      <w:pPr>
        <w:spacing w:line="480" w:lineRule="exact"/>
        <w:ind w:firstLine="560" w:firstLineChars="200"/>
        <w:rPr>
          <w:color w:val="auto"/>
          <w:sz w:val="28"/>
          <w:szCs w:val="28"/>
        </w:rPr>
      </w:pPr>
      <w:r>
        <w:rPr>
          <w:rFonts w:hAnsi="宋体"/>
          <w:color w:val="auto"/>
          <w:sz w:val="28"/>
          <w:szCs w:val="28"/>
        </w:rPr>
        <w:t>经过前面的分析，套损事故发生气水窜层的概率及天然气泄漏在含水层的概率都很低，但危险还是存在的，一旦事故发生，对地下水的将产生危害。根据前述分析可知，</w:t>
      </w:r>
      <w:r>
        <w:rPr>
          <w:rFonts w:hint="eastAsia" w:hAnsi="宋体"/>
          <w:color w:val="auto"/>
          <w:sz w:val="28"/>
          <w:szCs w:val="28"/>
        </w:rPr>
        <w:t>天然</w:t>
      </w:r>
      <w:r>
        <w:rPr>
          <w:rFonts w:hAnsi="宋体"/>
          <w:color w:val="auto"/>
          <w:sz w:val="28"/>
          <w:szCs w:val="28"/>
        </w:rPr>
        <w:t>气直接泄漏在含水层危害最大。</w:t>
      </w:r>
    </w:p>
    <w:p>
      <w:pPr>
        <w:spacing w:line="480" w:lineRule="exact"/>
        <w:ind w:firstLine="560" w:firstLineChars="200"/>
        <w:rPr>
          <w:color w:val="auto"/>
          <w:sz w:val="28"/>
          <w:szCs w:val="28"/>
        </w:rPr>
      </w:pPr>
      <w:r>
        <w:rPr>
          <w:rFonts w:hAnsi="宋体"/>
          <w:color w:val="auto"/>
          <w:sz w:val="28"/>
          <w:szCs w:val="28"/>
        </w:rPr>
        <w:t>针对工程所在区域环境的特点，本工程从清洁生产入手（设计阶段），从源头进行污染控制，主要包括设置</w:t>
      </w:r>
      <w:r>
        <w:rPr>
          <w:rFonts w:hint="eastAsia" w:hAnsi="宋体"/>
          <w:color w:val="auto"/>
          <w:sz w:val="28"/>
          <w:szCs w:val="28"/>
          <w:lang w:eastAsia="zh-CN"/>
        </w:rPr>
        <w:t>四</w:t>
      </w:r>
      <w:r>
        <w:rPr>
          <w:rFonts w:hint="eastAsia" w:hAnsi="宋体"/>
          <w:color w:val="auto"/>
          <w:sz w:val="28"/>
          <w:szCs w:val="28"/>
        </w:rPr>
        <w:t>层套管</w:t>
      </w:r>
      <w:r>
        <w:rPr>
          <w:rFonts w:hAnsi="宋体"/>
          <w:color w:val="auto"/>
          <w:sz w:val="28"/>
          <w:szCs w:val="28"/>
        </w:rPr>
        <w:t>及加强固井等。</w:t>
      </w:r>
    </w:p>
    <w:p>
      <w:pPr>
        <w:spacing w:line="480" w:lineRule="exact"/>
        <w:ind w:firstLine="560" w:firstLineChars="200"/>
        <w:rPr>
          <w:rFonts w:hAnsi="宋体"/>
          <w:color w:val="auto"/>
          <w:sz w:val="28"/>
          <w:szCs w:val="28"/>
        </w:rPr>
      </w:pPr>
      <w:r>
        <w:rPr>
          <w:rFonts w:hAnsi="宋体"/>
          <w:color w:val="auto"/>
          <w:sz w:val="28"/>
          <w:szCs w:val="28"/>
        </w:rPr>
        <w:t>根据气田开发的生产实际，保证钻孔固井质量是保护地下水的有效措施，钻井过程中使用</w:t>
      </w:r>
      <w:r>
        <w:rPr>
          <w:rFonts w:hint="eastAsia" w:hAnsi="宋体"/>
          <w:color w:val="auto"/>
          <w:sz w:val="28"/>
          <w:szCs w:val="28"/>
          <w:lang w:eastAsia="zh-CN"/>
        </w:rPr>
        <w:t>四</w:t>
      </w:r>
      <w:r>
        <w:rPr>
          <w:rFonts w:hint="eastAsia" w:hAnsi="宋体"/>
          <w:color w:val="auto"/>
          <w:sz w:val="28"/>
          <w:szCs w:val="28"/>
        </w:rPr>
        <w:t>层套管</w:t>
      </w:r>
      <w:r>
        <w:rPr>
          <w:rFonts w:hAnsi="宋体"/>
          <w:color w:val="auto"/>
          <w:sz w:val="28"/>
          <w:szCs w:val="28"/>
        </w:rPr>
        <w:t>，表层套管固井水泥浆均返至井口，确保安全封闭此深度内的潜水层和承压水层，同时封固地表疏松地层，为井口控制和后续完井采用预应力固井创造条件；尽可能缩短水泥胶的稠化时间减少对地层水的污染；表套固井禁止使用带毒性的水泥外加剂。钻井过程中的固井措施，一方面加固井壁，同时也有分隔地层的作用，使各个不相联通的地层分隔开来，保持其原有的循环运移路线。目前油田开发在固井技术等方面已非常成熟可靠，一般井管泄漏的可能性极小。</w:t>
      </w:r>
    </w:p>
    <w:p>
      <w:pPr>
        <w:spacing w:line="480" w:lineRule="exact"/>
        <w:ind w:firstLine="560" w:firstLineChars="200"/>
        <w:rPr>
          <w:bCs/>
          <w:color w:val="auto"/>
          <w:sz w:val="28"/>
          <w:szCs w:val="28"/>
        </w:rPr>
      </w:pPr>
      <w:r>
        <w:rPr>
          <w:bCs/>
          <w:color w:val="auto"/>
          <w:sz w:val="28"/>
          <w:szCs w:val="28"/>
        </w:rPr>
        <w:t>（</w:t>
      </w:r>
      <w:r>
        <w:rPr>
          <w:rFonts w:hint="eastAsia"/>
          <w:bCs/>
          <w:color w:val="auto"/>
          <w:sz w:val="28"/>
          <w:szCs w:val="28"/>
          <w:lang w:val="en-US" w:eastAsia="zh-CN"/>
        </w:rPr>
        <w:t>3</w:t>
      </w:r>
      <w:r>
        <w:rPr>
          <w:bCs/>
          <w:color w:val="auto"/>
          <w:sz w:val="28"/>
          <w:szCs w:val="28"/>
        </w:rPr>
        <w:t>）</w:t>
      </w:r>
      <w:r>
        <w:rPr>
          <w:rFonts w:hint="eastAsia"/>
          <w:bCs/>
          <w:color w:val="auto"/>
          <w:sz w:val="28"/>
          <w:szCs w:val="28"/>
        </w:rPr>
        <w:t>井场储存装置</w:t>
      </w:r>
      <w:r>
        <w:rPr>
          <w:bCs/>
          <w:color w:val="auto"/>
          <w:sz w:val="28"/>
          <w:szCs w:val="28"/>
        </w:rPr>
        <w:t>泄漏对地下水的影响</w:t>
      </w:r>
    </w:p>
    <w:p>
      <w:pPr>
        <w:spacing w:line="480" w:lineRule="exact"/>
        <w:ind w:firstLine="560" w:firstLineChars="200"/>
        <w:rPr>
          <w:color w:val="auto"/>
          <w:sz w:val="28"/>
          <w:szCs w:val="28"/>
        </w:rPr>
      </w:pPr>
      <w:r>
        <w:rPr>
          <w:color w:val="auto"/>
          <w:sz w:val="28"/>
          <w:szCs w:val="28"/>
        </w:rPr>
        <w:t>本工程钻井井场主要设置</w:t>
      </w:r>
      <w:r>
        <w:rPr>
          <w:rFonts w:hint="eastAsia"/>
          <w:color w:val="auto"/>
          <w:sz w:val="28"/>
          <w:szCs w:val="28"/>
        </w:rPr>
        <w:t>柴油罐区、</w:t>
      </w:r>
      <w:r>
        <w:rPr>
          <w:color w:val="auto"/>
          <w:sz w:val="28"/>
          <w:szCs w:val="28"/>
        </w:rPr>
        <w:t>生活污水池</w:t>
      </w:r>
      <w:r>
        <w:rPr>
          <w:rFonts w:hint="eastAsia"/>
          <w:color w:val="auto"/>
          <w:sz w:val="28"/>
          <w:szCs w:val="28"/>
        </w:rPr>
        <w:t>、材料房、泥浆循环罐区、钢制泥浆槽</w:t>
      </w:r>
      <w:r>
        <w:rPr>
          <w:color w:val="auto"/>
          <w:sz w:val="28"/>
          <w:szCs w:val="28"/>
        </w:rPr>
        <w:t>，</w:t>
      </w:r>
      <w:r>
        <w:rPr>
          <w:rFonts w:hint="eastAsia"/>
          <w:color w:val="auto"/>
          <w:sz w:val="28"/>
          <w:szCs w:val="28"/>
        </w:rPr>
        <w:t>其中</w:t>
      </w:r>
      <w:r>
        <w:rPr>
          <w:color w:val="auto"/>
          <w:sz w:val="28"/>
          <w:szCs w:val="28"/>
        </w:rPr>
        <w:t>柴油罐区属于重点防渗，防渗措施为铺设厚2mm聚乙烯膜构筑防渗层，防渗系数</w:t>
      </w:r>
      <w:r>
        <w:rPr>
          <w:rFonts w:hint="eastAsia"/>
          <w:color w:val="auto"/>
          <w:sz w:val="28"/>
          <w:szCs w:val="28"/>
        </w:rPr>
        <w:t>K</w:t>
      </w:r>
      <w:r>
        <w:rPr>
          <w:color w:val="auto"/>
          <w:sz w:val="28"/>
          <w:szCs w:val="28"/>
        </w:rPr>
        <w:t>≤1×10</w:t>
      </w:r>
      <w:r>
        <w:rPr>
          <w:color w:val="auto"/>
          <w:sz w:val="28"/>
          <w:szCs w:val="28"/>
          <w:vertAlign w:val="superscript"/>
        </w:rPr>
        <w:t>-13</w:t>
      </w:r>
      <w:r>
        <w:rPr>
          <w:color w:val="auto"/>
          <w:sz w:val="28"/>
          <w:szCs w:val="28"/>
        </w:rPr>
        <w:t>cm/s，满足防渗性能等效黏土防渗层Mb≥6.0m、K≤1.0×10</w:t>
      </w:r>
      <w:r>
        <w:rPr>
          <w:color w:val="auto"/>
          <w:sz w:val="28"/>
          <w:szCs w:val="28"/>
          <w:vertAlign w:val="superscript"/>
        </w:rPr>
        <w:t>-7</w:t>
      </w:r>
      <w:r>
        <w:rPr>
          <w:color w:val="auto"/>
          <w:sz w:val="28"/>
          <w:szCs w:val="28"/>
        </w:rPr>
        <w:t>cm/s的重点防渗要求。</w:t>
      </w:r>
    </w:p>
    <w:p>
      <w:pPr>
        <w:spacing w:line="480" w:lineRule="exact"/>
        <w:ind w:firstLine="560" w:firstLineChars="200"/>
        <w:rPr>
          <w:rFonts w:hint="eastAsia" w:hAnsi="宋体" w:eastAsia="宋体"/>
          <w:color w:val="auto"/>
          <w:sz w:val="28"/>
          <w:szCs w:val="28"/>
          <w:lang w:val="en-US" w:eastAsia="zh-CN"/>
        </w:rPr>
      </w:pPr>
      <w:r>
        <w:rPr>
          <w:rFonts w:hint="eastAsia"/>
          <w:color w:val="auto"/>
          <w:sz w:val="28"/>
          <w:szCs w:val="28"/>
        </w:rPr>
        <w:t>所有井场</w:t>
      </w:r>
      <w:r>
        <w:rPr>
          <w:color w:val="auto"/>
          <w:sz w:val="28"/>
          <w:szCs w:val="28"/>
        </w:rPr>
        <w:t>防渗生活污水池、材料房属于一般防渗区，铺设厚2mm聚乙烯膜构筑防渗层，防渗系数</w:t>
      </w:r>
      <w:r>
        <w:rPr>
          <w:rFonts w:hint="eastAsia"/>
          <w:color w:val="auto"/>
          <w:sz w:val="28"/>
          <w:szCs w:val="28"/>
        </w:rPr>
        <w:t>K</w:t>
      </w:r>
      <w:r>
        <w:rPr>
          <w:color w:val="auto"/>
          <w:sz w:val="28"/>
          <w:szCs w:val="28"/>
        </w:rPr>
        <w:t>≤1×10</w:t>
      </w:r>
      <w:r>
        <w:rPr>
          <w:color w:val="auto"/>
          <w:sz w:val="28"/>
          <w:szCs w:val="28"/>
          <w:vertAlign w:val="superscript"/>
        </w:rPr>
        <w:t>-10</w:t>
      </w:r>
      <w:r>
        <w:rPr>
          <w:color w:val="auto"/>
          <w:sz w:val="28"/>
          <w:szCs w:val="28"/>
        </w:rPr>
        <w:t xml:space="preserve"> cm/s，满足防渗性能等效黏土防渗层Mb≥1.5m、K≤1.0×10</w:t>
      </w:r>
      <w:r>
        <w:rPr>
          <w:color w:val="auto"/>
          <w:sz w:val="28"/>
          <w:szCs w:val="28"/>
          <w:vertAlign w:val="superscript"/>
        </w:rPr>
        <w:t>-7</w:t>
      </w:r>
      <w:r>
        <w:rPr>
          <w:color w:val="auto"/>
          <w:sz w:val="28"/>
          <w:szCs w:val="28"/>
        </w:rPr>
        <w:t>cm/s的一般防渗要求。因此正常情况下</w:t>
      </w:r>
      <w:r>
        <w:rPr>
          <w:rFonts w:hint="eastAsia"/>
          <w:color w:val="auto"/>
          <w:sz w:val="28"/>
          <w:szCs w:val="28"/>
        </w:rPr>
        <w:t>上述设施中的物质不会发生泄漏</w:t>
      </w:r>
      <w:r>
        <w:rPr>
          <w:color w:val="auto"/>
          <w:sz w:val="28"/>
          <w:szCs w:val="28"/>
        </w:rPr>
        <w:t>，对地下水影响很小。</w:t>
      </w:r>
      <w:r>
        <w:rPr>
          <w:rFonts w:hint="eastAsia"/>
          <w:color w:val="auto"/>
          <w:sz w:val="28"/>
          <w:szCs w:val="28"/>
        </w:rPr>
        <w:t>重点防渗区</w:t>
      </w:r>
      <w:r>
        <w:rPr>
          <w:color w:val="auto"/>
          <w:sz w:val="28"/>
          <w:szCs w:val="28"/>
        </w:rPr>
        <w:t>在周边外扩3m宽，设置0.5m高的便于拆装的防渗玻璃钢围堰，防渗性能满足《环境影响评价技术导则-地下水环境》（HJ610-2016）重点防渗要求。通过采取上述措施之后，根据以往工程经验可知，</w:t>
      </w:r>
      <w:r>
        <w:rPr>
          <w:rFonts w:hint="eastAsia"/>
          <w:color w:val="auto"/>
          <w:sz w:val="28"/>
          <w:szCs w:val="28"/>
        </w:rPr>
        <w:t>井场储存装置</w:t>
      </w:r>
      <w:r>
        <w:rPr>
          <w:color w:val="auto"/>
          <w:sz w:val="28"/>
          <w:szCs w:val="28"/>
        </w:rPr>
        <w:t>泄漏的可能性很小，因此不会对地下水产生大的影响</w:t>
      </w:r>
      <w:r>
        <w:rPr>
          <w:rFonts w:hint="eastAsia"/>
          <w:color w:val="auto"/>
          <w:sz w:val="28"/>
          <w:szCs w:val="28"/>
          <w:lang w:val="en-US" w:eastAsia="zh-CN"/>
        </w:rPr>
        <w:t>.</w:t>
      </w:r>
    </w:p>
    <w:p>
      <w:pPr>
        <w:spacing w:line="480" w:lineRule="exact"/>
        <w:ind w:firstLine="560" w:firstLineChars="200"/>
        <w:rPr>
          <w:color w:val="auto"/>
          <w:sz w:val="28"/>
          <w:szCs w:val="28"/>
        </w:rPr>
      </w:pPr>
      <w:r>
        <w:rPr>
          <w:rFonts w:hAnsi="宋体"/>
          <w:color w:val="auto"/>
          <w:sz w:val="28"/>
          <w:szCs w:val="28"/>
        </w:rPr>
        <w:t>综上所述，在水泥固井及</w:t>
      </w:r>
      <w:r>
        <w:rPr>
          <w:rFonts w:hint="eastAsia" w:hAnsi="宋体"/>
          <w:color w:val="auto"/>
          <w:sz w:val="28"/>
          <w:szCs w:val="28"/>
          <w:lang w:eastAsia="zh-CN"/>
        </w:rPr>
        <w:t>四</w:t>
      </w:r>
      <w:r>
        <w:rPr>
          <w:rFonts w:hint="eastAsia" w:hAnsi="宋体"/>
          <w:color w:val="auto"/>
          <w:sz w:val="28"/>
          <w:szCs w:val="28"/>
        </w:rPr>
        <w:t>层套管</w:t>
      </w:r>
      <w:r>
        <w:rPr>
          <w:rFonts w:hAnsi="宋体"/>
          <w:color w:val="auto"/>
          <w:sz w:val="28"/>
          <w:szCs w:val="28"/>
        </w:rPr>
        <w:t>保护的基础上，在最不利情况下，若泄漏发生在含水层，由于本区块气井所处含水层均处在固井范围内，即使发生泄漏，也因固井加套管等防护措施，造成地下水污染的可能性极小。</w:t>
      </w:r>
    </w:p>
    <w:p>
      <w:pPr>
        <w:pStyle w:val="6"/>
        <w:numPr>
          <w:ilvl w:val="3"/>
          <w:numId w:val="4"/>
        </w:numPr>
        <w:bidi w:val="0"/>
        <w:rPr>
          <w:color w:val="auto"/>
        </w:rPr>
      </w:pPr>
      <w:r>
        <w:rPr>
          <w:color w:val="auto"/>
        </w:rPr>
        <w:t>土壤环境影响分析</w:t>
      </w:r>
    </w:p>
    <w:p>
      <w:pPr>
        <w:spacing w:line="480" w:lineRule="exact"/>
        <w:ind w:firstLine="560" w:firstLineChars="200"/>
        <w:rPr>
          <w:rFonts w:hint="eastAsia" w:hAnsi="宋体"/>
          <w:color w:val="auto"/>
          <w:sz w:val="28"/>
          <w:szCs w:val="28"/>
        </w:rPr>
      </w:pPr>
      <w:r>
        <w:rPr>
          <w:rFonts w:hint="eastAsia" w:hAnsi="宋体"/>
          <w:color w:val="auto"/>
          <w:sz w:val="28"/>
          <w:szCs w:val="28"/>
        </w:rPr>
        <w:t>发生井喷</w:t>
      </w:r>
      <w:r>
        <w:rPr>
          <w:rFonts w:hAnsi="宋体"/>
          <w:color w:val="auto"/>
          <w:sz w:val="28"/>
          <w:szCs w:val="28"/>
        </w:rPr>
        <w:t>事故时</w:t>
      </w:r>
      <w:r>
        <w:rPr>
          <w:rFonts w:hint="eastAsia" w:hAnsi="宋体"/>
          <w:color w:val="auto"/>
          <w:sz w:val="28"/>
          <w:szCs w:val="28"/>
        </w:rPr>
        <w:t>钻井液</w:t>
      </w:r>
      <w:r>
        <w:rPr>
          <w:rFonts w:hAnsi="宋体"/>
          <w:color w:val="auto"/>
          <w:sz w:val="28"/>
          <w:szCs w:val="28"/>
        </w:rPr>
        <w:t>或</w:t>
      </w:r>
      <w:r>
        <w:rPr>
          <w:rFonts w:hint="eastAsia" w:hAnsi="宋体"/>
          <w:color w:val="auto"/>
          <w:sz w:val="28"/>
          <w:szCs w:val="28"/>
        </w:rPr>
        <w:t>钻井污水</w:t>
      </w:r>
      <w:r>
        <w:rPr>
          <w:rFonts w:hAnsi="宋体"/>
          <w:color w:val="auto"/>
          <w:sz w:val="28"/>
          <w:szCs w:val="28"/>
        </w:rPr>
        <w:t>泄漏渗入土壤孔隙，会降低土壤的通透性，抑制土壤中酶活性，使土壤生物减少。一般而言，</w:t>
      </w:r>
      <w:r>
        <w:rPr>
          <w:rFonts w:hint="eastAsia" w:hAnsi="宋体"/>
          <w:color w:val="auto"/>
          <w:sz w:val="28"/>
          <w:szCs w:val="28"/>
        </w:rPr>
        <w:t>泄露的废弃</w:t>
      </w:r>
      <w:r>
        <w:rPr>
          <w:rFonts w:hAnsi="宋体"/>
          <w:color w:val="auto"/>
          <w:sz w:val="28"/>
          <w:szCs w:val="28"/>
        </w:rPr>
        <w:t>泥浆或</w:t>
      </w:r>
      <w:r>
        <w:rPr>
          <w:rFonts w:hint="eastAsia" w:hAnsi="宋体"/>
          <w:color w:val="auto"/>
          <w:sz w:val="28"/>
          <w:szCs w:val="28"/>
        </w:rPr>
        <w:t>污油污水</w:t>
      </w:r>
      <w:r>
        <w:rPr>
          <w:rFonts w:hAnsi="宋体"/>
          <w:color w:val="auto"/>
          <w:sz w:val="28"/>
          <w:szCs w:val="28"/>
        </w:rPr>
        <w:t>集中于土壤表层0～30cm的范围内，使得根系分布于此深度的植物不能生长。</w:t>
      </w:r>
      <w:r>
        <w:rPr>
          <w:rFonts w:hint="eastAsia" w:hAnsi="宋体"/>
          <w:color w:val="auto"/>
          <w:sz w:val="28"/>
          <w:szCs w:val="28"/>
        </w:rPr>
        <w:t>污油中的</w:t>
      </w:r>
      <w:r>
        <w:rPr>
          <w:rFonts w:hAnsi="宋体"/>
          <w:color w:val="auto"/>
          <w:sz w:val="28"/>
          <w:szCs w:val="28"/>
        </w:rPr>
        <w:t>石油类对土壤的污染，可使土地肥力下降，改变土壤的理化性质，影响局部区域土壤正常的结构和功能。</w:t>
      </w:r>
    </w:p>
    <w:p>
      <w:pPr>
        <w:pStyle w:val="6"/>
        <w:numPr>
          <w:ilvl w:val="3"/>
          <w:numId w:val="4"/>
        </w:numPr>
        <w:bidi w:val="0"/>
        <w:rPr>
          <w:color w:val="auto"/>
        </w:rPr>
      </w:pPr>
      <w:r>
        <w:rPr>
          <w:color w:val="auto"/>
        </w:rPr>
        <w:t>生态影响分析</w:t>
      </w:r>
    </w:p>
    <w:p>
      <w:pPr>
        <w:spacing w:line="480" w:lineRule="exact"/>
        <w:ind w:firstLine="560" w:firstLineChars="200"/>
        <w:rPr>
          <w:color w:val="auto"/>
          <w:sz w:val="28"/>
          <w:szCs w:val="28"/>
        </w:rPr>
      </w:pPr>
      <w:r>
        <w:rPr>
          <w:rFonts w:hint="eastAsia" w:hAnsi="宋体"/>
          <w:color w:val="auto"/>
          <w:sz w:val="28"/>
          <w:szCs w:val="28"/>
        </w:rPr>
        <w:t>发生井喷</w:t>
      </w:r>
      <w:r>
        <w:rPr>
          <w:rFonts w:hAnsi="宋体"/>
          <w:color w:val="auto"/>
          <w:sz w:val="28"/>
          <w:szCs w:val="28"/>
        </w:rPr>
        <w:t>事故时</w:t>
      </w:r>
      <w:r>
        <w:rPr>
          <w:rFonts w:hint="eastAsia" w:hAnsi="宋体"/>
          <w:color w:val="auto"/>
          <w:sz w:val="28"/>
          <w:szCs w:val="28"/>
        </w:rPr>
        <w:t>钻井液</w:t>
      </w:r>
      <w:r>
        <w:rPr>
          <w:rFonts w:hAnsi="宋体"/>
          <w:color w:val="auto"/>
          <w:sz w:val="28"/>
          <w:szCs w:val="28"/>
        </w:rPr>
        <w:t>或</w:t>
      </w:r>
      <w:r>
        <w:rPr>
          <w:rFonts w:hint="eastAsia" w:hAnsi="宋体"/>
          <w:color w:val="auto"/>
          <w:sz w:val="28"/>
          <w:szCs w:val="28"/>
        </w:rPr>
        <w:t>钻井污水</w:t>
      </w:r>
      <w:r>
        <w:rPr>
          <w:rFonts w:hAnsi="宋体"/>
          <w:color w:val="auto"/>
          <w:sz w:val="28"/>
          <w:szCs w:val="28"/>
        </w:rPr>
        <w:t>泄漏渗入土壤孔隙，会降低土壤的通透性，抑制土壤中酶活性，使土壤生物减少。一般而言，</w:t>
      </w:r>
      <w:r>
        <w:rPr>
          <w:rFonts w:hint="eastAsia" w:hAnsi="宋体"/>
          <w:color w:val="auto"/>
          <w:sz w:val="28"/>
          <w:szCs w:val="28"/>
        </w:rPr>
        <w:t>泄露的废弃</w:t>
      </w:r>
      <w:r>
        <w:rPr>
          <w:rFonts w:hAnsi="宋体"/>
          <w:color w:val="auto"/>
          <w:sz w:val="28"/>
          <w:szCs w:val="28"/>
        </w:rPr>
        <w:t>泥浆或</w:t>
      </w:r>
      <w:r>
        <w:rPr>
          <w:rFonts w:hint="eastAsia" w:hAnsi="宋体"/>
          <w:color w:val="auto"/>
          <w:sz w:val="28"/>
          <w:szCs w:val="28"/>
        </w:rPr>
        <w:t>污油污水</w:t>
      </w:r>
      <w:r>
        <w:rPr>
          <w:rFonts w:hAnsi="宋体"/>
          <w:color w:val="auto"/>
          <w:sz w:val="28"/>
          <w:szCs w:val="28"/>
        </w:rPr>
        <w:t>集中于土壤表层0～30cm的范围内，使得根系分布于此深度的植物不能生长。</w:t>
      </w:r>
      <w:r>
        <w:rPr>
          <w:rFonts w:hint="eastAsia" w:hAnsi="宋体"/>
          <w:color w:val="auto"/>
          <w:sz w:val="28"/>
          <w:szCs w:val="28"/>
        </w:rPr>
        <w:t>污油中的</w:t>
      </w:r>
      <w:r>
        <w:rPr>
          <w:rFonts w:hAnsi="宋体"/>
          <w:color w:val="auto"/>
          <w:sz w:val="28"/>
          <w:szCs w:val="28"/>
        </w:rPr>
        <w:t>石油类对土壤的污染，可使土地肥力下降，改变土壤的理化性质，影响局部区域土壤正常的结构和功能。</w:t>
      </w:r>
    </w:p>
    <w:p>
      <w:pPr>
        <w:pStyle w:val="6"/>
        <w:numPr>
          <w:ilvl w:val="3"/>
          <w:numId w:val="4"/>
        </w:numPr>
        <w:bidi w:val="0"/>
        <w:rPr>
          <w:color w:val="auto"/>
        </w:rPr>
      </w:pPr>
      <w:r>
        <w:rPr>
          <w:color w:val="auto"/>
        </w:rPr>
        <w:t>柴油储罐泄漏环境风险分析</w:t>
      </w:r>
    </w:p>
    <w:p>
      <w:pPr>
        <w:spacing w:line="480" w:lineRule="exact"/>
        <w:ind w:firstLine="560" w:firstLineChars="200"/>
        <w:rPr>
          <w:color w:val="auto"/>
          <w:sz w:val="28"/>
          <w:szCs w:val="28"/>
        </w:rPr>
      </w:pPr>
      <w:r>
        <w:rPr>
          <w:rFonts w:hAnsi="宋体"/>
          <w:color w:val="auto"/>
          <w:sz w:val="28"/>
          <w:szCs w:val="28"/>
        </w:rPr>
        <w:t>本工程钻井井场设柴油储罐</w:t>
      </w:r>
      <w:r>
        <w:rPr>
          <w:color w:val="auto"/>
          <w:sz w:val="28"/>
          <w:szCs w:val="28"/>
        </w:rPr>
        <w:t>2</w:t>
      </w:r>
      <w:r>
        <w:rPr>
          <w:rFonts w:hAnsi="宋体"/>
          <w:color w:val="auto"/>
          <w:sz w:val="28"/>
          <w:szCs w:val="28"/>
        </w:rPr>
        <w:t>座，柴油储存量为</w:t>
      </w:r>
      <w:r>
        <w:rPr>
          <w:rFonts w:hint="eastAsia"/>
          <w:color w:val="auto"/>
          <w:sz w:val="28"/>
          <w:szCs w:val="28"/>
          <w:lang w:val="en-US" w:eastAsia="zh-CN"/>
        </w:rPr>
        <w:t>5</w:t>
      </w:r>
      <w:r>
        <w:rPr>
          <w:rFonts w:hint="eastAsia"/>
          <w:color w:val="auto"/>
          <w:sz w:val="28"/>
          <w:szCs w:val="28"/>
        </w:rPr>
        <w:t>0</w:t>
      </w:r>
      <w:r>
        <w:rPr>
          <w:color w:val="auto"/>
          <w:sz w:val="28"/>
          <w:szCs w:val="28"/>
        </w:rPr>
        <w:t>t</w:t>
      </w:r>
      <w:bookmarkStart w:id="613" w:name="_Hlt111542729"/>
      <w:r>
        <w:rPr>
          <w:rFonts w:hAnsi="宋体"/>
          <w:color w:val="auto"/>
          <w:sz w:val="28"/>
          <w:szCs w:val="28"/>
        </w:rPr>
        <w:t>，</w:t>
      </w:r>
      <w:bookmarkEnd w:id="613"/>
      <w:r>
        <w:rPr>
          <w:rFonts w:hAnsi="宋体"/>
          <w:color w:val="auto"/>
          <w:sz w:val="28"/>
          <w:szCs w:val="28"/>
        </w:rPr>
        <w:t>其主要环境风险来自罐体破裂导致的柴油泄漏对环境可能造成的影响。</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）地下水环境影响分析</w:t>
      </w:r>
    </w:p>
    <w:p>
      <w:pPr>
        <w:spacing w:line="480" w:lineRule="exact"/>
        <w:ind w:firstLine="560" w:firstLineChars="200"/>
        <w:rPr>
          <w:color w:val="auto"/>
          <w:sz w:val="28"/>
          <w:szCs w:val="28"/>
        </w:rPr>
      </w:pPr>
      <w:r>
        <w:rPr>
          <w:rFonts w:hAnsi="宋体"/>
          <w:color w:val="auto"/>
          <w:sz w:val="28"/>
          <w:szCs w:val="28"/>
        </w:rPr>
        <w:t>储油罐的泄漏对地下水的污染较为严重，地下水一旦遭到成品油的污染，将使地下水产生严重异味，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本项目柴油储存采用卧式罐，罐体架设在两个承台基础之上，如果发生泄漏，很容易发现并能够及时回收处理；而且罐区进行了防渗处理，并设置了围堰，即使发生泄漏，油品将由于防渗层的保护作用，积聚在围堰内，不会对地下水环境产生影响。</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）大气环境影响分析</w:t>
      </w:r>
    </w:p>
    <w:p>
      <w:pPr>
        <w:spacing w:line="480" w:lineRule="exact"/>
        <w:ind w:firstLine="560" w:firstLineChars="200"/>
        <w:rPr>
          <w:color w:val="auto"/>
          <w:sz w:val="28"/>
          <w:szCs w:val="28"/>
        </w:rPr>
      </w:pPr>
      <w:r>
        <w:rPr>
          <w:rFonts w:hAnsi="宋体"/>
          <w:color w:val="auto"/>
          <w:sz w:val="28"/>
          <w:szCs w:val="28"/>
        </w:rPr>
        <w:t>根据国内外的研究，对于突发性的事故溢油，油品溢出后在地面呈不规则的面源分布，油品的挥发速度重要影响因素为油品蒸汽压、现场风速、油品溢出面积、油品蒸汽分子平均重度。本项目柴油储存采用卧式罐，一旦发生泄漏，可及时发现，油品泄漏量较小，泄漏出的油品将积聚在围堰内。由于柴油的沸点较高（约</w:t>
      </w:r>
      <w:r>
        <w:rPr>
          <w:color w:val="auto"/>
          <w:sz w:val="28"/>
          <w:szCs w:val="28"/>
        </w:rPr>
        <w:t>180-370</w:t>
      </w:r>
      <w:r>
        <w:rPr>
          <w:rFonts w:hAnsi="宋体"/>
          <w:color w:val="auto"/>
          <w:sz w:val="28"/>
          <w:szCs w:val="28"/>
        </w:rPr>
        <w:t>℃），挥发性较差，对大气环境影响较小。</w:t>
      </w:r>
    </w:p>
    <w:p>
      <w:pPr>
        <w:pStyle w:val="5"/>
        <w:numPr>
          <w:ilvl w:val="2"/>
          <w:numId w:val="4"/>
        </w:numPr>
        <w:bidi w:val="0"/>
        <w:rPr>
          <w:color w:val="auto"/>
        </w:rPr>
      </w:pPr>
      <w:r>
        <w:rPr>
          <w:color w:val="auto"/>
        </w:rPr>
        <w:t>环境风险评价结论</w:t>
      </w:r>
    </w:p>
    <w:p>
      <w:pPr>
        <w:spacing w:line="480" w:lineRule="exact"/>
        <w:ind w:firstLine="560" w:firstLineChars="200"/>
        <w:rPr>
          <w:rFonts w:hint="eastAsia" w:hAnsi="宋体"/>
          <w:color w:val="auto"/>
          <w:sz w:val="28"/>
          <w:szCs w:val="28"/>
        </w:rPr>
      </w:pPr>
      <w:r>
        <w:rPr>
          <w:rFonts w:hAnsi="宋体"/>
          <w:color w:val="auto"/>
          <w:sz w:val="28"/>
          <w:szCs w:val="28"/>
        </w:rPr>
        <w:t>通过对本工程产能建设工程的环境风险分析可知，本工程的主要环境风险是井喷、油气泄漏和火灾爆炸，对区域内的水环境和空气环境有潜在危害性。在工程采取一系列风险防范措施和应急措施后，可以控制和降低工程发生事故情况下对周围环境的影响。但建设单位应加强员工的环保教育和培训，完善项目的事故应急预案，并定期演习，可有效减轻事故发生时对周围环境的危害。</w:t>
      </w:r>
    </w:p>
    <w:p>
      <w:pPr>
        <w:spacing w:line="480" w:lineRule="exact"/>
        <w:ind w:firstLine="560" w:firstLineChars="200"/>
        <w:rPr>
          <w:rFonts w:hint="eastAsia" w:hAnsi="宋体"/>
          <w:color w:val="auto"/>
          <w:sz w:val="28"/>
          <w:szCs w:val="28"/>
        </w:rPr>
      </w:pPr>
    </w:p>
    <w:p>
      <w:pPr>
        <w:spacing w:line="480" w:lineRule="exact"/>
        <w:ind w:firstLine="560" w:firstLineChars="200"/>
        <w:rPr>
          <w:rFonts w:hint="eastAsia" w:hAnsi="宋体"/>
          <w:color w:val="auto"/>
          <w:sz w:val="28"/>
          <w:szCs w:val="28"/>
        </w:rPr>
      </w:pPr>
    </w:p>
    <w:p>
      <w:pPr>
        <w:spacing w:line="480" w:lineRule="exact"/>
        <w:ind w:firstLine="560" w:firstLineChars="200"/>
        <w:rPr>
          <w:rFonts w:hint="eastAsia" w:hAnsi="宋体"/>
          <w:color w:val="auto"/>
          <w:sz w:val="28"/>
          <w:szCs w:val="28"/>
        </w:rPr>
      </w:pPr>
    </w:p>
    <w:p>
      <w:pPr>
        <w:spacing w:line="480" w:lineRule="exact"/>
        <w:ind w:firstLine="560" w:firstLineChars="200"/>
        <w:rPr>
          <w:rFonts w:hint="eastAsia" w:hAnsi="宋体"/>
          <w:color w:val="auto"/>
          <w:sz w:val="28"/>
          <w:szCs w:val="28"/>
        </w:rPr>
      </w:pPr>
    </w:p>
    <w:p>
      <w:pPr>
        <w:spacing w:line="480" w:lineRule="exact"/>
        <w:ind w:firstLine="560" w:firstLineChars="200"/>
        <w:rPr>
          <w:rFonts w:hint="eastAsia" w:hAnsi="宋体"/>
          <w:color w:val="auto"/>
          <w:sz w:val="28"/>
          <w:szCs w:val="28"/>
        </w:rPr>
      </w:pPr>
    </w:p>
    <w:p>
      <w:pPr>
        <w:spacing w:line="480" w:lineRule="exact"/>
        <w:ind w:firstLine="560" w:firstLineChars="200"/>
        <w:rPr>
          <w:rFonts w:hint="eastAsia" w:hAnsi="宋体"/>
          <w:color w:val="auto"/>
          <w:sz w:val="28"/>
          <w:szCs w:val="28"/>
        </w:rPr>
      </w:pPr>
    </w:p>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Pr>
        <w:pStyle w:val="3"/>
        <w:numPr>
          <w:ilvl w:val="0"/>
          <w:numId w:val="4"/>
        </w:numPr>
        <w:bidi w:val="0"/>
        <w:rPr>
          <w:color w:val="auto"/>
        </w:rPr>
      </w:pPr>
      <w:bookmarkStart w:id="614" w:name="_Toc189535436"/>
      <w:bookmarkStart w:id="615" w:name="_Toc196215812"/>
      <w:bookmarkStart w:id="616" w:name="_Toc96083876"/>
      <w:bookmarkStart w:id="617" w:name="_Toc29195"/>
      <w:bookmarkStart w:id="618" w:name="_Toc109128037"/>
      <w:bookmarkStart w:id="619" w:name="_Toc77144394"/>
      <w:r>
        <w:rPr>
          <w:color w:val="auto"/>
        </w:rPr>
        <w:t>环境保护措施</w:t>
      </w:r>
      <w:bookmarkEnd w:id="614"/>
      <w:bookmarkEnd w:id="615"/>
      <w:r>
        <w:rPr>
          <w:color w:val="auto"/>
        </w:rPr>
        <w:t>及可行性论证</w:t>
      </w:r>
      <w:bookmarkEnd w:id="616"/>
      <w:bookmarkEnd w:id="617"/>
    </w:p>
    <w:p>
      <w:pPr>
        <w:pStyle w:val="4"/>
        <w:numPr>
          <w:ilvl w:val="1"/>
          <w:numId w:val="4"/>
        </w:numPr>
        <w:bidi w:val="0"/>
        <w:rPr>
          <w:rFonts w:ascii="Times New Roman" w:hAnsi="Times New Roman" w:eastAsia="宋体"/>
          <w:b w:val="0"/>
          <w:snapToGrid w:val="0"/>
          <w:color w:val="auto"/>
          <w:kern w:val="0"/>
          <w:sz w:val="30"/>
          <w:szCs w:val="30"/>
        </w:rPr>
      </w:pPr>
      <w:bookmarkStart w:id="620" w:name="_Toc96083877"/>
      <w:bookmarkStart w:id="621" w:name="_Toc196215813"/>
      <w:bookmarkStart w:id="622" w:name="_Toc30882"/>
      <w:r>
        <w:rPr>
          <w:rFonts w:ascii="Times New Roman" w:hAnsi="宋体" w:eastAsia="宋体"/>
          <w:b w:val="0"/>
          <w:snapToGrid w:val="0"/>
          <w:color w:val="auto"/>
          <w:kern w:val="0"/>
          <w:sz w:val="30"/>
          <w:szCs w:val="30"/>
        </w:rPr>
        <w:t>污染防治措施</w:t>
      </w:r>
      <w:bookmarkEnd w:id="620"/>
      <w:bookmarkEnd w:id="621"/>
      <w:bookmarkEnd w:id="622"/>
    </w:p>
    <w:p>
      <w:pPr>
        <w:pStyle w:val="5"/>
        <w:numPr>
          <w:ilvl w:val="2"/>
          <w:numId w:val="4"/>
        </w:numPr>
        <w:bidi w:val="0"/>
        <w:rPr>
          <w:color w:val="auto"/>
        </w:rPr>
      </w:pPr>
      <w:bookmarkStart w:id="623" w:name="_Toc196215814"/>
      <w:r>
        <w:rPr>
          <w:color w:val="auto"/>
        </w:rPr>
        <w:t>大气污染防治措施</w:t>
      </w:r>
      <w:bookmarkEnd w:id="623"/>
    </w:p>
    <w:p>
      <w:pPr>
        <w:spacing w:line="480" w:lineRule="exact"/>
        <w:ind w:firstLine="576"/>
        <w:jc w:val="left"/>
        <w:rPr>
          <w:color w:val="auto"/>
          <w:kern w:val="0"/>
          <w:sz w:val="28"/>
          <w:szCs w:val="28"/>
          <w:lang w:eastAsia="zh-TW"/>
        </w:rPr>
      </w:pPr>
      <w:r>
        <w:rPr>
          <w:rFonts w:hint="eastAsia"/>
          <w:color w:val="auto"/>
          <w:kern w:val="0"/>
          <w:sz w:val="28"/>
          <w:szCs w:val="28"/>
          <w:lang w:eastAsia="zh-TW"/>
        </w:rPr>
        <w:t>（</w:t>
      </w:r>
      <w:r>
        <w:rPr>
          <w:color w:val="auto"/>
          <w:kern w:val="0"/>
          <w:sz w:val="28"/>
          <w:szCs w:val="28"/>
          <w:lang w:eastAsia="zh-TW"/>
        </w:rPr>
        <w:t>1</w:t>
      </w:r>
      <w:r>
        <w:rPr>
          <w:rFonts w:hint="eastAsia"/>
          <w:color w:val="auto"/>
          <w:kern w:val="0"/>
          <w:sz w:val="28"/>
          <w:szCs w:val="28"/>
          <w:lang w:eastAsia="zh-TW"/>
        </w:rPr>
        <w:t>）钻前准备期间涉及部分土建作业，应保持运输车辆完好，不超载，采取遮盖、密闭措施，定时洒水压尘，减少运输过程中的扬尘。</w:t>
      </w:r>
      <w:r>
        <w:rPr>
          <w:color w:val="auto"/>
          <w:kern w:val="0"/>
          <w:sz w:val="28"/>
          <w:szCs w:val="28"/>
          <w:lang w:eastAsia="zh-TW"/>
        </w:rPr>
        <w:t xml:space="preserve"> </w:t>
      </w:r>
    </w:p>
    <w:p>
      <w:pPr>
        <w:spacing w:line="480" w:lineRule="exact"/>
        <w:ind w:firstLine="576"/>
        <w:jc w:val="left"/>
        <w:rPr>
          <w:color w:val="auto"/>
          <w:kern w:val="0"/>
          <w:sz w:val="28"/>
          <w:szCs w:val="28"/>
          <w:lang w:eastAsia="zh-TW"/>
        </w:rPr>
      </w:pPr>
      <w:r>
        <w:rPr>
          <w:rFonts w:hint="eastAsia"/>
          <w:color w:val="auto"/>
          <w:kern w:val="0"/>
          <w:sz w:val="28"/>
          <w:szCs w:val="28"/>
          <w:lang w:eastAsia="zh-TW"/>
        </w:rPr>
        <w:t>（</w:t>
      </w:r>
      <w:r>
        <w:rPr>
          <w:color w:val="auto"/>
          <w:kern w:val="0"/>
          <w:sz w:val="28"/>
          <w:szCs w:val="28"/>
          <w:lang w:eastAsia="zh-TW"/>
        </w:rPr>
        <w:t>2</w:t>
      </w:r>
      <w:r>
        <w:rPr>
          <w:rFonts w:hint="eastAsia"/>
          <w:color w:val="auto"/>
          <w:kern w:val="0"/>
          <w:sz w:val="28"/>
          <w:szCs w:val="28"/>
          <w:lang w:eastAsia="zh-TW"/>
        </w:rPr>
        <w:t>）井场内进行合理化管理，统一堆放材料，水泥、膨润土等易产尘原辅材料堆放于专门设置的材料房内，尽量减少搬运环节，搬运时轻举轻放，防止包装袋破裂。</w:t>
      </w:r>
    </w:p>
    <w:p>
      <w:pPr>
        <w:spacing w:line="480" w:lineRule="exact"/>
        <w:ind w:firstLine="576"/>
        <w:jc w:val="left"/>
        <w:rPr>
          <w:color w:val="auto"/>
          <w:kern w:val="0"/>
          <w:sz w:val="28"/>
          <w:szCs w:val="28"/>
          <w:lang w:eastAsia="zh-TW"/>
        </w:rPr>
      </w:pPr>
      <w:r>
        <w:rPr>
          <w:rFonts w:hint="eastAsia"/>
          <w:color w:val="auto"/>
          <w:kern w:val="0"/>
          <w:sz w:val="28"/>
          <w:szCs w:val="28"/>
          <w:lang w:eastAsia="zh-TW"/>
        </w:rPr>
        <w:t>（</w:t>
      </w:r>
      <w:r>
        <w:rPr>
          <w:color w:val="auto"/>
          <w:kern w:val="0"/>
          <w:sz w:val="28"/>
          <w:szCs w:val="28"/>
          <w:lang w:eastAsia="zh-TW"/>
        </w:rPr>
        <w:t>3</w:t>
      </w:r>
      <w:r>
        <w:rPr>
          <w:rFonts w:hint="eastAsia"/>
          <w:color w:val="auto"/>
          <w:kern w:val="0"/>
          <w:sz w:val="28"/>
          <w:szCs w:val="28"/>
          <w:lang w:eastAsia="zh-TW"/>
        </w:rPr>
        <w:t>）运输车辆在通过软土路面等路段应控制车速；在运输车辆进出场沿途软土路面地段应适当采取洒水抑尘等措施降低扬尘。</w:t>
      </w:r>
      <w:r>
        <w:rPr>
          <w:color w:val="auto"/>
          <w:kern w:val="0"/>
          <w:sz w:val="28"/>
          <w:szCs w:val="28"/>
          <w:lang w:eastAsia="zh-TW"/>
        </w:rPr>
        <w:t xml:space="preserve"> </w:t>
      </w:r>
    </w:p>
    <w:p>
      <w:pPr>
        <w:spacing w:line="480" w:lineRule="exact"/>
        <w:ind w:firstLine="576"/>
        <w:jc w:val="left"/>
        <w:rPr>
          <w:color w:val="auto"/>
          <w:kern w:val="0"/>
          <w:sz w:val="28"/>
          <w:szCs w:val="28"/>
          <w:lang w:eastAsia="zh-TW"/>
        </w:rPr>
      </w:pPr>
      <w:r>
        <w:rPr>
          <w:rFonts w:hint="eastAsia"/>
          <w:color w:val="auto"/>
          <w:kern w:val="0"/>
          <w:sz w:val="28"/>
          <w:szCs w:val="28"/>
          <w:lang w:eastAsia="zh-TW"/>
        </w:rPr>
        <w:t>（</w:t>
      </w:r>
      <w:r>
        <w:rPr>
          <w:color w:val="auto"/>
          <w:kern w:val="0"/>
          <w:sz w:val="28"/>
          <w:szCs w:val="28"/>
          <w:lang w:eastAsia="zh-TW"/>
        </w:rPr>
        <w:t>4</w:t>
      </w:r>
      <w:r>
        <w:rPr>
          <w:rFonts w:hint="eastAsia"/>
          <w:color w:val="auto"/>
          <w:kern w:val="0"/>
          <w:sz w:val="28"/>
          <w:szCs w:val="28"/>
          <w:lang w:eastAsia="zh-TW"/>
        </w:rPr>
        <w:t>）通过采取合理化管理，严格控制作业面积，易产尘材料全部存放于室内，大风天停止作业等措施，施工扬尘对周围环境空气的影响会明显降低。</w:t>
      </w:r>
      <w:r>
        <w:rPr>
          <w:color w:val="auto"/>
          <w:kern w:val="0"/>
          <w:sz w:val="28"/>
          <w:szCs w:val="28"/>
          <w:lang w:eastAsia="zh-TW"/>
        </w:rPr>
        <w:t xml:space="preserve"> </w:t>
      </w:r>
    </w:p>
    <w:p>
      <w:pPr>
        <w:spacing w:line="480" w:lineRule="exact"/>
        <w:ind w:firstLine="576"/>
        <w:jc w:val="left"/>
        <w:rPr>
          <w:color w:val="auto"/>
          <w:kern w:val="0"/>
          <w:sz w:val="28"/>
          <w:szCs w:val="28"/>
          <w:lang w:eastAsia="zh-TW"/>
        </w:rPr>
      </w:pPr>
      <w:r>
        <w:rPr>
          <w:rFonts w:hint="eastAsia"/>
          <w:color w:val="auto"/>
          <w:kern w:val="0"/>
          <w:sz w:val="28"/>
          <w:szCs w:val="28"/>
          <w:lang w:eastAsia="zh-TW"/>
        </w:rPr>
        <w:t>（</w:t>
      </w:r>
      <w:r>
        <w:rPr>
          <w:color w:val="auto"/>
          <w:kern w:val="0"/>
          <w:sz w:val="28"/>
          <w:szCs w:val="28"/>
          <w:lang w:eastAsia="zh-TW"/>
        </w:rPr>
        <w:t>5</w:t>
      </w:r>
      <w:r>
        <w:rPr>
          <w:rFonts w:hint="eastAsia"/>
          <w:color w:val="auto"/>
          <w:kern w:val="0"/>
          <w:sz w:val="28"/>
          <w:szCs w:val="28"/>
          <w:lang w:eastAsia="zh-TW"/>
        </w:rPr>
        <w:t>）柴油机发电机采用合格轻质柴油，柴油暂存和储运罐均密闭，加强柴油机设备保养，使设备在良好、稳定状态下运行，减少燃油废气排放和环境影响。</w:t>
      </w:r>
      <w:r>
        <w:rPr>
          <w:color w:val="auto"/>
          <w:kern w:val="0"/>
          <w:sz w:val="28"/>
          <w:szCs w:val="28"/>
          <w:lang w:eastAsia="zh-TW"/>
        </w:rPr>
        <w:t xml:space="preserve"> </w:t>
      </w:r>
    </w:p>
    <w:p>
      <w:pPr>
        <w:spacing w:line="480" w:lineRule="exact"/>
        <w:ind w:firstLine="576"/>
        <w:jc w:val="left"/>
        <w:rPr>
          <w:color w:val="auto"/>
          <w:kern w:val="0"/>
          <w:sz w:val="28"/>
          <w:szCs w:val="28"/>
          <w:lang w:eastAsia="zh-TW"/>
        </w:rPr>
      </w:pPr>
      <w:r>
        <w:rPr>
          <w:rFonts w:hint="eastAsia"/>
          <w:color w:val="auto"/>
          <w:kern w:val="0"/>
          <w:sz w:val="28"/>
          <w:szCs w:val="28"/>
          <w:lang w:eastAsia="zh-TW"/>
        </w:rPr>
        <w:t>（</w:t>
      </w:r>
      <w:r>
        <w:rPr>
          <w:color w:val="auto"/>
          <w:kern w:val="0"/>
          <w:sz w:val="28"/>
          <w:szCs w:val="28"/>
          <w:lang w:eastAsia="zh-TW"/>
        </w:rPr>
        <w:t>6</w:t>
      </w:r>
      <w:r>
        <w:rPr>
          <w:rFonts w:hint="eastAsia"/>
          <w:color w:val="auto"/>
          <w:kern w:val="0"/>
          <w:sz w:val="28"/>
          <w:szCs w:val="28"/>
          <w:lang w:eastAsia="zh-TW"/>
        </w:rPr>
        <w:t>）试气作业期间产气不直接放空，全部引入火炬充分燃烧后排放。</w:t>
      </w:r>
      <w:r>
        <w:rPr>
          <w:color w:val="auto"/>
          <w:kern w:val="0"/>
          <w:sz w:val="28"/>
          <w:szCs w:val="28"/>
          <w:lang w:eastAsia="zh-TW"/>
        </w:rPr>
        <w:t xml:space="preserve"> </w:t>
      </w:r>
    </w:p>
    <w:p>
      <w:pPr>
        <w:spacing w:line="480" w:lineRule="exact"/>
        <w:ind w:firstLine="576"/>
        <w:jc w:val="left"/>
        <w:rPr>
          <w:color w:val="auto"/>
          <w:kern w:val="0"/>
          <w:sz w:val="28"/>
          <w:szCs w:val="28"/>
          <w:lang w:eastAsia="zh-TW"/>
        </w:rPr>
      </w:pPr>
      <w:r>
        <w:rPr>
          <w:rFonts w:hint="eastAsia"/>
          <w:color w:val="auto"/>
          <w:kern w:val="0"/>
          <w:sz w:val="28"/>
          <w:szCs w:val="28"/>
          <w:lang w:eastAsia="zh-TW"/>
        </w:rPr>
        <w:t>（</w:t>
      </w:r>
      <w:r>
        <w:rPr>
          <w:rFonts w:hint="eastAsia"/>
          <w:color w:val="auto"/>
          <w:kern w:val="0"/>
          <w:sz w:val="28"/>
          <w:szCs w:val="28"/>
        </w:rPr>
        <w:t>7</w:t>
      </w:r>
      <w:r>
        <w:rPr>
          <w:rFonts w:hint="eastAsia"/>
          <w:color w:val="auto"/>
          <w:kern w:val="0"/>
          <w:sz w:val="28"/>
          <w:szCs w:val="28"/>
          <w:lang w:eastAsia="zh-TW"/>
        </w:rPr>
        <w:t>）放空火炬仅在施工期设置，并用于燃烧试气作业期间井场产生的天然气，火炬设置自动点火装置，确保引入火炬的气体充分燃烧后排放。</w:t>
      </w:r>
      <w:r>
        <w:rPr>
          <w:color w:val="auto"/>
          <w:kern w:val="0"/>
          <w:sz w:val="28"/>
          <w:szCs w:val="28"/>
          <w:lang w:eastAsia="zh-TW"/>
        </w:rPr>
        <w:t xml:space="preserve"> </w:t>
      </w:r>
    </w:p>
    <w:p>
      <w:pPr>
        <w:spacing w:line="480" w:lineRule="exact"/>
        <w:ind w:firstLine="576"/>
        <w:jc w:val="left"/>
        <w:rPr>
          <w:color w:val="auto"/>
          <w:kern w:val="0"/>
          <w:sz w:val="28"/>
          <w:szCs w:val="28"/>
          <w:lang w:eastAsia="zh-TW"/>
        </w:rPr>
      </w:pPr>
      <w:r>
        <w:rPr>
          <w:rFonts w:hint="eastAsia"/>
          <w:color w:val="auto"/>
          <w:kern w:val="0"/>
          <w:sz w:val="28"/>
          <w:szCs w:val="28"/>
          <w:lang w:eastAsia="zh-TW"/>
        </w:rPr>
        <w:t>（</w:t>
      </w:r>
      <w:r>
        <w:rPr>
          <w:rFonts w:hint="eastAsia"/>
          <w:color w:val="auto"/>
          <w:kern w:val="0"/>
          <w:sz w:val="28"/>
          <w:szCs w:val="28"/>
        </w:rPr>
        <w:t>8</w:t>
      </w:r>
      <w:r>
        <w:rPr>
          <w:rFonts w:hint="eastAsia"/>
          <w:color w:val="auto"/>
          <w:kern w:val="0"/>
          <w:sz w:val="28"/>
          <w:szCs w:val="28"/>
          <w:lang w:eastAsia="zh-TW"/>
        </w:rPr>
        <w:t>）放空火炬布置于井口下风向处，距离井口预留</w:t>
      </w:r>
      <w:r>
        <w:rPr>
          <w:color w:val="auto"/>
          <w:kern w:val="0"/>
          <w:sz w:val="28"/>
          <w:szCs w:val="28"/>
          <w:lang w:eastAsia="zh-TW"/>
        </w:rPr>
        <w:t>50m</w:t>
      </w:r>
      <w:r>
        <w:rPr>
          <w:rFonts w:hint="eastAsia"/>
          <w:color w:val="auto"/>
          <w:kern w:val="0"/>
          <w:sz w:val="28"/>
          <w:szCs w:val="28"/>
          <w:lang w:eastAsia="zh-TW"/>
        </w:rPr>
        <w:t>安全距离，确保使用安全。</w:t>
      </w:r>
    </w:p>
    <w:p>
      <w:pPr>
        <w:spacing w:line="480" w:lineRule="exact"/>
        <w:ind w:firstLine="576"/>
        <w:jc w:val="left"/>
        <w:rPr>
          <w:rFonts w:hint="eastAsia"/>
          <w:color w:val="auto"/>
          <w:kern w:val="0"/>
          <w:sz w:val="28"/>
          <w:szCs w:val="28"/>
        </w:rPr>
      </w:pPr>
      <w:r>
        <w:rPr>
          <w:rFonts w:hAnsi="宋体"/>
          <w:color w:val="auto"/>
          <w:kern w:val="0"/>
          <w:sz w:val="28"/>
          <w:szCs w:val="28"/>
          <w:lang w:eastAsia="zh-TW"/>
        </w:rPr>
        <w:t>通过采取上述措施，能够确保施工场界扬尘浓度满足《大气污染物综合排放标准》（</w:t>
      </w:r>
      <w:r>
        <w:rPr>
          <w:color w:val="auto"/>
          <w:kern w:val="0"/>
          <w:sz w:val="28"/>
          <w:szCs w:val="28"/>
          <w:lang w:eastAsia="zh-TW"/>
        </w:rPr>
        <w:t>GB16297-1996</w:t>
      </w:r>
      <w:r>
        <w:rPr>
          <w:rFonts w:hAnsi="宋体"/>
          <w:color w:val="auto"/>
          <w:kern w:val="0"/>
          <w:sz w:val="28"/>
          <w:szCs w:val="28"/>
          <w:lang w:eastAsia="zh-TW"/>
        </w:rPr>
        <w:t>）中表</w:t>
      </w:r>
      <w:r>
        <w:rPr>
          <w:color w:val="auto"/>
          <w:kern w:val="0"/>
          <w:sz w:val="28"/>
          <w:szCs w:val="28"/>
          <w:lang w:eastAsia="zh-TW"/>
        </w:rPr>
        <w:t>2</w:t>
      </w:r>
      <w:r>
        <w:rPr>
          <w:rFonts w:hAnsi="宋体"/>
          <w:color w:val="auto"/>
          <w:kern w:val="0"/>
          <w:sz w:val="28"/>
          <w:szCs w:val="28"/>
          <w:lang w:eastAsia="zh-TW"/>
        </w:rPr>
        <w:t>无组织排放监控浓度限值</w:t>
      </w:r>
      <w:r>
        <w:rPr>
          <w:color w:val="auto"/>
          <w:kern w:val="0"/>
          <w:sz w:val="28"/>
          <w:szCs w:val="28"/>
        </w:rPr>
        <w:t>1.0mg/m</w:t>
      </w:r>
      <w:r>
        <w:rPr>
          <w:color w:val="auto"/>
          <w:kern w:val="0"/>
          <w:sz w:val="28"/>
          <w:szCs w:val="28"/>
          <w:vertAlign w:val="superscript"/>
        </w:rPr>
        <w:t>3</w:t>
      </w:r>
      <w:r>
        <w:rPr>
          <w:rFonts w:hAnsi="宋体"/>
          <w:color w:val="auto"/>
          <w:kern w:val="0"/>
          <w:sz w:val="28"/>
          <w:szCs w:val="28"/>
          <w:lang w:eastAsia="zh-TW"/>
        </w:rPr>
        <w:t>要求，不会对大气环境产生较大影响，施工期大气污染防治措施可行。</w:t>
      </w:r>
    </w:p>
    <w:p>
      <w:pPr>
        <w:pStyle w:val="5"/>
        <w:numPr>
          <w:ilvl w:val="2"/>
          <w:numId w:val="4"/>
        </w:numPr>
        <w:bidi w:val="0"/>
        <w:rPr>
          <w:color w:val="auto"/>
        </w:rPr>
      </w:pPr>
      <w:r>
        <w:rPr>
          <w:rFonts w:hint="eastAsia"/>
          <w:color w:val="auto"/>
        </w:rPr>
        <w:t>地表水污染防治措施</w:t>
      </w:r>
    </w:p>
    <w:p>
      <w:pPr>
        <w:snapToGrid w:val="0"/>
        <w:spacing w:line="480" w:lineRule="exact"/>
        <w:ind w:firstLine="560" w:firstLineChars="200"/>
        <w:rPr>
          <w:rFonts w:hint="eastAsia" w:hAnsi="宋体"/>
          <w:snapToGrid w:val="0"/>
          <w:color w:val="auto"/>
          <w:kern w:val="0"/>
          <w:sz w:val="28"/>
          <w:szCs w:val="28"/>
        </w:rPr>
      </w:pPr>
      <w:r>
        <w:rPr>
          <w:rFonts w:hint="eastAsia" w:hAnsi="宋体"/>
          <w:snapToGrid w:val="0"/>
          <w:color w:val="auto"/>
          <w:kern w:val="0"/>
          <w:sz w:val="28"/>
          <w:szCs w:val="28"/>
        </w:rPr>
        <w:t>本工程施工期废水包括钻井废水及人员生活污水等，</w:t>
      </w:r>
      <w:r>
        <w:rPr>
          <w:rFonts w:hint="eastAsia" w:hAnsi="宋体"/>
          <w:color w:val="auto"/>
          <w:sz w:val="28"/>
          <w:szCs w:val="28"/>
        </w:rPr>
        <w:t>其中钻井废水</w:t>
      </w:r>
      <w:r>
        <w:rPr>
          <w:rFonts w:hAnsi="宋体"/>
          <w:color w:val="auto"/>
          <w:sz w:val="28"/>
          <w:szCs w:val="28"/>
        </w:rPr>
        <w:t>产生量约</w:t>
      </w:r>
      <w:r>
        <w:rPr>
          <w:rFonts w:hint="eastAsia" w:hAnsi="宋体"/>
          <w:color w:val="auto"/>
          <w:sz w:val="28"/>
          <w:szCs w:val="28"/>
          <w:lang w:val="en-US" w:eastAsia="zh-CN"/>
        </w:rPr>
        <w:t>2100.4</w:t>
      </w:r>
      <w:r>
        <w:rPr>
          <w:rFonts w:hAnsi="宋体"/>
          <w:color w:val="auto"/>
          <w:sz w:val="28"/>
          <w:szCs w:val="28"/>
        </w:rPr>
        <w:t>m</w:t>
      </w:r>
      <w:r>
        <w:rPr>
          <w:rFonts w:hAnsi="宋体"/>
          <w:color w:val="auto"/>
          <w:sz w:val="28"/>
          <w:szCs w:val="28"/>
          <w:vertAlign w:val="superscript"/>
        </w:rPr>
        <w:t>3</w:t>
      </w:r>
      <w:r>
        <w:rPr>
          <w:rFonts w:hint="eastAsia" w:hAnsi="宋体"/>
          <w:color w:val="auto"/>
          <w:sz w:val="28"/>
          <w:szCs w:val="28"/>
        </w:rPr>
        <w:t>，与废弃泥浆、岩屑执行不落地收集处理工艺，废弃泥浆在井场进行固液分离处理。分离出的液相处理达标后循环利用</w:t>
      </w:r>
      <w:r>
        <w:rPr>
          <w:rFonts w:hint="eastAsia" w:hAnsi="宋体"/>
          <w:color w:val="auto"/>
          <w:sz w:val="28"/>
          <w:szCs w:val="28"/>
          <w:lang w:val="en-US" w:eastAsia="zh-CN"/>
        </w:rPr>
        <w:t>；施工</w:t>
      </w:r>
      <w:r>
        <w:rPr>
          <w:rFonts w:hint="eastAsia" w:hAnsi="宋体"/>
          <w:color w:val="auto"/>
          <w:sz w:val="28"/>
          <w:szCs w:val="28"/>
        </w:rPr>
        <w:t>人员生活污水</w:t>
      </w:r>
      <w:r>
        <w:rPr>
          <w:rFonts w:hAnsi="宋体"/>
          <w:color w:val="auto"/>
          <w:sz w:val="28"/>
          <w:szCs w:val="28"/>
        </w:rPr>
        <w:t>产生量约</w:t>
      </w:r>
      <w:r>
        <w:rPr>
          <w:rFonts w:hint="eastAsia" w:hAnsi="宋体"/>
          <w:color w:val="auto"/>
          <w:sz w:val="28"/>
          <w:szCs w:val="28"/>
          <w:lang w:val="en-US" w:eastAsia="zh-CN"/>
        </w:rPr>
        <w:t>4723.2</w:t>
      </w:r>
      <w:r>
        <w:rPr>
          <w:rFonts w:hAnsi="宋体"/>
          <w:color w:val="auto"/>
          <w:sz w:val="28"/>
          <w:szCs w:val="28"/>
        </w:rPr>
        <w:t>m</w:t>
      </w:r>
      <w:r>
        <w:rPr>
          <w:rFonts w:hAnsi="宋体"/>
          <w:color w:val="auto"/>
          <w:sz w:val="28"/>
          <w:szCs w:val="28"/>
          <w:vertAlign w:val="superscript"/>
        </w:rPr>
        <w:t>3</w:t>
      </w:r>
      <w:r>
        <w:rPr>
          <w:rFonts w:hint="eastAsia" w:hAnsi="宋体"/>
          <w:color w:val="auto"/>
          <w:sz w:val="28"/>
          <w:szCs w:val="28"/>
        </w:rPr>
        <w:t>，排入生活污水池内，施工结束后进行卫生填埋处理，不外排</w:t>
      </w:r>
      <w:r>
        <w:rPr>
          <w:rFonts w:hint="eastAsia" w:hAnsi="宋体"/>
          <w:snapToGrid w:val="0"/>
          <w:color w:val="auto"/>
          <w:kern w:val="0"/>
          <w:sz w:val="28"/>
          <w:szCs w:val="28"/>
        </w:rPr>
        <w:t>。</w:t>
      </w:r>
    </w:p>
    <w:p>
      <w:pPr>
        <w:snapToGrid w:val="0"/>
        <w:spacing w:line="480" w:lineRule="exact"/>
        <w:ind w:firstLine="560" w:firstLineChars="200"/>
        <w:rPr>
          <w:rFonts w:hint="eastAsia" w:hAnsi="宋体"/>
          <w:color w:val="auto"/>
          <w:sz w:val="28"/>
          <w:szCs w:val="28"/>
        </w:rPr>
      </w:pPr>
      <w:r>
        <w:rPr>
          <w:rFonts w:hint="eastAsia" w:hAnsi="宋体"/>
          <w:color w:val="auto"/>
          <w:sz w:val="28"/>
          <w:szCs w:val="28"/>
        </w:rPr>
        <w:t>本项目废水拉运过程要求建设拉运视频监控装置，并接入市局监控平台，废水拉运前向局申报，明确拉运量、拉运时间，并接受视频监管。总体而言，本工程施工期各类废水均能得到合理妥善处置不外排，工程采取的水污染防治措施可行。</w:t>
      </w:r>
    </w:p>
    <w:p>
      <w:pPr>
        <w:pStyle w:val="5"/>
        <w:numPr>
          <w:ilvl w:val="2"/>
          <w:numId w:val="4"/>
        </w:numPr>
        <w:bidi w:val="0"/>
        <w:rPr>
          <w:b w:val="0"/>
          <w:snapToGrid w:val="0"/>
          <w:color w:val="auto"/>
          <w:kern w:val="0"/>
          <w:sz w:val="28"/>
          <w:szCs w:val="28"/>
        </w:rPr>
      </w:pPr>
      <w:bookmarkStart w:id="624" w:name="_Toc196215815"/>
      <w:r>
        <w:rPr>
          <w:rFonts w:hint="eastAsia"/>
          <w:b w:val="0"/>
          <w:snapToGrid w:val="0"/>
          <w:color w:val="auto"/>
          <w:kern w:val="0"/>
          <w:sz w:val="28"/>
          <w:szCs w:val="28"/>
        </w:rPr>
        <w:t>地下</w:t>
      </w:r>
      <w:r>
        <w:rPr>
          <w:rFonts w:hAnsi="宋体"/>
          <w:b w:val="0"/>
          <w:snapToGrid w:val="0"/>
          <w:color w:val="auto"/>
          <w:kern w:val="0"/>
          <w:sz w:val="28"/>
          <w:szCs w:val="28"/>
        </w:rPr>
        <w:t>水污染防治措施</w:t>
      </w:r>
      <w:bookmarkEnd w:id="624"/>
    </w:p>
    <w:p>
      <w:pPr>
        <w:snapToGrid w:val="0"/>
        <w:spacing w:line="480" w:lineRule="exact"/>
        <w:ind w:firstLine="560" w:firstLineChars="200"/>
        <w:rPr>
          <w:rFonts w:hAnsi="宋体"/>
          <w:color w:val="auto"/>
          <w:sz w:val="28"/>
          <w:szCs w:val="28"/>
        </w:rPr>
      </w:pPr>
      <w:r>
        <w:rPr>
          <w:rFonts w:hint="eastAsia" w:hAnsi="宋体"/>
          <w:color w:val="auto"/>
          <w:sz w:val="28"/>
          <w:szCs w:val="28"/>
        </w:rPr>
        <w:t>本工程地下水污染防治措施按照</w:t>
      </w:r>
      <w:r>
        <w:rPr>
          <w:rFonts w:hAnsi="宋体"/>
          <w:color w:val="auto"/>
          <w:sz w:val="28"/>
          <w:szCs w:val="28"/>
        </w:rPr>
        <w:t>“</w:t>
      </w:r>
      <w:r>
        <w:rPr>
          <w:rFonts w:hint="eastAsia" w:hAnsi="宋体"/>
          <w:color w:val="auto"/>
          <w:sz w:val="28"/>
          <w:szCs w:val="28"/>
        </w:rPr>
        <w:t>源头控制、分区防治、污染监控、应急响应</w:t>
      </w:r>
      <w:r>
        <w:rPr>
          <w:rFonts w:hAnsi="宋体"/>
          <w:color w:val="auto"/>
          <w:sz w:val="28"/>
          <w:szCs w:val="28"/>
        </w:rPr>
        <w:t>”</w:t>
      </w:r>
      <w:r>
        <w:rPr>
          <w:rFonts w:hint="eastAsia" w:hAnsi="宋体"/>
          <w:color w:val="auto"/>
          <w:sz w:val="28"/>
          <w:szCs w:val="28"/>
        </w:rPr>
        <w:t>相结合的原则，从污染物的产生、入渗、扩散、应急响应进行控制。</w:t>
      </w:r>
    </w:p>
    <w:p>
      <w:pPr>
        <w:pStyle w:val="6"/>
        <w:numPr>
          <w:ilvl w:val="3"/>
          <w:numId w:val="4"/>
        </w:numPr>
        <w:bidi w:val="0"/>
        <w:rPr>
          <w:color w:val="auto"/>
        </w:rPr>
      </w:pPr>
      <w:r>
        <w:rPr>
          <w:rFonts w:hint="eastAsia"/>
          <w:color w:val="auto"/>
        </w:rPr>
        <w:t>源头控制措施</w:t>
      </w:r>
      <w:r>
        <w:rPr>
          <w:color w:val="auto"/>
        </w:rPr>
        <w:t xml:space="preserve"> </w:t>
      </w:r>
    </w:p>
    <w:p>
      <w:pPr>
        <w:snapToGrid w:val="0"/>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1</w:t>
      </w:r>
      <w:r>
        <w:rPr>
          <w:rFonts w:hint="eastAsia" w:hAnsi="宋体"/>
          <w:color w:val="auto"/>
          <w:sz w:val="28"/>
          <w:szCs w:val="28"/>
        </w:rPr>
        <w:t>）本工程在施工建设前应充分研究地质设计和钻井设计等资料，并在此基础上优化钻井施工工艺、泥浆体系等，防范钻井过程中可能发生的泥浆漏失情况。钻井施工过程在套管的保护下能有效地保护浅层地下水，需注意防范套管破损等风险，防止钻井液对浅层地下水造成影响。</w:t>
      </w:r>
      <w:r>
        <w:rPr>
          <w:rFonts w:hAnsi="宋体"/>
          <w:color w:val="auto"/>
          <w:sz w:val="28"/>
          <w:szCs w:val="28"/>
        </w:rPr>
        <w:t xml:space="preserve"> </w:t>
      </w:r>
    </w:p>
    <w:p>
      <w:pPr>
        <w:snapToGrid w:val="0"/>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2</w:t>
      </w:r>
      <w:r>
        <w:rPr>
          <w:rFonts w:hint="eastAsia" w:hAnsi="宋体"/>
          <w:color w:val="auto"/>
          <w:sz w:val="28"/>
          <w:szCs w:val="28"/>
        </w:rPr>
        <w:t>）振动筛使用占钻井液循环时间的</w:t>
      </w:r>
      <w:r>
        <w:rPr>
          <w:rFonts w:hAnsi="宋体"/>
          <w:color w:val="auto"/>
          <w:sz w:val="28"/>
          <w:szCs w:val="28"/>
        </w:rPr>
        <w:t>100%</w:t>
      </w:r>
      <w:r>
        <w:rPr>
          <w:rFonts w:hint="eastAsia" w:hAnsi="宋体"/>
          <w:color w:val="auto"/>
          <w:sz w:val="28"/>
          <w:szCs w:val="28"/>
        </w:rPr>
        <w:t>，振动筛筛布要求不低于</w:t>
      </w:r>
      <w:r>
        <w:rPr>
          <w:rFonts w:hAnsi="宋体"/>
          <w:color w:val="auto"/>
          <w:sz w:val="28"/>
          <w:szCs w:val="28"/>
        </w:rPr>
        <w:t>140</w:t>
      </w:r>
      <w:r>
        <w:rPr>
          <w:rFonts w:hint="eastAsia" w:hAnsi="宋体"/>
          <w:color w:val="auto"/>
          <w:sz w:val="28"/>
          <w:szCs w:val="28"/>
        </w:rPr>
        <w:t>目，应使用好固控设备，控制无用固相和含砂量，保证钻井液密度和含砂量不超过设计要求。</w:t>
      </w:r>
    </w:p>
    <w:p>
      <w:pPr>
        <w:snapToGrid w:val="0"/>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3</w:t>
      </w:r>
      <w:r>
        <w:rPr>
          <w:rFonts w:hint="eastAsia" w:hAnsi="宋体"/>
          <w:color w:val="auto"/>
          <w:sz w:val="28"/>
          <w:szCs w:val="28"/>
        </w:rPr>
        <w:t>）钻开油气层前应调整好钻井液性能，降低钻井液滤失量，使钻井液滤失量不大于</w:t>
      </w:r>
      <w:r>
        <w:rPr>
          <w:rFonts w:hAnsi="宋体"/>
          <w:color w:val="auto"/>
          <w:sz w:val="28"/>
          <w:szCs w:val="28"/>
        </w:rPr>
        <w:t>4mL</w:t>
      </w:r>
      <w:r>
        <w:rPr>
          <w:rFonts w:hint="eastAsia" w:hAnsi="宋体"/>
          <w:color w:val="auto"/>
          <w:sz w:val="28"/>
          <w:szCs w:val="28"/>
        </w:rPr>
        <w:t>。</w:t>
      </w:r>
    </w:p>
    <w:p>
      <w:pPr>
        <w:snapToGrid w:val="0"/>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4</w:t>
      </w:r>
      <w:r>
        <w:rPr>
          <w:rFonts w:hint="eastAsia" w:hAnsi="宋体"/>
          <w:color w:val="auto"/>
          <w:sz w:val="28"/>
          <w:szCs w:val="28"/>
        </w:rPr>
        <w:t>）钻开油气层后，在气层部位起下钻速度不大于</w:t>
      </w:r>
      <w:r>
        <w:rPr>
          <w:rFonts w:hAnsi="宋体"/>
          <w:color w:val="auto"/>
          <w:sz w:val="28"/>
          <w:szCs w:val="28"/>
        </w:rPr>
        <w:t>0.5m/s</w:t>
      </w:r>
      <w:r>
        <w:rPr>
          <w:rFonts w:hint="eastAsia" w:hAnsi="宋体"/>
          <w:color w:val="auto"/>
          <w:sz w:val="28"/>
          <w:szCs w:val="28"/>
        </w:rPr>
        <w:t>，操作要平稳，减少激动压力和抽汲压力。</w:t>
      </w:r>
    </w:p>
    <w:p>
      <w:pPr>
        <w:snapToGrid w:val="0"/>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5</w:t>
      </w:r>
      <w:r>
        <w:rPr>
          <w:rFonts w:hint="eastAsia" w:hAnsi="宋体"/>
          <w:color w:val="auto"/>
          <w:sz w:val="28"/>
          <w:szCs w:val="28"/>
        </w:rPr>
        <w:t>）</w:t>
      </w:r>
      <w:r>
        <w:rPr>
          <w:rFonts w:hAnsi="宋体"/>
          <w:snapToGrid w:val="0"/>
          <w:color w:val="auto"/>
          <w:kern w:val="0"/>
          <w:sz w:val="28"/>
          <w:szCs w:val="28"/>
        </w:rPr>
        <w:t>为了避免污染地下水，钻井施工采用</w:t>
      </w:r>
      <w:r>
        <w:rPr>
          <w:rFonts w:hint="eastAsia" w:hAnsi="宋体"/>
          <w:snapToGrid w:val="0"/>
          <w:color w:val="auto"/>
          <w:kern w:val="0"/>
          <w:sz w:val="28"/>
          <w:szCs w:val="28"/>
          <w:lang w:val="en-US" w:eastAsia="zh-CN"/>
        </w:rPr>
        <w:t>环保型</w:t>
      </w:r>
      <w:r>
        <w:rPr>
          <w:rFonts w:hint="eastAsia" w:hAnsi="宋体"/>
          <w:color w:val="auto"/>
          <w:sz w:val="28"/>
          <w:szCs w:val="28"/>
        </w:rPr>
        <w:t>钻井液</w:t>
      </w:r>
      <w:r>
        <w:rPr>
          <w:rFonts w:hint="eastAsia" w:hAnsi="宋体"/>
          <w:snapToGrid w:val="0"/>
          <w:color w:val="auto"/>
          <w:kern w:val="0"/>
          <w:sz w:val="28"/>
          <w:szCs w:val="28"/>
        </w:rPr>
        <w:t>；</w:t>
      </w:r>
      <w:r>
        <w:rPr>
          <w:rFonts w:hint="eastAsia" w:hAnsi="宋体"/>
          <w:color w:val="auto"/>
          <w:sz w:val="28"/>
          <w:szCs w:val="28"/>
        </w:rPr>
        <w:t>钻井液密度要严格执行设计，正常施工情况下（无油气侵等复杂情况）钻井液密度宜接近设计下限。</w:t>
      </w:r>
    </w:p>
    <w:p>
      <w:pPr>
        <w:snapToGrid w:val="0"/>
        <w:spacing w:line="480" w:lineRule="exact"/>
        <w:ind w:firstLine="560" w:firstLineChars="200"/>
        <w:rPr>
          <w:rFonts w:hint="eastAsia" w:hAnsi="宋体"/>
          <w:color w:val="auto"/>
          <w:sz w:val="28"/>
          <w:szCs w:val="28"/>
        </w:rPr>
      </w:pPr>
      <w:r>
        <w:rPr>
          <w:rFonts w:hint="eastAsia" w:hAnsi="宋体"/>
          <w:color w:val="auto"/>
          <w:sz w:val="28"/>
          <w:szCs w:val="28"/>
        </w:rPr>
        <w:t>（</w:t>
      </w:r>
      <w:r>
        <w:rPr>
          <w:rFonts w:hAnsi="宋体"/>
          <w:color w:val="auto"/>
          <w:sz w:val="28"/>
          <w:szCs w:val="28"/>
        </w:rPr>
        <w:t>6</w:t>
      </w:r>
      <w:r>
        <w:rPr>
          <w:rFonts w:hint="eastAsia" w:hAnsi="宋体"/>
          <w:color w:val="auto"/>
          <w:sz w:val="28"/>
          <w:szCs w:val="28"/>
        </w:rPr>
        <w:t>）井施工中应加强管理和生产组织协调，维护好设备，认真做好井漏、井喷、井塌及卡钻的预防工作，避免在钻开油气层后组织停工，确保钻井完井施工顺利进行，以减少固相对油气层的堵塞和滤液对油气层的浸泡时间。</w:t>
      </w:r>
    </w:p>
    <w:p>
      <w:pPr>
        <w:snapToGrid w:val="0"/>
        <w:spacing w:line="480" w:lineRule="exact"/>
        <w:ind w:firstLine="560" w:firstLineChars="200"/>
        <w:rPr>
          <w:snapToGrid w:val="0"/>
          <w:color w:val="auto"/>
          <w:kern w:val="0"/>
          <w:sz w:val="28"/>
          <w:szCs w:val="28"/>
        </w:rPr>
      </w:pPr>
      <w:r>
        <w:rPr>
          <w:rFonts w:hint="eastAsia" w:hAnsi="宋体"/>
          <w:color w:val="auto"/>
          <w:sz w:val="28"/>
          <w:szCs w:val="28"/>
        </w:rPr>
        <w:t>（</w:t>
      </w:r>
      <w:r>
        <w:rPr>
          <w:rFonts w:hAnsi="宋体"/>
          <w:color w:val="auto"/>
          <w:sz w:val="28"/>
          <w:szCs w:val="28"/>
        </w:rPr>
        <w:t>7</w:t>
      </w:r>
      <w:r>
        <w:rPr>
          <w:rFonts w:hint="eastAsia" w:hAnsi="宋体"/>
          <w:color w:val="auto"/>
          <w:sz w:val="28"/>
          <w:szCs w:val="28"/>
        </w:rPr>
        <w:t>）在施工过程中要做好</w:t>
      </w:r>
      <w:r>
        <w:rPr>
          <w:rFonts w:hAnsi="宋体"/>
          <w:snapToGrid w:val="0"/>
          <w:color w:val="auto"/>
          <w:kern w:val="0"/>
          <w:sz w:val="28"/>
          <w:szCs w:val="28"/>
        </w:rPr>
        <w:t>对废钻井液、岩屑、钻井污水的回收处理工作，消除对地下水的污染隐患。</w:t>
      </w:r>
    </w:p>
    <w:p>
      <w:pPr>
        <w:snapToGrid w:val="0"/>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8</w:t>
      </w:r>
      <w:r>
        <w:rPr>
          <w:rFonts w:hint="eastAsia" w:hAnsi="宋体"/>
          <w:color w:val="auto"/>
          <w:sz w:val="28"/>
          <w:szCs w:val="28"/>
        </w:rPr>
        <w:t>）废弃物拉运车辆须在转运过程做好转运台账，严格执行废弃物转运签认和交接清单制度；运输前规划运输路线，转运过程中应严格按照规定的路线运输到相应的目的地；运输过程中应尽量避开环境敏感区；对拉运过程进行严格监督管理，运输车辆、装卸工具必须符合安全环保要求，装卸和运输废弃物过程中不得溢出和渗漏，严禁半途倾倒、排放或向第三方转移废弃物。</w:t>
      </w:r>
      <w:r>
        <w:rPr>
          <w:rFonts w:hAnsi="宋体"/>
          <w:color w:val="auto"/>
          <w:sz w:val="28"/>
          <w:szCs w:val="28"/>
        </w:rPr>
        <w:t xml:space="preserve"> </w:t>
      </w:r>
    </w:p>
    <w:p>
      <w:pPr>
        <w:snapToGrid w:val="0"/>
        <w:spacing w:line="480" w:lineRule="exact"/>
        <w:ind w:firstLine="560" w:firstLineChars="200"/>
        <w:rPr>
          <w:rFonts w:hAnsi="宋体"/>
          <w:color w:val="auto"/>
          <w:sz w:val="28"/>
          <w:szCs w:val="28"/>
        </w:rPr>
      </w:pPr>
      <w:r>
        <w:rPr>
          <w:rFonts w:hint="eastAsia" w:hAnsi="宋体"/>
          <w:color w:val="auto"/>
          <w:sz w:val="28"/>
          <w:szCs w:val="28"/>
        </w:rPr>
        <w:t>（9）每次钻井结束后的固井作业可有效封隔地层与套管之间的环空，防止污染地下水。</w:t>
      </w:r>
      <w:r>
        <w:rPr>
          <w:rFonts w:hAnsi="宋体"/>
          <w:color w:val="auto"/>
          <w:sz w:val="28"/>
          <w:szCs w:val="28"/>
        </w:rPr>
        <w:t>选用高标号的固井水泥，提高固井质量</w:t>
      </w:r>
      <w:r>
        <w:rPr>
          <w:rFonts w:hint="eastAsia" w:hAnsi="宋体"/>
          <w:color w:val="auto"/>
          <w:sz w:val="28"/>
          <w:szCs w:val="28"/>
        </w:rPr>
        <w:t>，</w:t>
      </w:r>
      <w:r>
        <w:rPr>
          <w:rFonts w:hAnsi="宋体"/>
          <w:snapToGrid w:val="0"/>
          <w:color w:val="auto"/>
          <w:kern w:val="0"/>
          <w:sz w:val="28"/>
          <w:szCs w:val="28"/>
        </w:rPr>
        <w:t>固井水泥浆必须返至</w:t>
      </w:r>
      <w:r>
        <w:rPr>
          <w:rFonts w:hint="eastAsia" w:hAnsi="宋体"/>
          <w:snapToGrid w:val="0"/>
          <w:color w:val="auto"/>
          <w:kern w:val="0"/>
          <w:sz w:val="28"/>
          <w:szCs w:val="28"/>
        </w:rPr>
        <w:t>地面</w:t>
      </w:r>
      <w:r>
        <w:rPr>
          <w:rFonts w:hAnsi="宋体"/>
          <w:snapToGrid w:val="0"/>
          <w:color w:val="auto"/>
          <w:kern w:val="0"/>
          <w:sz w:val="28"/>
          <w:szCs w:val="28"/>
        </w:rPr>
        <w:t>，确保安全封闭此深度内的潜水层和承压水层</w:t>
      </w:r>
      <w:r>
        <w:rPr>
          <w:rFonts w:hint="eastAsia" w:hAnsi="宋体"/>
          <w:snapToGrid w:val="0"/>
          <w:color w:val="auto"/>
          <w:kern w:val="0"/>
          <w:sz w:val="28"/>
          <w:szCs w:val="28"/>
        </w:rPr>
        <w:t>，</w:t>
      </w:r>
      <w:r>
        <w:rPr>
          <w:rFonts w:hint="eastAsia" w:hAnsi="宋体"/>
          <w:color w:val="auto"/>
          <w:sz w:val="28"/>
          <w:szCs w:val="28"/>
        </w:rPr>
        <w:t>可有效防止因为井漏事故造成的地下水环境污染。</w:t>
      </w:r>
    </w:p>
    <w:p>
      <w:pPr>
        <w:spacing w:line="480" w:lineRule="exact"/>
        <w:ind w:firstLine="560" w:firstLineChars="200"/>
        <w:rPr>
          <w:rFonts w:hint="eastAsia"/>
          <w:color w:val="auto"/>
          <w:sz w:val="28"/>
          <w:szCs w:val="28"/>
        </w:rPr>
      </w:pPr>
      <w:r>
        <w:rPr>
          <w:rFonts w:hAnsi="宋体"/>
          <w:color w:val="auto"/>
          <w:sz w:val="28"/>
          <w:szCs w:val="28"/>
        </w:rPr>
        <w:t>（</w:t>
      </w:r>
      <w:r>
        <w:rPr>
          <w:rFonts w:hint="eastAsia"/>
          <w:color w:val="auto"/>
          <w:sz w:val="28"/>
          <w:szCs w:val="28"/>
        </w:rPr>
        <w:t>10</w:t>
      </w:r>
      <w:r>
        <w:rPr>
          <w:rFonts w:hAnsi="宋体"/>
          <w:color w:val="auto"/>
          <w:sz w:val="28"/>
          <w:szCs w:val="28"/>
        </w:rPr>
        <w:t>）采用欠平衡钻井技术，控制好钻井液比重，保证钻井液不会进入地下水含水层</w:t>
      </w:r>
      <w:r>
        <w:rPr>
          <w:rFonts w:hint="eastAsia" w:hAnsi="宋体"/>
          <w:color w:val="auto"/>
          <w:sz w:val="28"/>
          <w:szCs w:val="28"/>
        </w:rPr>
        <w:t>。</w:t>
      </w:r>
    </w:p>
    <w:p>
      <w:pPr>
        <w:spacing w:line="480" w:lineRule="exact"/>
        <w:ind w:firstLine="560" w:firstLineChars="200"/>
        <w:rPr>
          <w:color w:val="auto"/>
          <w:sz w:val="28"/>
          <w:szCs w:val="28"/>
        </w:rPr>
      </w:pPr>
      <w:r>
        <w:rPr>
          <w:rFonts w:hAnsi="宋体"/>
          <w:color w:val="auto"/>
          <w:sz w:val="28"/>
          <w:szCs w:val="28"/>
        </w:rPr>
        <w:t>（</w:t>
      </w:r>
      <w:r>
        <w:rPr>
          <w:rFonts w:hint="eastAsia"/>
          <w:color w:val="auto"/>
          <w:sz w:val="28"/>
          <w:szCs w:val="28"/>
        </w:rPr>
        <w:t>11</w:t>
      </w:r>
      <w:r>
        <w:rPr>
          <w:rFonts w:hAnsi="宋体"/>
          <w:color w:val="auto"/>
          <w:sz w:val="28"/>
          <w:szCs w:val="28"/>
        </w:rPr>
        <w:t>）定期对</w:t>
      </w:r>
      <w:r>
        <w:rPr>
          <w:rFonts w:hint="eastAsia" w:hAnsi="宋体"/>
          <w:color w:val="auto"/>
          <w:sz w:val="28"/>
          <w:szCs w:val="28"/>
          <w:lang w:eastAsia="zh-CN"/>
        </w:rPr>
        <w:t>注采井</w:t>
      </w:r>
      <w:r>
        <w:rPr>
          <w:rFonts w:hAnsi="宋体"/>
          <w:color w:val="auto"/>
          <w:sz w:val="28"/>
          <w:szCs w:val="28"/>
        </w:rPr>
        <w:t>的套管情况进行检测，发现异常情况及时处理。</w:t>
      </w:r>
    </w:p>
    <w:p>
      <w:pPr>
        <w:pStyle w:val="6"/>
        <w:numPr>
          <w:ilvl w:val="3"/>
          <w:numId w:val="4"/>
        </w:numPr>
        <w:bidi w:val="0"/>
        <w:rPr>
          <w:color w:val="auto"/>
        </w:rPr>
      </w:pPr>
      <w:r>
        <w:rPr>
          <w:color w:val="auto"/>
        </w:rPr>
        <w:t>分区防渗措施</w:t>
      </w:r>
    </w:p>
    <w:p>
      <w:pPr>
        <w:spacing w:line="480" w:lineRule="exact"/>
        <w:ind w:firstLine="560" w:firstLineChars="200"/>
        <w:rPr>
          <w:rFonts w:hint="eastAsia" w:hAnsi="宋体"/>
          <w:color w:val="auto"/>
          <w:sz w:val="28"/>
          <w:szCs w:val="28"/>
        </w:rPr>
      </w:pPr>
      <w:r>
        <w:rPr>
          <w:rFonts w:hint="eastAsia" w:hAnsi="宋体"/>
          <w:color w:val="auto"/>
          <w:sz w:val="28"/>
          <w:szCs w:val="28"/>
        </w:rPr>
        <w:t>本工程正常状况下施工期对区域地下水环境影响极小，事故状况下井场物料泄漏、垂直下渗将对区域地下水环境产生不利影响。为防范施工期对地下水环境产生不利影响，本次评价要求对施工期井场采取相应分区防渗措施：</w:t>
      </w:r>
    </w:p>
    <w:p>
      <w:pPr>
        <w:pStyle w:val="83"/>
        <w:bidi w:val="0"/>
        <w:rPr>
          <w:color w:val="auto"/>
        </w:rPr>
      </w:pPr>
      <w:r>
        <w:rPr>
          <w:rFonts w:hint="default"/>
          <w:color w:val="auto"/>
          <w:lang w:val="en-US" w:eastAsia="zh-CN"/>
        </w:rPr>
        <w:t>1</w:t>
      </w:r>
      <w:r>
        <w:rPr>
          <w:rFonts w:hint="eastAsia"/>
          <w:color w:val="auto"/>
          <w:lang w:val="en-US" w:eastAsia="zh-CN"/>
        </w:rPr>
        <w:t xml:space="preserve">）重点防渗区 </w:t>
      </w:r>
    </w:p>
    <w:p>
      <w:pPr>
        <w:pStyle w:val="83"/>
        <w:bidi w:val="0"/>
        <w:rPr>
          <w:color w:val="auto"/>
        </w:rPr>
      </w:pPr>
      <w:r>
        <w:rPr>
          <w:rFonts w:hint="eastAsia"/>
          <w:color w:val="auto"/>
          <w:lang w:val="en-US" w:eastAsia="zh-CN"/>
        </w:rPr>
        <w:t xml:space="preserve">本项目对柴油灌区、钻井泥浆的井场钢制泥浆槽、泥浆循环罐区和放喷区进行重点防渗处理，铺设厚 </w:t>
      </w:r>
      <w:r>
        <w:rPr>
          <w:rFonts w:hint="default"/>
          <w:color w:val="auto"/>
          <w:lang w:val="en-US" w:eastAsia="zh-CN"/>
        </w:rPr>
        <w:t xml:space="preserve">2mm </w:t>
      </w:r>
      <w:r>
        <w:rPr>
          <w:rFonts w:hint="eastAsia"/>
          <w:color w:val="auto"/>
          <w:lang w:val="en-US" w:eastAsia="zh-CN"/>
        </w:rPr>
        <w:t xml:space="preserve">聚乙烯土工膜构筑防渗层，防渗系数 </w:t>
      </w:r>
      <w:r>
        <w:rPr>
          <w:rFonts w:hint="default"/>
          <w:color w:val="auto"/>
          <w:lang w:val="en-US" w:eastAsia="zh-CN"/>
        </w:rPr>
        <w:t>K</w:t>
      </w:r>
      <w:r>
        <w:rPr>
          <w:rFonts w:hint="eastAsia"/>
          <w:color w:val="auto"/>
          <w:lang w:val="en-US" w:eastAsia="zh-CN"/>
        </w:rPr>
        <w:t>≤</w:t>
      </w:r>
      <w:r>
        <w:rPr>
          <w:rFonts w:hint="default"/>
          <w:color w:val="auto"/>
          <w:lang w:val="en-US" w:eastAsia="zh-CN"/>
        </w:rPr>
        <w:t xml:space="preserve">1.0×10-13cm/s </w:t>
      </w:r>
      <w:r>
        <w:rPr>
          <w:rFonts w:hint="eastAsia"/>
          <w:color w:val="auto"/>
          <w:lang w:val="en-US" w:eastAsia="zh-CN"/>
        </w:rPr>
        <w:t xml:space="preserve">。 防 渗 性 能 等 效 黏 土 防 渗 层 </w:t>
      </w:r>
      <w:r>
        <w:rPr>
          <w:rFonts w:hint="default"/>
          <w:color w:val="auto"/>
          <w:lang w:val="en-US" w:eastAsia="zh-CN"/>
        </w:rPr>
        <w:t>Mb</w:t>
      </w:r>
      <w:r>
        <w:rPr>
          <w:rFonts w:hint="eastAsia"/>
          <w:color w:val="auto"/>
          <w:lang w:val="en-US" w:eastAsia="zh-CN"/>
        </w:rPr>
        <w:t>≥</w:t>
      </w:r>
      <w:r>
        <w:rPr>
          <w:rFonts w:hint="default"/>
          <w:color w:val="auto"/>
          <w:lang w:val="en-US" w:eastAsia="zh-CN"/>
        </w:rPr>
        <w:t xml:space="preserve">6.0m </w:t>
      </w:r>
      <w:r>
        <w:rPr>
          <w:rFonts w:hint="eastAsia"/>
          <w:color w:val="auto"/>
          <w:lang w:val="en-US" w:eastAsia="zh-CN"/>
        </w:rPr>
        <w:t>、</w:t>
      </w:r>
      <w:r>
        <w:rPr>
          <w:rFonts w:hint="default"/>
          <w:color w:val="auto"/>
          <w:lang w:val="en-US" w:eastAsia="zh-CN"/>
        </w:rPr>
        <w:t>K</w:t>
      </w:r>
      <w:r>
        <w:rPr>
          <w:rFonts w:hint="eastAsia"/>
          <w:color w:val="auto"/>
          <w:lang w:val="en-US" w:eastAsia="zh-CN"/>
        </w:rPr>
        <w:t>≤</w:t>
      </w:r>
      <w:r>
        <w:rPr>
          <w:rFonts w:hint="default"/>
          <w:color w:val="auto"/>
          <w:lang w:val="en-US" w:eastAsia="zh-CN"/>
        </w:rPr>
        <w:t>1.0×10-7 cm/s</w:t>
      </w:r>
      <w:r>
        <w:rPr>
          <w:rFonts w:hint="eastAsia"/>
          <w:color w:val="auto"/>
          <w:lang w:val="en-US" w:eastAsia="zh-CN"/>
        </w:rPr>
        <w:t>。防渗性能满足《环境影响评价技术导则</w:t>
      </w:r>
      <w:r>
        <w:rPr>
          <w:rFonts w:hint="default"/>
          <w:color w:val="auto"/>
          <w:lang w:val="en-US" w:eastAsia="zh-CN"/>
        </w:rPr>
        <w:t>-</w:t>
      </w:r>
      <w:r>
        <w:rPr>
          <w:rFonts w:hint="eastAsia"/>
          <w:color w:val="auto"/>
          <w:lang w:val="en-US" w:eastAsia="zh-CN"/>
        </w:rPr>
        <w:t>地下水环境》 （</w:t>
      </w:r>
      <w:r>
        <w:rPr>
          <w:rFonts w:hint="default"/>
          <w:color w:val="auto"/>
          <w:lang w:val="en-US" w:eastAsia="zh-CN"/>
        </w:rPr>
        <w:t>HJ610-2016</w:t>
      </w:r>
      <w:r>
        <w:rPr>
          <w:rFonts w:hint="eastAsia"/>
          <w:color w:val="auto"/>
          <w:lang w:val="en-US" w:eastAsia="zh-CN"/>
        </w:rPr>
        <w:t xml:space="preserve">）中等效黏土防渗层 </w:t>
      </w:r>
      <w:r>
        <w:rPr>
          <w:rFonts w:hint="default"/>
          <w:color w:val="auto"/>
          <w:lang w:val="en-US" w:eastAsia="zh-CN"/>
        </w:rPr>
        <w:t>Mb</w:t>
      </w:r>
      <w:r>
        <w:rPr>
          <w:rFonts w:hint="eastAsia"/>
          <w:color w:val="auto"/>
          <w:lang w:val="en-US" w:eastAsia="zh-CN"/>
        </w:rPr>
        <w:t>≥</w:t>
      </w:r>
      <w:r>
        <w:rPr>
          <w:rFonts w:hint="default"/>
          <w:color w:val="auto"/>
          <w:lang w:val="en-US" w:eastAsia="zh-CN"/>
        </w:rPr>
        <w:t>6.0m</w:t>
      </w:r>
      <w:r>
        <w:rPr>
          <w:rFonts w:hint="eastAsia"/>
          <w:color w:val="auto"/>
          <w:lang w:val="en-US" w:eastAsia="zh-CN"/>
        </w:rPr>
        <w:t>、</w:t>
      </w:r>
      <w:r>
        <w:rPr>
          <w:rFonts w:hint="default"/>
          <w:color w:val="auto"/>
          <w:lang w:val="en-US" w:eastAsia="zh-CN"/>
        </w:rPr>
        <w:t>K</w:t>
      </w:r>
      <w:r>
        <w:rPr>
          <w:rFonts w:hint="eastAsia"/>
          <w:color w:val="auto"/>
          <w:lang w:val="en-US" w:eastAsia="zh-CN"/>
        </w:rPr>
        <w:t>≤</w:t>
      </w:r>
      <w:r>
        <w:rPr>
          <w:rFonts w:hint="default"/>
          <w:color w:val="auto"/>
          <w:lang w:val="en-US" w:eastAsia="zh-CN"/>
        </w:rPr>
        <w:t xml:space="preserve">1.0×10-7 cm/s </w:t>
      </w:r>
      <w:r>
        <w:rPr>
          <w:rFonts w:hint="eastAsia"/>
          <w:color w:val="auto"/>
          <w:lang w:val="en-US" w:eastAsia="zh-CN"/>
        </w:rPr>
        <w:t xml:space="preserve">的重点防渗要求。通过上述措施之后，根据以往工程经验可知，罐体渗漏的可能性很小，因此不会对地下水产生大的影响。 </w:t>
      </w:r>
    </w:p>
    <w:p>
      <w:pPr>
        <w:pStyle w:val="83"/>
        <w:bidi w:val="0"/>
        <w:rPr>
          <w:color w:val="auto"/>
        </w:rPr>
      </w:pPr>
      <w:r>
        <w:rPr>
          <w:rFonts w:hint="default"/>
          <w:color w:val="auto"/>
          <w:lang w:val="en-US" w:eastAsia="zh-CN"/>
        </w:rPr>
        <w:t>2</w:t>
      </w:r>
      <w:r>
        <w:rPr>
          <w:rFonts w:hint="eastAsia"/>
          <w:color w:val="auto"/>
          <w:lang w:val="en-US" w:eastAsia="zh-CN"/>
        </w:rPr>
        <w:t xml:space="preserve">）一般防渗区 </w:t>
      </w:r>
    </w:p>
    <w:p>
      <w:pPr>
        <w:pStyle w:val="83"/>
        <w:bidi w:val="0"/>
        <w:rPr>
          <w:color w:val="auto"/>
        </w:rPr>
      </w:pPr>
      <w:r>
        <w:rPr>
          <w:rFonts w:hint="eastAsia"/>
          <w:color w:val="auto"/>
          <w:lang w:val="en-US" w:eastAsia="zh-CN"/>
        </w:rPr>
        <w:t>各井场</w:t>
      </w:r>
      <w:r>
        <w:rPr>
          <w:rFonts w:hAnsi="宋体"/>
          <w:color w:val="auto"/>
          <w:sz w:val="28"/>
          <w:szCs w:val="28"/>
        </w:rPr>
        <w:t>生活污水池</w:t>
      </w:r>
      <w:r>
        <w:rPr>
          <w:rFonts w:hint="eastAsia" w:hAnsi="宋体"/>
          <w:color w:val="auto"/>
          <w:sz w:val="28"/>
          <w:szCs w:val="28"/>
        </w:rPr>
        <w:t>、材料房、机修房、计量池、储液罐</w:t>
      </w:r>
      <w:r>
        <w:rPr>
          <w:rFonts w:hint="eastAsia" w:hAnsi="宋体"/>
          <w:color w:val="auto"/>
          <w:sz w:val="28"/>
          <w:szCs w:val="28"/>
          <w:lang w:eastAsia="zh-CN"/>
        </w:rPr>
        <w:t>区</w:t>
      </w:r>
      <w:r>
        <w:rPr>
          <w:rFonts w:hint="eastAsia"/>
          <w:color w:val="auto"/>
          <w:lang w:val="en-US" w:eastAsia="zh-CN"/>
        </w:rPr>
        <w:t xml:space="preserve">属于一般防渗区，铺设 </w:t>
      </w:r>
      <w:r>
        <w:rPr>
          <w:rFonts w:hint="default"/>
          <w:color w:val="auto"/>
          <w:lang w:val="en-US" w:eastAsia="zh-CN"/>
        </w:rPr>
        <w:t xml:space="preserve">2mm </w:t>
      </w:r>
      <w:r>
        <w:rPr>
          <w:rFonts w:hint="eastAsia"/>
          <w:color w:val="auto"/>
          <w:lang w:val="en-US" w:eastAsia="zh-CN"/>
        </w:rPr>
        <w:t>厚聚乙烯膜构筑防渗层，防渗系数</w:t>
      </w:r>
      <w:r>
        <w:rPr>
          <w:rFonts w:hint="default"/>
          <w:color w:val="auto"/>
          <w:lang w:val="en-US" w:eastAsia="zh-CN"/>
        </w:rPr>
        <w:t>K</w:t>
      </w:r>
      <w:r>
        <w:rPr>
          <w:rFonts w:hint="eastAsia"/>
          <w:color w:val="auto"/>
          <w:lang w:val="en-US" w:eastAsia="zh-CN"/>
        </w:rPr>
        <w:t>≤</w:t>
      </w:r>
      <w:r>
        <w:rPr>
          <w:rFonts w:hint="default"/>
          <w:color w:val="auto"/>
          <w:lang w:val="en-US" w:eastAsia="zh-CN"/>
        </w:rPr>
        <w:t>1.0×10-10cm/s</w:t>
      </w:r>
      <w:r>
        <w:rPr>
          <w:rFonts w:hint="eastAsia"/>
          <w:color w:val="auto"/>
          <w:lang w:val="en-US" w:eastAsia="zh-CN"/>
        </w:rPr>
        <w:t>，防渗性能满足《环境影响评价技术导则</w:t>
      </w:r>
      <w:r>
        <w:rPr>
          <w:rFonts w:hint="default"/>
          <w:color w:val="auto"/>
          <w:lang w:val="en-US" w:eastAsia="zh-CN"/>
        </w:rPr>
        <w:t>-</w:t>
      </w:r>
      <w:r>
        <w:rPr>
          <w:rFonts w:hint="eastAsia"/>
          <w:color w:val="auto"/>
          <w:lang w:val="en-US" w:eastAsia="zh-CN"/>
        </w:rPr>
        <w:t>地下水环境》（</w:t>
      </w:r>
      <w:r>
        <w:rPr>
          <w:rFonts w:hint="default"/>
          <w:color w:val="auto"/>
          <w:lang w:val="en-US" w:eastAsia="zh-CN"/>
        </w:rPr>
        <w:t>HJ610-2016</w:t>
      </w:r>
      <w:r>
        <w:rPr>
          <w:rFonts w:hint="eastAsia"/>
          <w:color w:val="auto"/>
          <w:lang w:val="en-US" w:eastAsia="zh-CN"/>
        </w:rPr>
        <w:t xml:space="preserve">）中等效黏土防渗层 </w:t>
      </w:r>
      <w:r>
        <w:rPr>
          <w:rFonts w:hint="default"/>
          <w:color w:val="auto"/>
          <w:lang w:val="en-US" w:eastAsia="zh-CN"/>
        </w:rPr>
        <w:t>Mb</w:t>
      </w:r>
      <w:r>
        <w:rPr>
          <w:rFonts w:hint="eastAsia"/>
          <w:color w:val="auto"/>
          <w:lang w:val="en-US" w:eastAsia="zh-CN"/>
        </w:rPr>
        <w:t>≥</w:t>
      </w:r>
      <w:r>
        <w:rPr>
          <w:rFonts w:hint="default"/>
          <w:color w:val="auto"/>
          <w:lang w:val="en-US" w:eastAsia="zh-CN"/>
        </w:rPr>
        <w:t>1.5m</w:t>
      </w:r>
      <w:r>
        <w:rPr>
          <w:rFonts w:hint="eastAsia"/>
          <w:color w:val="auto"/>
          <w:lang w:val="en-US" w:eastAsia="zh-CN"/>
        </w:rPr>
        <w:t>，</w:t>
      </w:r>
      <w:r>
        <w:rPr>
          <w:rFonts w:hint="default"/>
          <w:color w:val="auto"/>
          <w:lang w:val="en-US" w:eastAsia="zh-CN"/>
        </w:rPr>
        <w:t>K</w:t>
      </w:r>
      <w:r>
        <w:rPr>
          <w:rFonts w:hint="eastAsia"/>
          <w:color w:val="auto"/>
          <w:lang w:val="en-US" w:eastAsia="zh-CN"/>
        </w:rPr>
        <w:t>≤</w:t>
      </w:r>
      <w:r>
        <w:rPr>
          <w:rFonts w:hint="default"/>
          <w:color w:val="auto"/>
          <w:lang w:val="en-US" w:eastAsia="zh-CN"/>
        </w:rPr>
        <w:t xml:space="preserve">1.0×10-7 cm/s </w:t>
      </w:r>
      <w:r>
        <w:rPr>
          <w:rFonts w:hint="eastAsia"/>
          <w:color w:val="auto"/>
          <w:lang w:val="en-US" w:eastAsia="zh-CN"/>
        </w:rPr>
        <w:t xml:space="preserve">的一般防渗要求。生活污水主要污染物为 </w:t>
      </w:r>
      <w:r>
        <w:rPr>
          <w:rFonts w:hint="default"/>
          <w:color w:val="auto"/>
          <w:lang w:val="en-US" w:eastAsia="zh-CN"/>
        </w:rPr>
        <w:t>COD</w:t>
      </w:r>
      <w:r>
        <w:rPr>
          <w:rFonts w:hint="eastAsia"/>
          <w:color w:val="auto"/>
          <w:lang w:val="en-US" w:eastAsia="zh-CN"/>
        </w:rPr>
        <w:t xml:space="preserve">、氨氮，施工结束后清掏旱厕并进行卫生填埋处理，不会对地下水产生大的影响。 </w:t>
      </w:r>
    </w:p>
    <w:p>
      <w:pPr>
        <w:pStyle w:val="83"/>
        <w:bidi w:val="0"/>
        <w:rPr>
          <w:color w:val="auto"/>
        </w:rPr>
      </w:pPr>
      <w:r>
        <w:rPr>
          <w:rFonts w:hint="default"/>
          <w:color w:val="auto"/>
          <w:lang w:val="en-US" w:eastAsia="zh-CN"/>
        </w:rPr>
        <w:t>3</w:t>
      </w:r>
      <w:r>
        <w:rPr>
          <w:rFonts w:hint="eastAsia"/>
          <w:color w:val="auto"/>
          <w:lang w:val="en-US" w:eastAsia="zh-CN"/>
        </w:rPr>
        <w:t xml:space="preserve">）简单防渗区 </w:t>
      </w:r>
    </w:p>
    <w:p>
      <w:pPr>
        <w:pStyle w:val="83"/>
        <w:bidi w:val="0"/>
        <w:rPr>
          <w:color w:val="auto"/>
        </w:rPr>
      </w:pPr>
      <w:r>
        <w:rPr>
          <w:rFonts w:hint="eastAsia"/>
          <w:color w:val="auto"/>
          <w:lang w:val="en-US" w:eastAsia="zh-CN"/>
        </w:rPr>
        <w:t>井场其余地面为简单防渗区，地面进行碾压平整、压实处理，进行简单防渗。</w:t>
      </w:r>
    </w:p>
    <w:p>
      <w:pPr>
        <w:spacing w:line="480" w:lineRule="exact"/>
        <w:ind w:firstLine="560" w:firstLineChars="200"/>
        <w:rPr>
          <w:color w:val="auto"/>
          <w:sz w:val="28"/>
          <w:szCs w:val="28"/>
        </w:rPr>
      </w:pPr>
      <w:r>
        <w:rPr>
          <w:rFonts w:hAnsi="宋体"/>
          <w:color w:val="auto"/>
          <w:sz w:val="28"/>
          <w:szCs w:val="28"/>
        </w:rPr>
        <w:t>井场分区防渗具体情况见表</w:t>
      </w:r>
      <w:r>
        <w:rPr>
          <w:rFonts w:hint="eastAsia"/>
          <w:color w:val="auto"/>
          <w:sz w:val="28"/>
          <w:szCs w:val="28"/>
        </w:rPr>
        <w:t>6</w:t>
      </w:r>
      <w:r>
        <w:rPr>
          <w:color w:val="auto"/>
          <w:sz w:val="28"/>
          <w:szCs w:val="28"/>
        </w:rPr>
        <w:t>.</w:t>
      </w:r>
      <w:r>
        <w:rPr>
          <w:rFonts w:hint="eastAsia"/>
          <w:color w:val="auto"/>
          <w:sz w:val="28"/>
          <w:szCs w:val="28"/>
        </w:rPr>
        <w:t>1-1</w:t>
      </w:r>
      <w:r>
        <w:rPr>
          <w:rFonts w:hAnsi="宋体"/>
          <w:color w:val="auto"/>
          <w:sz w:val="28"/>
          <w:szCs w:val="28"/>
        </w:rPr>
        <w:t>及图</w:t>
      </w:r>
      <w:r>
        <w:rPr>
          <w:rFonts w:hint="eastAsia"/>
          <w:color w:val="auto"/>
          <w:sz w:val="28"/>
          <w:szCs w:val="28"/>
          <w:lang w:val="en-US" w:eastAsia="zh-CN"/>
        </w:rPr>
        <w:t>3</w:t>
      </w:r>
      <w:r>
        <w:rPr>
          <w:rFonts w:hint="eastAsia"/>
          <w:color w:val="auto"/>
          <w:sz w:val="28"/>
          <w:szCs w:val="28"/>
        </w:rPr>
        <w:t>.</w:t>
      </w:r>
      <w:r>
        <w:rPr>
          <w:rFonts w:hint="eastAsia"/>
          <w:color w:val="auto"/>
          <w:sz w:val="28"/>
          <w:szCs w:val="28"/>
          <w:lang w:val="en-US" w:eastAsia="zh-CN"/>
        </w:rPr>
        <w:t>3</w:t>
      </w:r>
      <w:r>
        <w:rPr>
          <w:rFonts w:hint="eastAsia"/>
          <w:color w:val="auto"/>
          <w:sz w:val="28"/>
          <w:szCs w:val="28"/>
        </w:rPr>
        <w:t>-</w:t>
      </w:r>
      <w:r>
        <w:rPr>
          <w:rFonts w:hint="eastAsia"/>
          <w:color w:val="auto"/>
          <w:sz w:val="28"/>
          <w:szCs w:val="28"/>
          <w:lang w:val="en-US" w:eastAsia="zh-CN"/>
        </w:rPr>
        <w:t>1</w:t>
      </w:r>
      <w:r>
        <w:rPr>
          <w:rFonts w:hAnsi="宋体"/>
          <w:color w:val="auto"/>
          <w:sz w:val="28"/>
          <w:szCs w:val="28"/>
        </w:rPr>
        <w:t>。</w:t>
      </w:r>
    </w:p>
    <w:p>
      <w:pPr>
        <w:pStyle w:val="7"/>
        <w:numPr>
          <w:ilvl w:val="4"/>
          <w:numId w:val="2"/>
        </w:numPr>
        <w:bidi w:val="0"/>
        <w:rPr>
          <w:color w:val="auto"/>
        </w:rPr>
      </w:pPr>
      <w:r>
        <w:rPr>
          <w:color w:val="auto"/>
        </w:rPr>
        <w:t>井</w:t>
      </w:r>
      <w:r>
        <w:rPr>
          <w:rFonts w:hint="eastAsia"/>
          <w:color w:val="auto"/>
        </w:rPr>
        <w:t>场</w:t>
      </w:r>
      <w:r>
        <w:rPr>
          <w:color w:val="auto"/>
        </w:rPr>
        <w:t>分区防渗情况</w:t>
      </w:r>
    </w:p>
    <w:tbl>
      <w:tblPr>
        <w:tblStyle w:val="34"/>
        <w:tblW w:w="48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531"/>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1236"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防渗等级</w:t>
            </w:r>
          </w:p>
        </w:tc>
        <w:tc>
          <w:tcPr>
            <w:tcW w:w="3531"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区域</w:t>
            </w:r>
          </w:p>
        </w:tc>
        <w:tc>
          <w:tcPr>
            <w:tcW w:w="417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1236"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重点防渗</w:t>
            </w:r>
          </w:p>
        </w:tc>
        <w:tc>
          <w:tcPr>
            <w:tcW w:w="3531" w:type="dxa"/>
            <w:noWrap w:val="0"/>
            <w:vAlign w:val="center"/>
          </w:tcPr>
          <w:p>
            <w:pPr>
              <w:keepNext w:val="0"/>
              <w:keepLines w:val="0"/>
              <w:suppressLineNumbers w:val="0"/>
              <w:spacing w:before="0" w:beforeAutospacing="0" w:after="0" w:afterAutospacing="0" w:line="240" w:lineRule="exact"/>
              <w:ind w:left="0" w:right="0"/>
              <w:jc w:val="center"/>
              <w:rPr>
                <w:rFonts w:hint="eastAsia" w:eastAsia="宋体"/>
                <w:color w:val="auto"/>
                <w:szCs w:val="21"/>
                <w:lang w:eastAsia="zh-CN"/>
              </w:rPr>
            </w:pPr>
            <w:r>
              <w:rPr>
                <w:rFonts w:hint="default" w:hAnsi="宋体"/>
                <w:color w:val="auto"/>
                <w:szCs w:val="21"/>
              </w:rPr>
              <w:t>柴油罐区</w:t>
            </w:r>
            <w:r>
              <w:rPr>
                <w:rFonts w:hint="eastAsia" w:hAnsi="宋体"/>
                <w:color w:val="auto"/>
                <w:szCs w:val="21"/>
              </w:rPr>
              <w:t>、放喷池</w:t>
            </w:r>
            <w:r>
              <w:rPr>
                <w:rFonts w:hint="eastAsia" w:hAnsi="宋体"/>
                <w:color w:val="auto"/>
                <w:szCs w:val="21"/>
                <w:lang w:eastAsia="zh-CN"/>
              </w:rPr>
              <w:t>、</w:t>
            </w:r>
            <w:r>
              <w:rPr>
                <w:rFonts w:hint="eastAsia"/>
                <w:color w:val="auto"/>
                <w:lang w:val="en-US" w:eastAsia="zh-CN"/>
              </w:rPr>
              <w:t>钢制泥浆槽、泥浆循环罐区</w:t>
            </w:r>
          </w:p>
        </w:tc>
        <w:tc>
          <w:tcPr>
            <w:tcW w:w="417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等效黏土防渗层</w:t>
            </w:r>
            <w:r>
              <w:rPr>
                <w:rFonts w:hint="default"/>
                <w:color w:val="auto"/>
                <w:szCs w:val="21"/>
              </w:rPr>
              <w:t>Mb≥6.0m</w:t>
            </w:r>
            <w:r>
              <w:rPr>
                <w:rFonts w:hint="default" w:hAnsi="宋体"/>
                <w:color w:val="auto"/>
                <w:szCs w:val="21"/>
              </w:rPr>
              <w:t>，</w:t>
            </w:r>
            <w:r>
              <w:rPr>
                <w:rFonts w:hint="default"/>
                <w:color w:val="auto"/>
                <w:szCs w:val="21"/>
              </w:rPr>
              <w:t>K≤1.0×10</w:t>
            </w:r>
            <w:r>
              <w:rPr>
                <w:rFonts w:hint="default"/>
                <w:color w:val="auto"/>
                <w:szCs w:val="21"/>
                <w:vertAlign w:val="superscript"/>
              </w:rPr>
              <w:t>-7</w:t>
            </w:r>
            <w:r>
              <w:rPr>
                <w:rFonts w:hint="default"/>
                <w:color w:val="auto"/>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36"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一般防渗</w:t>
            </w:r>
          </w:p>
        </w:tc>
        <w:tc>
          <w:tcPr>
            <w:tcW w:w="3531"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szCs w:val="21"/>
              </w:rPr>
            </w:pPr>
            <w:r>
              <w:rPr>
                <w:rFonts w:hint="default" w:hAnsi="宋体"/>
                <w:color w:val="auto"/>
                <w:szCs w:val="21"/>
              </w:rPr>
              <w:t>生活污水池</w:t>
            </w:r>
            <w:r>
              <w:rPr>
                <w:rFonts w:hint="eastAsia" w:hAnsi="宋体"/>
                <w:color w:val="auto"/>
                <w:szCs w:val="21"/>
              </w:rPr>
              <w:t>、材料房、机修房</w:t>
            </w:r>
            <w:r>
              <w:rPr>
                <w:rFonts w:hint="eastAsia"/>
                <w:color w:val="auto"/>
                <w:szCs w:val="21"/>
              </w:rPr>
              <w:t>、</w:t>
            </w:r>
            <w:r>
              <w:rPr>
                <w:rFonts w:hint="eastAsia"/>
                <w:color w:val="auto"/>
              </w:rPr>
              <w:t>计量池、储液罐</w:t>
            </w:r>
          </w:p>
        </w:tc>
        <w:tc>
          <w:tcPr>
            <w:tcW w:w="417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szCs w:val="21"/>
              </w:rPr>
              <w:t>等效黏土防渗层</w:t>
            </w:r>
            <w:r>
              <w:rPr>
                <w:rFonts w:hint="default"/>
                <w:color w:val="auto"/>
                <w:szCs w:val="21"/>
              </w:rPr>
              <w:t>Mb≥1.5m</w:t>
            </w:r>
            <w:r>
              <w:rPr>
                <w:rFonts w:hint="default" w:hAnsi="宋体"/>
                <w:color w:val="auto"/>
                <w:szCs w:val="21"/>
              </w:rPr>
              <w:t>，</w:t>
            </w:r>
            <w:r>
              <w:rPr>
                <w:rFonts w:hint="default"/>
                <w:color w:val="auto"/>
                <w:szCs w:val="21"/>
              </w:rPr>
              <w:t>K≤1.0×10</w:t>
            </w:r>
            <w:r>
              <w:rPr>
                <w:rFonts w:hint="default"/>
                <w:color w:val="auto"/>
                <w:szCs w:val="21"/>
                <w:vertAlign w:val="superscript"/>
              </w:rPr>
              <w:t>-7</w:t>
            </w:r>
            <w:r>
              <w:rPr>
                <w:rFonts w:hint="default"/>
                <w:color w:val="auto"/>
                <w:szCs w:val="21"/>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236"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szCs w:val="21"/>
              </w:rPr>
            </w:pPr>
            <w:r>
              <w:rPr>
                <w:rFonts w:hint="default" w:hAnsi="宋体"/>
                <w:color w:val="auto"/>
                <w:szCs w:val="21"/>
              </w:rPr>
              <w:t>简单防渗</w:t>
            </w:r>
          </w:p>
        </w:tc>
        <w:tc>
          <w:tcPr>
            <w:tcW w:w="3531"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szCs w:val="21"/>
              </w:rPr>
            </w:pPr>
            <w:r>
              <w:rPr>
                <w:rFonts w:hint="default" w:hAnsi="宋体"/>
                <w:color w:val="auto"/>
                <w:szCs w:val="21"/>
              </w:rPr>
              <w:t>井场地面</w:t>
            </w:r>
          </w:p>
        </w:tc>
        <w:tc>
          <w:tcPr>
            <w:tcW w:w="4178" w:type="dxa"/>
            <w:noWrap w:val="0"/>
            <w:vAlign w:val="center"/>
          </w:tcPr>
          <w:p>
            <w:pPr>
              <w:keepNext w:val="0"/>
              <w:keepLines w:val="0"/>
              <w:suppressLineNumbers w:val="0"/>
              <w:spacing w:before="0" w:beforeAutospacing="0" w:after="0" w:afterAutospacing="0" w:line="240" w:lineRule="exact"/>
              <w:ind w:left="0" w:right="0"/>
              <w:jc w:val="center"/>
              <w:rPr>
                <w:rFonts w:hint="eastAsia" w:hAnsi="宋体"/>
                <w:color w:val="auto"/>
                <w:szCs w:val="21"/>
              </w:rPr>
            </w:pPr>
            <w:r>
              <w:rPr>
                <w:rFonts w:hint="eastAsia" w:hAnsi="宋体"/>
                <w:color w:val="auto"/>
                <w:szCs w:val="21"/>
              </w:rPr>
              <w:t>平整压实</w:t>
            </w:r>
          </w:p>
        </w:tc>
      </w:tr>
    </w:tbl>
    <w:p>
      <w:pPr>
        <w:pStyle w:val="6"/>
        <w:numPr>
          <w:ilvl w:val="3"/>
          <w:numId w:val="4"/>
        </w:numPr>
        <w:bidi w:val="0"/>
        <w:rPr>
          <w:color w:val="auto"/>
        </w:rPr>
      </w:pPr>
      <w:r>
        <w:rPr>
          <w:color w:val="auto"/>
        </w:rPr>
        <w:t>地下水环境环境监测和管理</w:t>
      </w:r>
    </w:p>
    <w:p>
      <w:pPr>
        <w:spacing w:line="480" w:lineRule="exact"/>
        <w:ind w:firstLine="560" w:firstLineChars="200"/>
        <w:rPr>
          <w:snapToGrid w:val="0"/>
          <w:color w:val="auto"/>
          <w:kern w:val="0"/>
        </w:rPr>
      </w:pPr>
      <w:r>
        <w:rPr>
          <w:rFonts w:hAnsi="宋体"/>
          <w:color w:val="auto"/>
          <w:sz w:val="28"/>
          <w:szCs w:val="28"/>
        </w:rPr>
        <w:t>定期对地下水环境进行监测，监测委托具有资质的单位进行，建设单位应存档监测报告以及建设项目所在地及其影响区地下水环境跟踪监测数据，同时对监测结果定期进行信息公开。根据地下水影响预测结果，工程对环境敏感点产生影响的可能性小，所以根据地下水流向，在建设项目区域上游设</w:t>
      </w:r>
      <w:r>
        <w:rPr>
          <w:rFonts w:hint="eastAsia" w:hAnsi="宋体"/>
          <w:color w:val="auto"/>
          <w:sz w:val="28"/>
          <w:szCs w:val="28"/>
        </w:rPr>
        <w:t>1</w:t>
      </w:r>
      <w:r>
        <w:rPr>
          <w:rFonts w:hAnsi="宋体"/>
          <w:color w:val="auto"/>
          <w:sz w:val="28"/>
          <w:szCs w:val="28"/>
        </w:rPr>
        <w:t>个背景监测点</w:t>
      </w:r>
      <w:r>
        <w:rPr>
          <w:rFonts w:hint="eastAsia" w:hAnsi="宋体"/>
          <w:color w:val="auto"/>
          <w:sz w:val="28"/>
          <w:szCs w:val="28"/>
        </w:rPr>
        <w:t>、</w:t>
      </w:r>
      <w:r>
        <w:rPr>
          <w:rFonts w:hAnsi="宋体"/>
          <w:color w:val="auto"/>
          <w:sz w:val="28"/>
          <w:szCs w:val="28"/>
        </w:rPr>
        <w:t>下游设</w:t>
      </w:r>
      <w:r>
        <w:rPr>
          <w:rFonts w:hint="eastAsia" w:hAnsi="宋体"/>
          <w:color w:val="auto"/>
          <w:sz w:val="28"/>
          <w:szCs w:val="28"/>
          <w:lang w:val="en-US" w:eastAsia="zh-CN"/>
        </w:rPr>
        <w:t>1</w:t>
      </w:r>
      <w:r>
        <w:rPr>
          <w:rFonts w:hAnsi="宋体"/>
          <w:color w:val="auto"/>
          <w:sz w:val="28"/>
          <w:szCs w:val="28"/>
        </w:rPr>
        <w:t>个跟踪监测点，</w:t>
      </w:r>
      <w:r>
        <w:rPr>
          <w:rFonts w:hint="eastAsia" w:hAnsi="宋体"/>
          <w:color w:val="auto"/>
          <w:sz w:val="28"/>
          <w:szCs w:val="28"/>
        </w:rPr>
        <w:t>详见</w:t>
      </w:r>
      <w:r>
        <w:rPr>
          <w:rFonts w:hint="eastAsia" w:hAnsi="宋体"/>
          <w:color w:val="auto"/>
          <w:sz w:val="28"/>
          <w:szCs w:val="28"/>
          <w:lang w:eastAsia="zh-CN"/>
        </w:rPr>
        <w:t>附</w:t>
      </w:r>
      <w:r>
        <w:rPr>
          <w:rFonts w:hint="eastAsia" w:hAnsi="宋体"/>
          <w:color w:val="auto"/>
          <w:sz w:val="28"/>
          <w:szCs w:val="28"/>
        </w:rPr>
        <w:t>图</w:t>
      </w:r>
      <w:r>
        <w:rPr>
          <w:rFonts w:hint="eastAsia"/>
          <w:color w:val="auto"/>
          <w:sz w:val="28"/>
          <w:szCs w:val="28"/>
        </w:rPr>
        <w:t>6.1-1。</w:t>
      </w:r>
      <w:r>
        <w:rPr>
          <w:rFonts w:hAnsi="宋体"/>
          <w:color w:val="auto"/>
          <w:sz w:val="28"/>
          <w:szCs w:val="28"/>
        </w:rPr>
        <w:t>跟踪监测计划见表</w:t>
      </w:r>
      <w:r>
        <w:rPr>
          <w:rFonts w:hint="eastAsia"/>
          <w:color w:val="auto"/>
          <w:sz w:val="28"/>
          <w:szCs w:val="28"/>
        </w:rPr>
        <w:t>6</w:t>
      </w:r>
      <w:r>
        <w:rPr>
          <w:color w:val="auto"/>
          <w:sz w:val="28"/>
          <w:szCs w:val="28"/>
        </w:rPr>
        <w:t>.</w:t>
      </w:r>
      <w:r>
        <w:rPr>
          <w:rFonts w:hint="eastAsia"/>
          <w:color w:val="auto"/>
          <w:sz w:val="28"/>
          <w:szCs w:val="28"/>
        </w:rPr>
        <w:t>1-2</w:t>
      </w:r>
      <w:r>
        <w:rPr>
          <w:rFonts w:hAnsi="宋体"/>
          <w:color w:val="auto"/>
          <w:sz w:val="28"/>
          <w:szCs w:val="28"/>
        </w:rPr>
        <w:t>。</w:t>
      </w:r>
      <w:r>
        <w:rPr>
          <w:snapToGrid w:val="0"/>
          <w:color w:val="auto"/>
          <w:kern w:val="0"/>
        </w:rPr>
        <w:t xml:space="preserve"> </w:t>
      </w:r>
    </w:p>
    <w:p>
      <w:pPr>
        <w:pStyle w:val="7"/>
        <w:numPr>
          <w:ilvl w:val="4"/>
          <w:numId w:val="2"/>
        </w:numPr>
        <w:bidi w:val="0"/>
        <w:rPr>
          <w:color w:val="auto"/>
        </w:rPr>
      </w:pPr>
      <w:r>
        <w:rPr>
          <w:color w:val="auto"/>
        </w:rPr>
        <w:t>地下水环境监测计划表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98"/>
        <w:gridCol w:w="1534"/>
        <w:gridCol w:w="1486"/>
        <w:gridCol w:w="523"/>
        <w:gridCol w:w="724"/>
        <w:gridCol w:w="1451"/>
        <w:gridCol w:w="960"/>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1498"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跟踪监测井</w:t>
            </w:r>
          </w:p>
        </w:tc>
        <w:tc>
          <w:tcPr>
            <w:tcW w:w="1534"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坐标</w:t>
            </w:r>
          </w:p>
        </w:tc>
        <w:tc>
          <w:tcPr>
            <w:tcW w:w="1486" w:type="dxa"/>
            <w:noWrap w:val="0"/>
            <w:vAlign w:val="top"/>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color w:val="auto"/>
                <w:sz w:val="18"/>
                <w:szCs w:val="18"/>
              </w:rPr>
              <w:t>相对厂址方位</w:t>
            </w:r>
            <w:r>
              <w:rPr>
                <w:rFonts w:hint="default"/>
                <w:color w:val="auto"/>
                <w:sz w:val="18"/>
                <w:szCs w:val="18"/>
              </w:rPr>
              <w:t>/</w:t>
            </w:r>
            <w:r>
              <w:rPr>
                <w:rFonts w:hint="default" w:hAnsi="宋体"/>
                <w:color w:val="auto"/>
                <w:sz w:val="18"/>
                <w:szCs w:val="18"/>
              </w:rPr>
              <w:t>距离</w:t>
            </w:r>
          </w:p>
        </w:tc>
        <w:tc>
          <w:tcPr>
            <w:tcW w:w="523"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井深（</w:t>
            </w:r>
            <w:r>
              <w:rPr>
                <w:rFonts w:hint="default"/>
                <w:snapToGrid w:val="0"/>
                <w:color w:val="auto"/>
                <w:sz w:val="18"/>
                <w:szCs w:val="18"/>
              </w:rPr>
              <w:t>m</w:t>
            </w:r>
            <w:r>
              <w:rPr>
                <w:rFonts w:hint="default" w:hAnsi="宋体"/>
                <w:snapToGrid w:val="0"/>
                <w:color w:val="auto"/>
                <w:sz w:val="18"/>
                <w:szCs w:val="18"/>
              </w:rPr>
              <w:t>）</w:t>
            </w:r>
          </w:p>
        </w:tc>
        <w:tc>
          <w:tcPr>
            <w:tcW w:w="724"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井结构</w:t>
            </w:r>
          </w:p>
        </w:tc>
        <w:tc>
          <w:tcPr>
            <w:tcW w:w="1451" w:type="dxa"/>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功能</w:t>
            </w:r>
          </w:p>
        </w:tc>
        <w:tc>
          <w:tcPr>
            <w:tcW w:w="960" w:type="dxa"/>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监测因子</w:t>
            </w:r>
          </w:p>
        </w:tc>
        <w:tc>
          <w:tcPr>
            <w:tcW w:w="951"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1498" w:type="dxa"/>
            <w:noWrap w:val="0"/>
            <w:vAlign w:val="center"/>
          </w:tcPr>
          <w:p>
            <w:pPr>
              <w:keepNext w:val="0"/>
              <w:keepLines w:val="0"/>
              <w:suppressLineNumbers w:val="0"/>
              <w:adjustRightInd w:val="0"/>
              <w:snapToGrid w:val="0"/>
              <w:spacing w:before="0" w:beforeAutospacing="0" w:after="0" w:afterAutospacing="0" w:line="240" w:lineRule="exact"/>
              <w:ind w:left="0" w:right="0" w:firstLine="4"/>
              <w:jc w:val="center"/>
              <w:rPr>
                <w:rFonts w:hint="default"/>
                <w:color w:val="auto"/>
                <w:kern w:val="24"/>
                <w:sz w:val="18"/>
                <w:szCs w:val="18"/>
              </w:rPr>
            </w:pPr>
            <w:r>
              <w:rPr>
                <w:rFonts w:hint="default" w:hAnsi="宋体"/>
                <w:color w:val="auto"/>
                <w:kern w:val="24"/>
                <w:sz w:val="18"/>
                <w:szCs w:val="18"/>
              </w:rPr>
              <w:t>上游监测井（</w:t>
            </w:r>
            <w:r>
              <w:rPr>
                <w:rFonts w:hint="default" w:hAnsi="宋体"/>
                <w:snapToGrid w:val="0"/>
                <w:color w:val="auto"/>
                <w:sz w:val="18"/>
                <w:szCs w:val="18"/>
              </w:rPr>
              <w:t>依托</w:t>
            </w:r>
            <w:r>
              <w:rPr>
                <w:rFonts w:hint="eastAsia" w:hAnsi="宋体"/>
                <w:snapToGrid w:val="0"/>
                <w:color w:val="auto"/>
                <w:sz w:val="18"/>
                <w:szCs w:val="18"/>
                <w:lang w:eastAsia="zh-CN"/>
              </w:rPr>
              <w:t>新立屯</w:t>
            </w:r>
            <w:r>
              <w:rPr>
                <w:rFonts w:hint="default" w:hAnsi="宋体"/>
                <w:color w:val="auto"/>
                <w:kern w:val="24"/>
                <w:sz w:val="18"/>
                <w:szCs w:val="18"/>
              </w:rPr>
              <w:t>水井）</w:t>
            </w:r>
          </w:p>
        </w:tc>
        <w:tc>
          <w:tcPr>
            <w:tcW w:w="1534" w:type="dxa"/>
            <w:noWrap w:val="0"/>
            <w:vAlign w:val="center"/>
          </w:tcPr>
          <w:p>
            <w:pPr>
              <w:keepNext w:val="0"/>
              <w:keepLines w:val="0"/>
              <w:widowControl/>
              <w:suppressLineNumbers w:val="0"/>
              <w:spacing w:before="0" w:beforeAutospacing="0" w:after="0" w:afterAutospacing="0"/>
              <w:ind w:left="0" w:right="0"/>
              <w:jc w:val="left"/>
              <w:textAlignment w:val="center"/>
              <w:rPr>
                <w:rFonts w:hint="default"/>
                <w:snapToGrid w:val="0"/>
                <w:color w:val="auto"/>
                <w:sz w:val="18"/>
                <w:szCs w:val="18"/>
              </w:rPr>
            </w:pPr>
            <w:r>
              <w:rPr>
                <w:rFonts w:hint="default" w:ascii="Times New Roman" w:hAnsi="Times New Roman" w:eastAsia="宋体" w:cs="Times New Roman"/>
                <w:i w:val="0"/>
                <w:color w:val="auto"/>
                <w:kern w:val="0"/>
                <w:sz w:val="18"/>
                <w:szCs w:val="18"/>
                <w:u w:val="none"/>
                <w:lang w:val="en-US" w:eastAsia="zh-CN" w:bidi="ar"/>
              </w:rPr>
              <w:t>125°17'41.3431"</w:t>
            </w:r>
            <w:r>
              <w:rPr>
                <w:rFonts w:hint="eastAsia" w:eastAsia="宋体" w:cs="Times New Roman"/>
                <w:i w:val="0"/>
                <w:color w:val="auto"/>
                <w:kern w:val="0"/>
                <w:sz w:val="18"/>
                <w:szCs w:val="18"/>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default"/>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46°12'56.5303"</w:t>
            </w:r>
          </w:p>
        </w:tc>
        <w:tc>
          <w:tcPr>
            <w:tcW w:w="1486" w:type="dxa"/>
            <w:noWrap w:val="0"/>
            <w:vAlign w:val="top"/>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eastAsia"/>
                <w:color w:val="auto"/>
                <w:sz w:val="18"/>
                <w:szCs w:val="18"/>
              </w:rPr>
              <w:t>距离H井场西北侧308m</w:t>
            </w:r>
          </w:p>
        </w:tc>
        <w:tc>
          <w:tcPr>
            <w:tcW w:w="523"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18</w:t>
            </w:r>
          </w:p>
        </w:tc>
        <w:tc>
          <w:tcPr>
            <w:tcW w:w="724"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水泥管井</w:t>
            </w:r>
          </w:p>
        </w:tc>
        <w:tc>
          <w:tcPr>
            <w:tcW w:w="1451" w:type="dxa"/>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背景值监测点</w:t>
            </w:r>
          </w:p>
        </w:tc>
        <w:tc>
          <w:tcPr>
            <w:tcW w:w="960" w:type="dxa"/>
            <w:vMerge w:val="restart"/>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eastAsia"/>
                <w:snapToGrid w:val="0"/>
                <w:color w:val="auto"/>
                <w:sz w:val="18"/>
                <w:szCs w:val="18"/>
              </w:rPr>
            </w:pPr>
            <w:r>
              <w:rPr>
                <w:rFonts w:hint="default" w:hAnsi="宋体"/>
                <w:color w:val="auto"/>
                <w:sz w:val="18"/>
                <w:szCs w:val="18"/>
              </w:rPr>
              <w:t>石油类</w:t>
            </w:r>
          </w:p>
        </w:tc>
        <w:tc>
          <w:tcPr>
            <w:tcW w:w="951" w:type="dxa"/>
            <w:vMerge w:val="restart"/>
            <w:noWrap w:val="0"/>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1</w:t>
            </w:r>
            <w:r>
              <w:rPr>
                <w:rFonts w:hint="default" w:hAnsi="宋体"/>
                <w:color w:val="auto"/>
                <w:sz w:val="18"/>
                <w:szCs w:val="18"/>
              </w:rPr>
              <w:t>次</w:t>
            </w:r>
            <w:r>
              <w:rPr>
                <w:rFonts w:hint="default"/>
                <w:color w:val="auto"/>
                <w:sz w:val="18"/>
                <w:szCs w:val="18"/>
              </w:rPr>
              <w:t>/</w:t>
            </w:r>
            <w:r>
              <w:rPr>
                <w:rFonts w:hint="default" w:hAnsi="宋体"/>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1498" w:type="dxa"/>
            <w:noWrap w:val="0"/>
            <w:vAlign w:val="center"/>
          </w:tcPr>
          <w:p>
            <w:pPr>
              <w:keepNext w:val="0"/>
              <w:keepLines w:val="0"/>
              <w:suppressLineNumbers w:val="0"/>
              <w:adjustRightInd w:val="0"/>
              <w:snapToGrid w:val="0"/>
              <w:spacing w:before="0" w:beforeAutospacing="0" w:after="0" w:afterAutospacing="0"/>
              <w:ind w:left="0" w:right="0" w:firstLine="4"/>
              <w:jc w:val="center"/>
              <w:rPr>
                <w:rFonts w:hint="default" w:hAnsi="宋体"/>
                <w:color w:val="auto"/>
                <w:kern w:val="24"/>
                <w:sz w:val="18"/>
                <w:szCs w:val="18"/>
              </w:rPr>
            </w:pPr>
            <w:r>
              <w:rPr>
                <w:rFonts w:hint="default" w:hAnsi="宋体"/>
                <w:color w:val="auto"/>
                <w:kern w:val="24"/>
                <w:sz w:val="18"/>
                <w:szCs w:val="18"/>
              </w:rPr>
              <w:t>下游监测井（</w:t>
            </w:r>
            <w:r>
              <w:rPr>
                <w:rFonts w:hint="default" w:hAnsi="宋体"/>
                <w:snapToGrid w:val="0"/>
                <w:color w:val="auto"/>
                <w:sz w:val="18"/>
                <w:szCs w:val="18"/>
              </w:rPr>
              <w:t>依托</w:t>
            </w:r>
            <w:r>
              <w:rPr>
                <w:rFonts w:hint="eastAsia" w:hAnsi="宋体"/>
                <w:snapToGrid w:val="0"/>
                <w:color w:val="auto"/>
                <w:sz w:val="18"/>
                <w:szCs w:val="18"/>
                <w:lang w:eastAsia="zh-CN"/>
              </w:rPr>
              <w:t>升平镇</w:t>
            </w:r>
            <w:r>
              <w:rPr>
                <w:rFonts w:hint="default"/>
                <w:color w:val="auto"/>
                <w:kern w:val="24"/>
                <w:sz w:val="18"/>
                <w:szCs w:val="18"/>
              </w:rPr>
              <w:t>水井</w:t>
            </w:r>
            <w:r>
              <w:rPr>
                <w:rFonts w:hint="default" w:hAnsi="宋体"/>
                <w:color w:val="auto"/>
                <w:kern w:val="24"/>
                <w:sz w:val="18"/>
                <w:szCs w:val="18"/>
              </w:rPr>
              <w:t>）</w:t>
            </w:r>
          </w:p>
        </w:tc>
        <w:tc>
          <w:tcPr>
            <w:tcW w:w="1534" w:type="dxa"/>
            <w:noWrap w:val="0"/>
            <w:vAlign w:val="center"/>
          </w:tcPr>
          <w:p>
            <w:pPr>
              <w:keepNext w:val="0"/>
              <w:keepLines w:val="0"/>
              <w:widowControl/>
              <w:suppressLineNumbers w:val="0"/>
              <w:spacing w:before="0" w:beforeAutospacing="0" w:after="0" w:afterAutospacing="0"/>
              <w:ind w:left="0" w:right="0"/>
              <w:jc w:val="left"/>
              <w:textAlignment w:val="center"/>
              <w:rPr>
                <w:rFonts w:hint="default"/>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125°17'59.7532"</w:t>
            </w:r>
            <w:r>
              <w:rPr>
                <w:rFonts w:hint="eastAsia" w:eastAsia="宋体" w:cs="Times New Roman"/>
                <w:i w:val="0"/>
                <w:color w:val="auto"/>
                <w:kern w:val="0"/>
                <w:sz w:val="18"/>
                <w:szCs w:val="18"/>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default"/>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46°11'32.8492"</w:t>
            </w:r>
          </w:p>
        </w:tc>
        <w:tc>
          <w:tcPr>
            <w:tcW w:w="1486" w:type="dxa"/>
            <w:noWrap w:val="0"/>
            <w:vAlign w:val="top"/>
          </w:tcPr>
          <w:p>
            <w:pPr>
              <w:keepNext w:val="0"/>
              <w:keepLines w:val="0"/>
              <w:suppressLineNumbers w:val="0"/>
              <w:snapToGrid w:val="0"/>
              <w:spacing w:before="0" w:beforeAutospacing="0" w:after="0" w:afterAutospacing="0" w:line="240" w:lineRule="exact"/>
              <w:ind w:left="0" w:right="0"/>
              <w:jc w:val="center"/>
              <w:rPr>
                <w:rFonts w:hint="default" w:hAnsi="宋体"/>
                <w:color w:val="auto"/>
                <w:sz w:val="18"/>
                <w:szCs w:val="18"/>
              </w:rPr>
            </w:pPr>
            <w:r>
              <w:rPr>
                <w:rFonts w:hint="eastAsia"/>
                <w:color w:val="auto"/>
                <w:sz w:val="18"/>
                <w:szCs w:val="18"/>
              </w:rPr>
              <w:t>距离H井场北侧374m</w:t>
            </w:r>
          </w:p>
        </w:tc>
        <w:tc>
          <w:tcPr>
            <w:tcW w:w="523"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eastAsia="宋体"/>
                <w:snapToGrid w:val="0"/>
                <w:color w:val="auto"/>
                <w:sz w:val="18"/>
                <w:szCs w:val="18"/>
                <w:lang w:val="en-US" w:eastAsia="zh-CN"/>
              </w:rPr>
            </w:pPr>
            <w:r>
              <w:rPr>
                <w:rFonts w:hint="eastAsia"/>
                <w:snapToGrid w:val="0"/>
                <w:color w:val="auto"/>
                <w:sz w:val="18"/>
                <w:szCs w:val="18"/>
                <w:lang w:val="en-US" w:eastAsia="zh-CN"/>
              </w:rPr>
              <w:t>20</w:t>
            </w:r>
          </w:p>
        </w:tc>
        <w:tc>
          <w:tcPr>
            <w:tcW w:w="724"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hAnsi="宋体"/>
                <w:snapToGrid w:val="0"/>
                <w:color w:val="auto"/>
                <w:sz w:val="18"/>
                <w:szCs w:val="18"/>
              </w:rPr>
            </w:pPr>
            <w:r>
              <w:rPr>
                <w:rFonts w:hint="default" w:hAnsi="宋体"/>
                <w:snapToGrid w:val="0"/>
                <w:color w:val="auto"/>
                <w:sz w:val="18"/>
                <w:szCs w:val="18"/>
              </w:rPr>
              <w:t>水泥管井</w:t>
            </w:r>
          </w:p>
        </w:tc>
        <w:tc>
          <w:tcPr>
            <w:tcW w:w="1451" w:type="dxa"/>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hAnsi="宋体"/>
                <w:snapToGrid w:val="0"/>
                <w:color w:val="auto"/>
                <w:sz w:val="18"/>
                <w:szCs w:val="18"/>
              </w:rPr>
            </w:pPr>
            <w:r>
              <w:rPr>
                <w:rFonts w:hint="default" w:hAnsi="宋体"/>
                <w:snapToGrid w:val="0"/>
                <w:color w:val="auto"/>
                <w:sz w:val="18"/>
                <w:szCs w:val="18"/>
              </w:rPr>
              <w:t>污染扩散监测点</w:t>
            </w:r>
          </w:p>
        </w:tc>
        <w:tc>
          <w:tcPr>
            <w:tcW w:w="960" w:type="dxa"/>
            <w:vMerge w:val="continue"/>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p>
        </w:tc>
        <w:tc>
          <w:tcPr>
            <w:tcW w:w="951" w:type="dxa"/>
            <w:vMerge w:val="continue"/>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p>
        </w:tc>
      </w:tr>
    </w:tbl>
    <w:p>
      <w:pPr>
        <w:snapToGrid w:val="0"/>
        <w:spacing w:line="480" w:lineRule="exact"/>
        <w:ind w:firstLine="560" w:firstLineChars="200"/>
        <w:rPr>
          <w:rFonts w:hint="eastAsia" w:hAnsi="宋体"/>
          <w:color w:val="auto"/>
          <w:sz w:val="28"/>
          <w:szCs w:val="28"/>
        </w:rPr>
      </w:pPr>
      <w:r>
        <w:rPr>
          <w:rFonts w:hAnsi="宋体"/>
          <w:color w:val="auto"/>
          <w:sz w:val="28"/>
          <w:szCs w:val="28"/>
        </w:rPr>
        <w:t>综上所述，通过采取以上措施，</w:t>
      </w:r>
      <w:r>
        <w:rPr>
          <w:rFonts w:hint="eastAsia" w:hAnsi="宋体"/>
          <w:color w:val="auto"/>
          <w:sz w:val="28"/>
          <w:szCs w:val="28"/>
        </w:rPr>
        <w:t>能够有效地控制和减少污染物对地下水的污染，本</w:t>
      </w:r>
      <w:r>
        <w:rPr>
          <w:rFonts w:hAnsi="宋体"/>
          <w:color w:val="auto"/>
          <w:sz w:val="28"/>
          <w:szCs w:val="28"/>
        </w:rPr>
        <w:t>项目的</w:t>
      </w:r>
      <w:r>
        <w:rPr>
          <w:rFonts w:hint="eastAsia" w:hAnsi="宋体"/>
          <w:color w:val="auto"/>
          <w:sz w:val="28"/>
          <w:szCs w:val="28"/>
        </w:rPr>
        <w:t>地下</w:t>
      </w:r>
      <w:r>
        <w:rPr>
          <w:rFonts w:hAnsi="宋体"/>
          <w:color w:val="auto"/>
          <w:sz w:val="28"/>
          <w:szCs w:val="28"/>
        </w:rPr>
        <w:t>水污染防治措施合理可行。</w:t>
      </w:r>
    </w:p>
    <w:p>
      <w:pPr>
        <w:pStyle w:val="5"/>
        <w:numPr>
          <w:ilvl w:val="2"/>
          <w:numId w:val="4"/>
        </w:numPr>
        <w:bidi w:val="0"/>
        <w:rPr>
          <w:color w:val="auto"/>
        </w:rPr>
      </w:pPr>
      <w:r>
        <w:rPr>
          <w:color w:val="auto"/>
        </w:rPr>
        <w:t>噪声污染控制措施</w:t>
      </w:r>
    </w:p>
    <w:p>
      <w:pPr>
        <w:pStyle w:val="21"/>
        <w:spacing w:line="480" w:lineRule="exact"/>
        <w:ind w:firstLine="482"/>
        <w:rPr>
          <w:rFonts w:ascii="Times New Roman" w:hAnsi="宋体"/>
          <w:snapToGrid w:val="0"/>
          <w:color w:val="auto"/>
          <w:kern w:val="0"/>
          <w:sz w:val="28"/>
          <w:szCs w:val="28"/>
        </w:rPr>
      </w:pPr>
      <w:r>
        <w:rPr>
          <w:rFonts w:hint="eastAsia" w:ascii="Times New Roman" w:hAnsi="宋体"/>
          <w:snapToGrid w:val="0"/>
          <w:color w:val="auto"/>
          <w:kern w:val="0"/>
          <w:sz w:val="28"/>
          <w:szCs w:val="28"/>
        </w:rPr>
        <w:t>本工程主要声环境影响产生于施工期，为了减轻施工噪声的环境影响，须采取以下噪声污染控制措施：</w:t>
      </w:r>
    </w:p>
    <w:p>
      <w:pPr>
        <w:pStyle w:val="21"/>
        <w:spacing w:line="480" w:lineRule="exact"/>
        <w:ind w:firstLine="482"/>
        <w:rPr>
          <w:rFonts w:hint="eastAsia" w:ascii="Times New Roman" w:hAnsi="宋体" w:eastAsia="宋体"/>
          <w:snapToGrid w:val="0"/>
          <w:color w:val="auto"/>
          <w:kern w:val="0"/>
          <w:sz w:val="28"/>
          <w:szCs w:val="28"/>
          <w:lang w:eastAsia="zh-CN"/>
        </w:rPr>
      </w:pPr>
      <w:r>
        <w:rPr>
          <w:rFonts w:hint="eastAsia" w:ascii="Times New Roman" w:hAnsi="宋体"/>
          <w:snapToGrid w:val="0"/>
          <w:color w:val="auto"/>
          <w:kern w:val="0"/>
          <w:sz w:val="28"/>
          <w:szCs w:val="28"/>
        </w:rPr>
        <w:t>（1）在钻进设备选型时选取高效低噪声设备。</w:t>
      </w:r>
      <w:bookmarkStart w:id="625" w:name="_Hlk71186766"/>
      <w:r>
        <w:rPr>
          <w:rFonts w:ascii="Times New Roman"/>
          <w:color w:val="auto"/>
          <w:sz w:val="28"/>
          <w:szCs w:val="28"/>
        </w:rPr>
        <w:t>对钻井井场进行合理布局，井场高噪音设备分散放置，并远离有人居的方向，避免噪声叠加造成对周围声环境的影响</w:t>
      </w:r>
      <w:bookmarkEnd w:id="625"/>
      <w:r>
        <w:rPr>
          <w:rFonts w:hint="eastAsia"/>
          <w:color w:val="auto"/>
          <w:sz w:val="28"/>
          <w:szCs w:val="28"/>
          <w:lang w:eastAsia="zh-CN"/>
        </w:rPr>
        <w:t>。</w:t>
      </w:r>
    </w:p>
    <w:p>
      <w:pPr>
        <w:pStyle w:val="21"/>
        <w:spacing w:line="480" w:lineRule="exact"/>
        <w:ind w:firstLine="482"/>
        <w:rPr>
          <w:rFonts w:ascii="Times New Roman" w:hAnsi="宋体"/>
          <w:snapToGrid w:val="0"/>
          <w:color w:val="auto"/>
          <w:kern w:val="0"/>
          <w:sz w:val="28"/>
          <w:szCs w:val="28"/>
        </w:rPr>
      </w:pPr>
      <w:r>
        <w:rPr>
          <w:rFonts w:hint="eastAsia" w:ascii="Times New Roman" w:hAnsi="宋体"/>
          <w:snapToGrid w:val="0"/>
          <w:color w:val="auto"/>
          <w:kern w:val="0"/>
          <w:sz w:val="28"/>
          <w:szCs w:val="28"/>
        </w:rPr>
        <w:t>（2）对于柴油发电机的噪声，安装减振垫层和阻尼涂料。</w:t>
      </w:r>
    </w:p>
    <w:p>
      <w:pPr>
        <w:pStyle w:val="21"/>
        <w:spacing w:line="480" w:lineRule="exact"/>
        <w:ind w:firstLine="482"/>
        <w:rPr>
          <w:rFonts w:ascii="Times New Roman" w:hAnsi="宋体"/>
          <w:snapToGrid w:val="0"/>
          <w:color w:val="auto"/>
          <w:kern w:val="0"/>
          <w:sz w:val="28"/>
          <w:szCs w:val="28"/>
        </w:rPr>
      </w:pPr>
      <w:r>
        <w:rPr>
          <w:rFonts w:hint="eastAsia" w:ascii="Times New Roman" w:hAnsi="宋体"/>
          <w:snapToGrid w:val="0"/>
          <w:color w:val="auto"/>
          <w:kern w:val="0"/>
          <w:sz w:val="28"/>
          <w:szCs w:val="28"/>
        </w:rPr>
        <w:t>（3）</w:t>
      </w:r>
      <w:r>
        <w:rPr>
          <w:rFonts w:hint="eastAsia" w:ascii="Times New Roman"/>
          <w:color w:val="auto"/>
          <w:sz w:val="28"/>
          <w:szCs w:val="28"/>
        </w:rPr>
        <w:t>合理安排施工进度，减少施工时间，严格禁止夜间10时至次日6时进行高噪声施工，调整同时作业的施工机械数量，降低对周围环境的影响</w:t>
      </w:r>
      <w:r>
        <w:rPr>
          <w:rFonts w:hint="eastAsia" w:ascii="Times New Roman" w:hAnsi="宋体"/>
          <w:snapToGrid w:val="0"/>
          <w:color w:val="auto"/>
          <w:kern w:val="0"/>
          <w:sz w:val="28"/>
          <w:szCs w:val="28"/>
        </w:rPr>
        <w:t>。</w:t>
      </w:r>
    </w:p>
    <w:p>
      <w:pPr>
        <w:pStyle w:val="21"/>
        <w:spacing w:line="480" w:lineRule="exact"/>
        <w:ind w:firstLine="482"/>
        <w:rPr>
          <w:rFonts w:ascii="Times New Roman" w:hAnsi="宋体"/>
          <w:snapToGrid w:val="0"/>
          <w:color w:val="auto"/>
          <w:kern w:val="0"/>
          <w:sz w:val="28"/>
          <w:szCs w:val="28"/>
        </w:rPr>
      </w:pPr>
      <w:r>
        <w:rPr>
          <w:rFonts w:hint="eastAsia" w:ascii="Times New Roman" w:hAnsi="宋体"/>
          <w:snapToGrid w:val="0"/>
          <w:color w:val="auto"/>
          <w:kern w:val="0"/>
          <w:sz w:val="28"/>
          <w:szCs w:val="28"/>
        </w:rPr>
        <w:t>（4）施工单位必须选用符合国家有关标准的施工机具，尽量选用低噪声的施工机械或工艺，从根本上降低噪声源强。同时加强施工机械的维护保养，避免由于设备性能差而使机械噪声增大的现象发生。</w:t>
      </w:r>
    </w:p>
    <w:p>
      <w:pPr>
        <w:pStyle w:val="21"/>
        <w:spacing w:line="480" w:lineRule="exact"/>
        <w:ind w:firstLine="482"/>
        <w:rPr>
          <w:rFonts w:ascii="Times New Roman" w:hAnsi="宋体"/>
          <w:snapToGrid w:val="0"/>
          <w:color w:val="auto"/>
          <w:kern w:val="0"/>
          <w:sz w:val="28"/>
          <w:szCs w:val="28"/>
        </w:rPr>
      </w:pPr>
      <w:r>
        <w:rPr>
          <w:rFonts w:hint="eastAsia" w:ascii="Times New Roman" w:hAnsi="宋体"/>
          <w:snapToGrid w:val="0"/>
          <w:color w:val="auto"/>
          <w:kern w:val="0"/>
          <w:sz w:val="28"/>
          <w:szCs w:val="28"/>
        </w:rPr>
        <w:t>（</w:t>
      </w:r>
      <w:r>
        <w:rPr>
          <w:rFonts w:hint="eastAsia" w:hAnsi="宋体"/>
          <w:snapToGrid w:val="0"/>
          <w:color w:val="auto"/>
          <w:kern w:val="0"/>
          <w:sz w:val="28"/>
          <w:szCs w:val="28"/>
          <w:lang w:val="en-US" w:eastAsia="zh-CN"/>
        </w:rPr>
        <w:t>5</w:t>
      </w:r>
      <w:r>
        <w:rPr>
          <w:rFonts w:hint="eastAsia" w:ascii="Times New Roman" w:hAnsi="宋体"/>
          <w:snapToGrid w:val="0"/>
          <w:color w:val="auto"/>
          <w:kern w:val="0"/>
          <w:sz w:val="28"/>
          <w:szCs w:val="28"/>
        </w:rPr>
        <w:t>）合理安排施工强度，作好施工组织设计，将高噪声施工机械尽量远离周围的敏感目标，减轻施工噪声对周边环境的影响。</w:t>
      </w:r>
    </w:p>
    <w:p>
      <w:pPr>
        <w:pStyle w:val="21"/>
        <w:spacing w:line="480" w:lineRule="exact"/>
        <w:ind w:firstLine="482"/>
        <w:rPr>
          <w:rFonts w:ascii="Times New Roman" w:hAnsi="宋体"/>
          <w:snapToGrid w:val="0"/>
          <w:color w:val="auto"/>
          <w:kern w:val="0"/>
          <w:sz w:val="28"/>
          <w:szCs w:val="28"/>
        </w:rPr>
      </w:pPr>
      <w:r>
        <w:rPr>
          <w:rFonts w:ascii="Times New Roman" w:hAnsi="宋体"/>
          <w:snapToGrid w:val="0"/>
          <w:color w:val="auto"/>
          <w:kern w:val="0"/>
          <w:sz w:val="28"/>
          <w:szCs w:val="28"/>
        </w:rPr>
        <w:t>（</w:t>
      </w:r>
      <w:r>
        <w:rPr>
          <w:rFonts w:hint="eastAsia"/>
          <w:snapToGrid w:val="0"/>
          <w:color w:val="auto"/>
          <w:kern w:val="0"/>
          <w:sz w:val="28"/>
          <w:szCs w:val="28"/>
          <w:lang w:val="en-US" w:eastAsia="zh-CN"/>
        </w:rPr>
        <w:t>6</w:t>
      </w:r>
      <w:r>
        <w:rPr>
          <w:rFonts w:ascii="Times New Roman" w:hAnsi="宋体"/>
          <w:snapToGrid w:val="0"/>
          <w:color w:val="auto"/>
          <w:kern w:val="0"/>
          <w:sz w:val="28"/>
          <w:szCs w:val="28"/>
        </w:rPr>
        <w:t>）对噪声源采取组装封闭隔声措施。平时注意设备维护，避免设备不正常运行产生的高噪声。</w:t>
      </w:r>
    </w:p>
    <w:p>
      <w:pPr>
        <w:pStyle w:val="21"/>
        <w:spacing w:line="480" w:lineRule="exact"/>
        <w:ind w:firstLine="482"/>
        <w:rPr>
          <w:rFonts w:hint="eastAsia"/>
          <w:color w:val="auto"/>
          <w:sz w:val="28"/>
          <w:szCs w:val="28"/>
          <w:lang w:eastAsia="zh-CN"/>
        </w:rPr>
      </w:pPr>
      <w:r>
        <w:rPr>
          <w:rFonts w:hint="eastAsia" w:hAnsi="宋体"/>
          <w:snapToGrid w:val="0"/>
          <w:color w:val="auto"/>
          <w:kern w:val="0"/>
          <w:sz w:val="28"/>
          <w:szCs w:val="28"/>
          <w:lang w:eastAsia="zh-CN"/>
        </w:rPr>
        <w:t>（</w:t>
      </w:r>
      <w:r>
        <w:rPr>
          <w:rFonts w:hint="eastAsia" w:hAnsi="宋体"/>
          <w:snapToGrid w:val="0"/>
          <w:color w:val="auto"/>
          <w:kern w:val="0"/>
          <w:sz w:val="28"/>
          <w:szCs w:val="28"/>
          <w:lang w:val="en-US" w:eastAsia="zh-CN"/>
        </w:rPr>
        <w:t>7</w:t>
      </w:r>
      <w:r>
        <w:rPr>
          <w:rFonts w:hint="eastAsia" w:hAnsi="宋体"/>
          <w:snapToGrid w:val="0"/>
          <w:color w:val="auto"/>
          <w:kern w:val="0"/>
          <w:sz w:val="28"/>
          <w:szCs w:val="28"/>
          <w:lang w:eastAsia="zh-CN"/>
        </w:rPr>
        <w:t>）</w:t>
      </w:r>
      <w:r>
        <w:rPr>
          <w:rFonts w:hint="eastAsia" w:ascii="Times New Roman"/>
          <w:color w:val="auto"/>
          <w:sz w:val="28"/>
          <w:szCs w:val="28"/>
        </w:rPr>
        <w:t>不可避免需要夜间施工时，应向周边工厂企业和居住点进行公告，取得民众谅解，并合理安排施工机械数量，严格限定施工范围，选用噪音低的设备，同时控制夜间灯光数量和照射范围</w:t>
      </w:r>
      <w:r>
        <w:rPr>
          <w:rFonts w:hint="eastAsia"/>
          <w:color w:val="auto"/>
          <w:sz w:val="28"/>
          <w:szCs w:val="28"/>
          <w:lang w:eastAsia="zh-CN"/>
        </w:rPr>
        <w:t>。</w:t>
      </w:r>
    </w:p>
    <w:p>
      <w:pPr>
        <w:pStyle w:val="21"/>
        <w:spacing w:line="480" w:lineRule="exact"/>
        <w:ind w:firstLine="482"/>
        <w:rPr>
          <w:rFonts w:hint="eastAsia" w:ascii="Times New Roman" w:eastAsia="宋体"/>
          <w:snapToGrid w:val="0"/>
          <w:color w:val="auto"/>
          <w:kern w:val="0"/>
          <w:sz w:val="28"/>
          <w:szCs w:val="28"/>
          <w:lang w:eastAsia="zh-CN"/>
        </w:rPr>
      </w:pPr>
      <w:r>
        <w:rPr>
          <w:rFonts w:hint="eastAsia"/>
          <w:color w:val="auto"/>
          <w:sz w:val="28"/>
          <w:szCs w:val="28"/>
        </w:rPr>
        <w:t>（</w:t>
      </w:r>
      <w:r>
        <w:rPr>
          <w:rFonts w:hint="eastAsia"/>
          <w:color w:val="auto"/>
          <w:sz w:val="28"/>
          <w:szCs w:val="28"/>
          <w:lang w:val="en-US" w:eastAsia="zh-CN"/>
        </w:rPr>
        <w:t>8</w:t>
      </w:r>
      <w:r>
        <w:rPr>
          <w:rFonts w:hint="eastAsia"/>
          <w:color w:val="auto"/>
          <w:sz w:val="28"/>
          <w:szCs w:val="28"/>
        </w:rPr>
        <w:t>）施工中加强管理，避免不合理噪声，文明施工，合理安排施工进度，降低对周围环境的影响。</w:t>
      </w:r>
    </w:p>
    <w:p>
      <w:pPr>
        <w:pStyle w:val="21"/>
        <w:spacing w:line="480" w:lineRule="exact"/>
        <w:ind w:firstLine="482"/>
        <w:rPr>
          <w:rFonts w:hint="eastAsia" w:ascii="Times New Roman" w:hAnsi="宋体"/>
          <w:snapToGrid w:val="0"/>
          <w:color w:val="auto"/>
          <w:kern w:val="0"/>
          <w:sz w:val="28"/>
          <w:szCs w:val="28"/>
        </w:rPr>
      </w:pPr>
      <w:r>
        <w:rPr>
          <w:rFonts w:hint="eastAsia" w:ascii="Times New Roman" w:hAnsi="宋体"/>
          <w:snapToGrid w:val="0"/>
          <w:color w:val="auto"/>
          <w:kern w:val="0"/>
          <w:sz w:val="28"/>
          <w:szCs w:val="28"/>
        </w:rPr>
        <w:t>本工程施工期将产生短期噪声影响，通过以上措施，井场施工期噪声满足《建筑施工场界环境噪声排放标准》（</w:t>
      </w:r>
      <w:r>
        <w:rPr>
          <w:rFonts w:ascii="Times New Roman" w:hAnsi="宋体"/>
          <w:snapToGrid w:val="0"/>
          <w:color w:val="auto"/>
          <w:kern w:val="0"/>
          <w:sz w:val="28"/>
          <w:szCs w:val="28"/>
        </w:rPr>
        <w:t>GB12523-2011</w:t>
      </w:r>
      <w:r>
        <w:rPr>
          <w:rFonts w:hint="eastAsia" w:ascii="Times New Roman" w:hAnsi="宋体"/>
          <w:snapToGrid w:val="0"/>
          <w:color w:val="auto"/>
          <w:kern w:val="0"/>
          <w:sz w:val="28"/>
          <w:szCs w:val="28"/>
        </w:rPr>
        <w:t>）（昼间</w:t>
      </w:r>
      <w:r>
        <w:rPr>
          <w:rFonts w:ascii="Times New Roman" w:hAnsi="宋体"/>
          <w:snapToGrid w:val="0"/>
          <w:color w:val="auto"/>
          <w:kern w:val="0"/>
          <w:sz w:val="28"/>
          <w:szCs w:val="28"/>
        </w:rPr>
        <w:t>70dB</w:t>
      </w:r>
      <w:r>
        <w:rPr>
          <w:rFonts w:hint="eastAsia" w:ascii="Times New Roman" w:hAnsi="宋体"/>
          <w:snapToGrid w:val="0"/>
          <w:color w:val="auto"/>
          <w:kern w:val="0"/>
          <w:sz w:val="28"/>
          <w:szCs w:val="28"/>
        </w:rPr>
        <w:t>，夜间</w:t>
      </w:r>
      <w:r>
        <w:rPr>
          <w:rFonts w:ascii="Times New Roman" w:hAnsi="宋体"/>
          <w:snapToGrid w:val="0"/>
          <w:color w:val="auto"/>
          <w:kern w:val="0"/>
          <w:sz w:val="28"/>
          <w:szCs w:val="28"/>
        </w:rPr>
        <w:t>55dB</w:t>
      </w:r>
      <w:r>
        <w:rPr>
          <w:rFonts w:hint="eastAsia" w:ascii="Times New Roman" w:hAnsi="宋体"/>
          <w:snapToGrid w:val="0"/>
          <w:color w:val="auto"/>
          <w:kern w:val="0"/>
          <w:sz w:val="28"/>
          <w:szCs w:val="28"/>
        </w:rPr>
        <w:t>）要求，钻井工程对当地声环境的影响是可以接受的，噪声污染控制措施可行。</w:t>
      </w:r>
    </w:p>
    <w:p>
      <w:pPr>
        <w:pStyle w:val="5"/>
        <w:numPr>
          <w:ilvl w:val="2"/>
          <w:numId w:val="4"/>
        </w:numPr>
        <w:bidi w:val="0"/>
        <w:rPr>
          <w:rFonts w:hint="eastAsia"/>
          <w:color w:val="auto"/>
        </w:rPr>
      </w:pPr>
      <w:bookmarkStart w:id="626" w:name="_Toc196215817"/>
      <w:r>
        <w:rPr>
          <w:color w:val="auto"/>
        </w:rPr>
        <w:t>固体废弃物控制措施</w:t>
      </w:r>
      <w:bookmarkEnd w:id="626"/>
    </w:p>
    <w:p>
      <w:pPr>
        <w:snapToGrid w:val="0"/>
        <w:spacing w:line="480" w:lineRule="exact"/>
        <w:ind w:firstLine="560" w:firstLineChars="200"/>
        <w:rPr>
          <w:rFonts w:hint="eastAsia" w:hAnsi="宋体"/>
          <w:color w:val="auto"/>
          <w:sz w:val="28"/>
          <w:szCs w:val="28"/>
        </w:rPr>
      </w:pPr>
      <w:r>
        <w:rPr>
          <w:rFonts w:hint="eastAsia" w:hAnsi="宋体"/>
          <w:color w:val="auto"/>
          <w:sz w:val="28"/>
          <w:szCs w:val="28"/>
        </w:rPr>
        <w:t>本工程施工期产生的固体废物包括废弃泥浆、废弃岩屑、废包装袋、废防渗布、生活垃圾等。</w:t>
      </w:r>
    </w:p>
    <w:p>
      <w:pPr>
        <w:pStyle w:val="6"/>
        <w:numPr>
          <w:ilvl w:val="3"/>
          <w:numId w:val="4"/>
        </w:numPr>
        <w:bidi w:val="0"/>
        <w:rPr>
          <w:rFonts w:hint="eastAsia"/>
          <w:color w:val="auto"/>
        </w:rPr>
      </w:pPr>
      <w:r>
        <w:rPr>
          <w:rFonts w:hint="eastAsia"/>
          <w:color w:val="auto"/>
        </w:rPr>
        <w:t>一般废物</w:t>
      </w:r>
    </w:p>
    <w:p>
      <w:pPr>
        <w:pStyle w:val="83"/>
        <w:numPr>
          <w:ilvl w:val="0"/>
          <w:numId w:val="7"/>
        </w:numPr>
        <w:bidi w:val="0"/>
        <w:rPr>
          <w:rFonts w:hint="eastAsia"/>
          <w:color w:val="auto"/>
          <w:lang w:eastAsia="zh-CN"/>
        </w:rPr>
      </w:pPr>
      <w:r>
        <w:rPr>
          <w:color w:val="auto"/>
        </w:rPr>
        <w:t>本项目钻井过程产生的</w:t>
      </w:r>
      <w:r>
        <w:rPr>
          <w:rFonts w:hint="eastAsia"/>
          <w:color w:val="auto"/>
          <w:lang w:val="en-US" w:eastAsia="zh-CN"/>
        </w:rPr>
        <w:t>废弃水基</w:t>
      </w:r>
      <w:r>
        <w:rPr>
          <w:color w:val="auto"/>
        </w:rPr>
        <w:t>钻井液、岩屑经井口设置的钢制泥浆槽收集后，</w:t>
      </w:r>
      <w:r>
        <w:rPr>
          <w:rFonts w:hint="eastAsia"/>
          <w:color w:val="auto"/>
        </w:rPr>
        <w:t>本工程钻井过程中产生的钻井污水、废钻井液、岩屑执行不落地收集处理工艺，废弃泥浆在井场进行固液分离处理。分离出的液相处理达标后循环利用，分离出的无法利用的固相废弃物，就近拉运至大庆市采油八厂废弃钻井液集中处理站统一处理，处理后的泥饼满足国家《一般工业固体废物贮存和填埋污染控制标准》（</w:t>
      </w:r>
      <w:r>
        <w:rPr>
          <w:color w:val="auto"/>
        </w:rPr>
        <w:t>GB 18599-2020</w:t>
      </w:r>
      <w:r>
        <w:rPr>
          <w:rFonts w:hint="eastAsia"/>
          <w:color w:val="auto"/>
        </w:rPr>
        <w:t>）中的第</w:t>
      </w:r>
      <w:r>
        <w:rPr>
          <w:color w:val="auto"/>
        </w:rPr>
        <w:t>I</w:t>
      </w:r>
      <w:r>
        <w:rPr>
          <w:rFonts w:hint="eastAsia"/>
          <w:color w:val="auto"/>
        </w:rPr>
        <w:t>类一般工业固体废物要求，用于井场平整及道路建设</w:t>
      </w:r>
      <w:r>
        <w:rPr>
          <w:rFonts w:hint="eastAsia"/>
          <w:color w:val="auto"/>
          <w:lang w:eastAsia="zh-CN"/>
        </w:rPr>
        <w:t>。</w:t>
      </w:r>
    </w:p>
    <w:p>
      <w:pPr>
        <w:pStyle w:val="83"/>
        <w:numPr>
          <w:ilvl w:val="0"/>
          <w:numId w:val="7"/>
        </w:numPr>
        <w:bidi w:val="0"/>
        <w:rPr>
          <w:color w:val="auto"/>
        </w:rPr>
      </w:pPr>
      <w:r>
        <w:rPr>
          <w:color w:val="auto"/>
        </w:rPr>
        <w:t>本项目产生的</w:t>
      </w:r>
      <w:r>
        <w:rPr>
          <w:rFonts w:hint="eastAsia"/>
          <w:color w:val="auto"/>
        </w:rPr>
        <w:t>一般</w:t>
      </w:r>
      <w:r>
        <w:rPr>
          <w:color w:val="auto"/>
        </w:rPr>
        <w:t>包装袋属于一般废物，统一收集后</w:t>
      </w:r>
      <w:r>
        <w:rPr>
          <w:rFonts w:hint="eastAsia"/>
          <w:color w:val="auto"/>
        </w:rPr>
        <w:t>送大庆市岗源环保科技有限责任公司</w:t>
      </w:r>
      <w:r>
        <w:rPr>
          <w:color w:val="auto"/>
        </w:rPr>
        <w:t>工业</w:t>
      </w:r>
      <w:r>
        <w:rPr>
          <w:rFonts w:hint="eastAsia"/>
          <w:color w:val="auto"/>
        </w:rPr>
        <w:t>废弃物处置中心</w:t>
      </w:r>
      <w:r>
        <w:rPr>
          <w:color w:val="auto"/>
        </w:rPr>
        <w:t>处置</w:t>
      </w:r>
      <w:r>
        <w:rPr>
          <w:rFonts w:hint="eastAsia"/>
          <w:color w:val="auto"/>
        </w:rPr>
        <w:t>。</w:t>
      </w:r>
    </w:p>
    <w:p>
      <w:pPr>
        <w:pStyle w:val="83"/>
        <w:bidi w:val="0"/>
        <w:rPr>
          <w:color w:val="auto"/>
        </w:rPr>
      </w:pPr>
      <w:r>
        <w:rPr>
          <w:color w:val="auto"/>
        </w:rPr>
        <w:t>（3）施工人员产生的生活垃圾统一收集后交当地环卫部门处理。</w:t>
      </w:r>
    </w:p>
    <w:p>
      <w:pPr>
        <w:pStyle w:val="6"/>
        <w:numPr>
          <w:ilvl w:val="3"/>
          <w:numId w:val="4"/>
        </w:numPr>
        <w:bidi w:val="0"/>
        <w:rPr>
          <w:rFonts w:hint="eastAsia"/>
          <w:color w:val="auto"/>
          <w:lang w:eastAsia="zh-CN"/>
        </w:rPr>
      </w:pPr>
      <w:r>
        <w:rPr>
          <w:rFonts w:hint="eastAsia"/>
          <w:color w:val="auto"/>
          <w:lang w:eastAsia="zh-CN"/>
        </w:rPr>
        <w:t>危险废物</w:t>
      </w:r>
    </w:p>
    <w:p>
      <w:pPr>
        <w:pStyle w:val="83"/>
        <w:numPr>
          <w:ilvl w:val="0"/>
          <w:numId w:val="8"/>
        </w:numPr>
        <w:bidi w:val="0"/>
        <w:rPr>
          <w:rFonts w:hint="eastAsia"/>
          <w:color w:val="auto"/>
          <w:sz w:val="28"/>
          <w:szCs w:val="28"/>
          <w:lang w:eastAsia="zh-CN"/>
        </w:rPr>
      </w:pPr>
      <w:r>
        <w:rPr>
          <w:rFonts w:hint="eastAsia"/>
          <w:color w:val="auto"/>
          <w:sz w:val="28"/>
          <w:szCs w:val="28"/>
          <w:lang w:eastAsia="zh-CN"/>
        </w:rPr>
        <w:t>本工程产生的</w:t>
      </w:r>
      <w:r>
        <w:rPr>
          <w:color w:val="auto"/>
          <w:sz w:val="28"/>
          <w:szCs w:val="28"/>
        </w:rPr>
        <w:t>废弃氢氧化钾包装袋</w:t>
      </w:r>
      <w:r>
        <w:rPr>
          <w:snapToGrid w:val="0"/>
          <w:color w:val="auto"/>
          <w:sz w:val="28"/>
          <w:szCs w:val="28"/>
        </w:rPr>
        <w:t>均</w:t>
      </w:r>
      <w:r>
        <w:rPr>
          <w:color w:val="auto"/>
          <w:sz w:val="28"/>
          <w:szCs w:val="28"/>
        </w:rPr>
        <w:t>委托有资质单位处理</w:t>
      </w:r>
      <w:r>
        <w:rPr>
          <w:rFonts w:hint="eastAsia"/>
          <w:color w:val="auto"/>
          <w:sz w:val="28"/>
          <w:szCs w:val="28"/>
          <w:lang w:eastAsia="zh-CN"/>
        </w:rPr>
        <w:t>。本工程危险废物不进行贮存，危险废物产生之后及时清运，依托相关处理单位或委托有资质单位处理。</w:t>
      </w:r>
    </w:p>
    <w:p>
      <w:pPr>
        <w:pStyle w:val="83"/>
        <w:numPr>
          <w:ilvl w:val="0"/>
          <w:numId w:val="8"/>
        </w:numPr>
        <w:bidi w:val="0"/>
        <w:rPr>
          <w:rFonts w:hint="eastAsia"/>
          <w:color w:val="auto"/>
          <w:sz w:val="28"/>
          <w:szCs w:val="28"/>
          <w:lang w:eastAsia="zh-CN"/>
        </w:rPr>
      </w:pPr>
      <w:r>
        <w:rPr>
          <w:rFonts w:hint="eastAsia"/>
          <w:color w:val="auto"/>
          <w:sz w:val="28"/>
          <w:szCs w:val="28"/>
          <w:lang w:eastAsia="zh-CN"/>
        </w:rPr>
        <w:t>废弃油基钻井液、含油钻井岩屑危险类别及代码为HW08/071-002-08，依托大庆中林绿源生物环保有限公司处理，处理后残渣满足含油量≤3‰，满足《油田含油污泥综合利用污染控制标准（DB23/T 1413-2010）》要求后，回用于铺设油田井场、通井路；</w:t>
      </w:r>
    </w:p>
    <w:p>
      <w:pPr>
        <w:pStyle w:val="83"/>
        <w:numPr>
          <w:ilvl w:val="0"/>
          <w:numId w:val="8"/>
        </w:numPr>
        <w:bidi w:val="0"/>
        <w:rPr>
          <w:rFonts w:hint="eastAsia"/>
          <w:color w:val="auto"/>
          <w:sz w:val="28"/>
          <w:szCs w:val="28"/>
          <w:lang w:eastAsia="zh-CN"/>
        </w:rPr>
      </w:pPr>
      <w:r>
        <w:rPr>
          <w:rFonts w:hint="eastAsia"/>
          <w:color w:val="auto"/>
          <w:sz w:val="28"/>
          <w:szCs w:val="28"/>
          <w:lang w:eastAsia="zh-CN"/>
        </w:rPr>
        <w:t>废弃防渗布、废弃氢氧化钾包装袋均委托资质单位处理；</w:t>
      </w:r>
    </w:p>
    <w:p>
      <w:pPr>
        <w:pStyle w:val="83"/>
        <w:numPr>
          <w:ilvl w:val="0"/>
          <w:numId w:val="8"/>
        </w:numPr>
        <w:bidi w:val="0"/>
        <w:rPr>
          <w:rFonts w:hint="eastAsia"/>
          <w:color w:val="auto"/>
          <w:sz w:val="28"/>
          <w:szCs w:val="28"/>
          <w:lang w:eastAsia="zh-CN"/>
        </w:rPr>
      </w:pPr>
      <w:r>
        <w:rPr>
          <w:rFonts w:hint="eastAsia"/>
          <w:color w:val="auto"/>
          <w:sz w:val="28"/>
          <w:szCs w:val="28"/>
          <w:lang w:eastAsia="zh-CN"/>
        </w:rPr>
        <w:t>本工程危险废物不进行贮存，危险废物产生之后及时清运，依托相关处理单位或委托有资质单位处理；运输转移危险废物的，按照《危险废物转移联单管理办法》有关规定运行转移联单。</w:t>
      </w:r>
    </w:p>
    <w:p>
      <w:pPr>
        <w:pStyle w:val="5"/>
        <w:numPr>
          <w:ilvl w:val="2"/>
          <w:numId w:val="4"/>
        </w:numPr>
        <w:bidi w:val="0"/>
        <w:rPr>
          <w:rFonts w:hint="eastAsia"/>
          <w:color w:val="auto"/>
        </w:rPr>
      </w:pPr>
      <w:r>
        <w:rPr>
          <w:color w:val="auto"/>
        </w:rPr>
        <w:t>生态</w:t>
      </w:r>
      <w:r>
        <w:rPr>
          <w:rFonts w:hint="eastAsia"/>
          <w:color w:val="auto"/>
        </w:rPr>
        <w:t>环境</w:t>
      </w:r>
      <w:r>
        <w:rPr>
          <w:color w:val="auto"/>
        </w:rPr>
        <w:t>保护措施</w:t>
      </w:r>
    </w:p>
    <w:p>
      <w:pPr>
        <w:pStyle w:val="6"/>
        <w:numPr>
          <w:ilvl w:val="3"/>
          <w:numId w:val="4"/>
        </w:numPr>
        <w:bidi w:val="0"/>
        <w:rPr>
          <w:rFonts w:hint="eastAsia"/>
          <w:color w:val="auto"/>
        </w:rPr>
      </w:pPr>
      <w:r>
        <w:rPr>
          <w:rFonts w:hint="eastAsia"/>
          <w:color w:val="auto"/>
        </w:rPr>
        <w:t>施工期生态环境保护措施</w:t>
      </w:r>
    </w:p>
    <w:p>
      <w:pPr>
        <w:pStyle w:val="21"/>
        <w:spacing w:line="480" w:lineRule="exact"/>
        <w:ind w:firstLine="482"/>
        <w:rPr>
          <w:rFonts w:hint="eastAsia" w:ascii="Times New Roman" w:hAnsi="宋体"/>
          <w:color w:val="auto"/>
          <w:sz w:val="28"/>
          <w:szCs w:val="28"/>
        </w:rPr>
      </w:pPr>
      <w:r>
        <w:rPr>
          <w:rFonts w:hint="eastAsia" w:ascii="Times New Roman" w:hAnsi="宋体"/>
          <w:color w:val="auto"/>
          <w:sz w:val="28"/>
          <w:szCs w:val="28"/>
        </w:rPr>
        <w:t>本工程影响生态环境的因素主要是在钻井施工期间，在此期间会对井场所征用土地的植被进行清除，改变土地利用现状，为减轻工程实施产生的生态影响，本次评价提出以下措施：</w:t>
      </w:r>
    </w:p>
    <w:p>
      <w:pPr>
        <w:pStyle w:val="21"/>
        <w:spacing w:line="480" w:lineRule="exact"/>
        <w:ind w:firstLine="482"/>
        <w:rPr>
          <w:rFonts w:ascii="Times New Roman"/>
          <w:color w:val="auto"/>
          <w:sz w:val="28"/>
          <w:szCs w:val="28"/>
        </w:rPr>
      </w:pPr>
      <w:r>
        <w:rPr>
          <w:rFonts w:ascii="Times New Roman" w:hAnsi="宋体"/>
          <w:color w:val="auto"/>
          <w:sz w:val="28"/>
          <w:szCs w:val="28"/>
        </w:rPr>
        <w:t>（</w:t>
      </w:r>
      <w:r>
        <w:rPr>
          <w:rFonts w:ascii="Times New Roman"/>
          <w:color w:val="auto"/>
          <w:sz w:val="28"/>
          <w:szCs w:val="28"/>
        </w:rPr>
        <w:t>1</w:t>
      </w:r>
      <w:r>
        <w:rPr>
          <w:rFonts w:ascii="Times New Roman" w:hAnsi="宋体"/>
          <w:color w:val="auto"/>
          <w:sz w:val="28"/>
          <w:szCs w:val="28"/>
        </w:rPr>
        <w:t>）钻井施工应编制施工预案，科学安排作业，最大限度减少钻机搬迁等对植被的碾压和破坏。</w:t>
      </w:r>
    </w:p>
    <w:p>
      <w:pPr>
        <w:pStyle w:val="21"/>
        <w:spacing w:line="480" w:lineRule="exact"/>
        <w:ind w:firstLine="482"/>
        <w:rPr>
          <w:rFonts w:ascii="Times New Roman"/>
          <w:color w:val="auto"/>
          <w:sz w:val="28"/>
          <w:szCs w:val="28"/>
        </w:rPr>
      </w:pPr>
      <w:r>
        <w:rPr>
          <w:rFonts w:ascii="Times New Roman" w:hAnsi="宋体"/>
          <w:color w:val="auto"/>
          <w:sz w:val="28"/>
          <w:szCs w:val="28"/>
        </w:rPr>
        <w:t>（</w:t>
      </w:r>
      <w:r>
        <w:rPr>
          <w:rFonts w:ascii="Times New Roman"/>
          <w:color w:val="auto"/>
          <w:sz w:val="28"/>
          <w:szCs w:val="28"/>
        </w:rPr>
        <w:t>2</w:t>
      </w:r>
      <w:r>
        <w:rPr>
          <w:rFonts w:ascii="Times New Roman" w:hAnsi="宋体"/>
          <w:color w:val="auto"/>
          <w:sz w:val="28"/>
          <w:szCs w:val="28"/>
        </w:rPr>
        <w:t>）充分利用现有道路，尽量不再开辟新的临时进井通道。</w:t>
      </w:r>
    </w:p>
    <w:p>
      <w:pPr>
        <w:pStyle w:val="21"/>
        <w:spacing w:line="480" w:lineRule="exact"/>
        <w:ind w:firstLine="482"/>
        <w:rPr>
          <w:rFonts w:ascii="Times New Roman"/>
          <w:color w:val="auto"/>
          <w:sz w:val="28"/>
          <w:szCs w:val="28"/>
        </w:rPr>
      </w:pPr>
      <w:r>
        <w:rPr>
          <w:rFonts w:ascii="Times New Roman" w:hAnsi="宋体"/>
          <w:color w:val="auto"/>
          <w:sz w:val="28"/>
          <w:szCs w:val="28"/>
        </w:rPr>
        <w:t>（</w:t>
      </w:r>
      <w:r>
        <w:rPr>
          <w:rFonts w:ascii="Times New Roman"/>
          <w:color w:val="auto"/>
          <w:sz w:val="28"/>
          <w:szCs w:val="28"/>
        </w:rPr>
        <w:t>3</w:t>
      </w:r>
      <w:r>
        <w:rPr>
          <w:rFonts w:ascii="Times New Roman" w:hAnsi="宋体"/>
          <w:color w:val="auto"/>
          <w:sz w:val="28"/>
          <w:szCs w:val="28"/>
        </w:rPr>
        <w:t>）搬运钻井设备利用现有公路、小路，执行</w:t>
      </w:r>
      <w:r>
        <w:rPr>
          <w:rFonts w:ascii="Times New Roman"/>
          <w:color w:val="auto"/>
          <w:sz w:val="28"/>
          <w:szCs w:val="28"/>
        </w:rPr>
        <w:t>“</w:t>
      </w:r>
      <w:r>
        <w:rPr>
          <w:rFonts w:ascii="Times New Roman" w:hAnsi="宋体"/>
          <w:color w:val="auto"/>
          <w:sz w:val="28"/>
          <w:szCs w:val="28"/>
        </w:rPr>
        <w:t>无捷径</w:t>
      </w:r>
      <w:r>
        <w:rPr>
          <w:rFonts w:ascii="Times New Roman"/>
          <w:color w:val="auto"/>
          <w:sz w:val="28"/>
          <w:szCs w:val="28"/>
        </w:rPr>
        <w:t>”</w:t>
      </w:r>
      <w:r>
        <w:rPr>
          <w:rFonts w:ascii="Times New Roman" w:hAnsi="宋体"/>
          <w:color w:val="auto"/>
          <w:sz w:val="28"/>
          <w:szCs w:val="28"/>
        </w:rPr>
        <w:t>原则，认真确定车辆行驶路线，不在道路、井场以外的地方行驶和作业，禁止碾压和破坏地表植被。</w:t>
      </w:r>
    </w:p>
    <w:p>
      <w:pPr>
        <w:pStyle w:val="21"/>
        <w:spacing w:line="480" w:lineRule="exact"/>
        <w:ind w:firstLine="482"/>
        <w:rPr>
          <w:rFonts w:ascii="Times New Roman"/>
          <w:color w:val="auto"/>
          <w:sz w:val="28"/>
          <w:szCs w:val="28"/>
        </w:rPr>
      </w:pPr>
      <w:r>
        <w:rPr>
          <w:rFonts w:ascii="Times New Roman" w:hAnsi="宋体"/>
          <w:color w:val="auto"/>
          <w:sz w:val="28"/>
          <w:szCs w:val="28"/>
        </w:rPr>
        <w:t>（</w:t>
      </w:r>
      <w:r>
        <w:rPr>
          <w:rFonts w:ascii="Times New Roman"/>
          <w:color w:val="auto"/>
          <w:sz w:val="28"/>
          <w:szCs w:val="28"/>
        </w:rPr>
        <w:t>4</w:t>
      </w:r>
      <w:r>
        <w:rPr>
          <w:rFonts w:ascii="Times New Roman" w:hAnsi="宋体"/>
          <w:color w:val="auto"/>
          <w:sz w:val="28"/>
          <w:szCs w:val="28"/>
        </w:rPr>
        <w:t>）井场布置必须遵守《大庆油田开发建设用地标准》规定，严格控制施工作业面积，以减少地表植被破坏。</w:t>
      </w:r>
    </w:p>
    <w:p>
      <w:pPr>
        <w:pStyle w:val="21"/>
        <w:spacing w:line="480" w:lineRule="exact"/>
        <w:ind w:firstLine="482"/>
        <w:rPr>
          <w:rFonts w:hint="eastAsia" w:ascii="Times New Roman" w:hAnsi="宋体"/>
          <w:color w:val="auto"/>
          <w:sz w:val="28"/>
          <w:szCs w:val="28"/>
        </w:rPr>
      </w:pPr>
      <w:r>
        <w:rPr>
          <w:rFonts w:ascii="Times New Roman" w:hAnsi="宋体"/>
          <w:color w:val="auto"/>
          <w:sz w:val="28"/>
          <w:szCs w:val="28"/>
        </w:rPr>
        <w:t>（</w:t>
      </w:r>
      <w:r>
        <w:rPr>
          <w:rFonts w:hint="eastAsia" w:ascii="Times New Roman"/>
          <w:color w:val="auto"/>
          <w:sz w:val="28"/>
          <w:szCs w:val="28"/>
        </w:rPr>
        <w:t>5</w:t>
      </w:r>
      <w:r>
        <w:rPr>
          <w:rFonts w:ascii="Times New Roman" w:hAnsi="宋体"/>
          <w:color w:val="auto"/>
          <w:sz w:val="28"/>
          <w:szCs w:val="28"/>
        </w:rPr>
        <w:t>）钻井施工过程中，应尽量减少占地面积，并规范行车路线及施工人员行为，严禁随意践踏、碾压施工区范围外的植被，不准乱挖、乱采植物。</w:t>
      </w:r>
    </w:p>
    <w:p>
      <w:pPr>
        <w:pStyle w:val="21"/>
        <w:spacing w:line="480" w:lineRule="exact"/>
        <w:ind w:firstLine="482"/>
        <w:rPr>
          <w:rFonts w:hint="eastAsia" w:ascii="Times New Roman" w:hAnsi="宋体"/>
          <w:color w:val="auto"/>
          <w:sz w:val="28"/>
          <w:szCs w:val="28"/>
        </w:rPr>
      </w:pPr>
      <w:r>
        <w:rPr>
          <w:rFonts w:hint="eastAsia" w:ascii="Times New Roman" w:hAnsi="宋体"/>
          <w:color w:val="auto"/>
          <w:sz w:val="28"/>
          <w:szCs w:val="28"/>
        </w:rPr>
        <w:t>（</w:t>
      </w:r>
      <w:r>
        <w:rPr>
          <w:rFonts w:ascii="Times New Roman" w:hAnsi="宋体"/>
          <w:color w:val="auto"/>
          <w:sz w:val="28"/>
          <w:szCs w:val="28"/>
        </w:rPr>
        <w:t>5</w:t>
      </w:r>
      <w:r>
        <w:rPr>
          <w:rFonts w:hint="eastAsia" w:ascii="Times New Roman" w:hAnsi="宋体"/>
          <w:color w:val="auto"/>
          <w:sz w:val="28"/>
          <w:szCs w:val="28"/>
        </w:rPr>
        <w:t>）缩短临时占地时间，施工完毕后尽快对全部的临时占地进行平整翻松，以利于植被自然恢复，井场地表恢复原有地貌。</w:t>
      </w:r>
    </w:p>
    <w:p>
      <w:pPr>
        <w:pStyle w:val="21"/>
        <w:spacing w:line="480" w:lineRule="exact"/>
        <w:ind w:firstLine="482"/>
        <w:rPr>
          <w:rFonts w:hint="eastAsia" w:ascii="Times New Roman" w:hAnsi="宋体"/>
          <w:color w:val="auto"/>
          <w:sz w:val="28"/>
          <w:szCs w:val="28"/>
        </w:rPr>
      </w:pPr>
      <w:r>
        <w:rPr>
          <w:rFonts w:ascii="Times New Roman" w:hAnsi="宋体"/>
          <w:color w:val="auto"/>
          <w:sz w:val="28"/>
          <w:szCs w:val="28"/>
        </w:rPr>
        <w:t>（</w:t>
      </w:r>
      <w:r>
        <w:rPr>
          <w:rFonts w:hint="eastAsia" w:ascii="Times New Roman"/>
          <w:color w:val="auto"/>
          <w:sz w:val="28"/>
          <w:szCs w:val="28"/>
        </w:rPr>
        <w:t>7</w:t>
      </w:r>
      <w:r>
        <w:rPr>
          <w:rFonts w:ascii="Times New Roman" w:hAnsi="宋体"/>
          <w:color w:val="auto"/>
          <w:sz w:val="28"/>
          <w:szCs w:val="28"/>
        </w:rPr>
        <w:t>）恢复土地生产能力，提高土壤肥力。施工过程中尽量保护土地资源，不打乱土层，先挖表土层（</w:t>
      </w:r>
      <w:r>
        <w:rPr>
          <w:rFonts w:ascii="Times New Roman"/>
          <w:color w:val="auto"/>
          <w:sz w:val="28"/>
          <w:szCs w:val="28"/>
        </w:rPr>
        <w:t>20cm-30cm</w:t>
      </w:r>
      <w:r>
        <w:rPr>
          <w:rFonts w:ascii="Times New Roman" w:hAnsi="宋体"/>
          <w:color w:val="auto"/>
          <w:sz w:val="28"/>
          <w:szCs w:val="28"/>
        </w:rPr>
        <w:t>左右）单独堆放；然后挖心、底土层另外堆放。复原时先填心、底土，后平覆表土，以便尽快使土地复耕。</w:t>
      </w:r>
    </w:p>
    <w:p>
      <w:pPr>
        <w:pStyle w:val="21"/>
        <w:spacing w:line="480" w:lineRule="exact"/>
        <w:ind w:firstLine="482"/>
        <w:rPr>
          <w:rFonts w:hint="eastAsia" w:ascii="Times New Roman" w:hAnsi="宋体"/>
          <w:color w:val="auto"/>
          <w:sz w:val="28"/>
          <w:szCs w:val="28"/>
        </w:rPr>
      </w:pPr>
      <w:r>
        <w:rPr>
          <w:rFonts w:hint="eastAsia" w:ascii="Times New Roman" w:hAnsi="宋体"/>
          <w:color w:val="auto"/>
          <w:sz w:val="28"/>
          <w:szCs w:val="28"/>
        </w:rPr>
        <w:t>（</w:t>
      </w:r>
      <w:r>
        <w:rPr>
          <w:rFonts w:ascii="Times New Roman" w:hAnsi="宋体"/>
          <w:color w:val="auto"/>
          <w:sz w:val="28"/>
          <w:szCs w:val="28"/>
        </w:rPr>
        <w:t>8</w:t>
      </w:r>
      <w:r>
        <w:rPr>
          <w:rFonts w:hint="eastAsia" w:ascii="Times New Roman" w:hAnsi="宋体"/>
          <w:color w:val="auto"/>
          <w:sz w:val="28"/>
          <w:szCs w:val="28"/>
        </w:rPr>
        <w:t>）及时落实生态补偿和恢复措施，对临时占用的耕地进行整平翻松，对永久占用的耕地按</w:t>
      </w:r>
      <w:r>
        <w:rPr>
          <w:rFonts w:ascii="Times New Roman" w:hAnsi="宋体"/>
          <w:color w:val="auto"/>
          <w:sz w:val="28"/>
          <w:szCs w:val="28"/>
        </w:rPr>
        <w:t>“</w:t>
      </w:r>
      <w:r>
        <w:rPr>
          <w:rFonts w:hint="eastAsia" w:ascii="Times New Roman" w:hAnsi="宋体"/>
          <w:color w:val="auto"/>
          <w:sz w:val="28"/>
          <w:szCs w:val="28"/>
        </w:rPr>
        <w:t>占一补一</w:t>
      </w:r>
      <w:r>
        <w:rPr>
          <w:rFonts w:ascii="Times New Roman" w:hAnsi="宋体"/>
          <w:color w:val="auto"/>
          <w:sz w:val="28"/>
          <w:szCs w:val="28"/>
        </w:rPr>
        <w:t>”</w:t>
      </w:r>
      <w:r>
        <w:rPr>
          <w:rFonts w:hint="eastAsia" w:ascii="Times New Roman" w:hAnsi="宋体"/>
          <w:color w:val="auto"/>
          <w:sz w:val="28"/>
          <w:szCs w:val="28"/>
        </w:rPr>
        <w:t>的原则及相关规定缴纳土地补偿费，专款用于耕地的恢复及补偿。</w:t>
      </w:r>
    </w:p>
    <w:p>
      <w:pPr>
        <w:pStyle w:val="21"/>
        <w:spacing w:line="480" w:lineRule="exact"/>
        <w:ind w:firstLine="482"/>
        <w:rPr>
          <w:rFonts w:ascii="Times New Roman"/>
          <w:color w:val="auto"/>
          <w:sz w:val="28"/>
          <w:szCs w:val="28"/>
        </w:rPr>
      </w:pPr>
      <w:r>
        <w:rPr>
          <w:rFonts w:ascii="Times New Roman" w:hAnsi="宋体"/>
          <w:color w:val="auto"/>
          <w:sz w:val="28"/>
          <w:szCs w:val="28"/>
        </w:rPr>
        <w:t>（</w:t>
      </w:r>
      <w:r>
        <w:rPr>
          <w:rFonts w:hint="eastAsia" w:ascii="Times New Roman"/>
          <w:color w:val="auto"/>
          <w:sz w:val="28"/>
          <w:szCs w:val="28"/>
        </w:rPr>
        <w:t>9</w:t>
      </w:r>
      <w:r>
        <w:rPr>
          <w:rFonts w:ascii="Times New Roman" w:hAnsi="宋体"/>
          <w:color w:val="auto"/>
          <w:sz w:val="28"/>
          <w:szCs w:val="28"/>
        </w:rPr>
        <w:t>）施工结束后施工营地进行搬迁，料场做到工完、料净、场地清。井场生活污水池进行清理填埋，按照先填心、底土，后平覆表土，柴油罐区的防渗材料及围堰与柴油罐一同拆除，临时占</w:t>
      </w:r>
      <w:r>
        <w:rPr>
          <w:rFonts w:hint="eastAsia" w:ascii="Times New Roman" w:hAnsi="宋体"/>
          <w:color w:val="auto"/>
          <w:sz w:val="28"/>
          <w:szCs w:val="28"/>
        </w:rPr>
        <w:t>用耕地</w:t>
      </w:r>
      <w:r>
        <w:rPr>
          <w:rFonts w:ascii="Times New Roman" w:hAnsi="宋体"/>
          <w:color w:val="auto"/>
          <w:sz w:val="28"/>
          <w:szCs w:val="28"/>
        </w:rPr>
        <w:t>等质等量复</w:t>
      </w:r>
      <w:r>
        <w:rPr>
          <w:rFonts w:hint="eastAsia" w:ascii="Times New Roman" w:hAnsi="宋体"/>
          <w:color w:val="auto"/>
          <w:sz w:val="28"/>
          <w:szCs w:val="28"/>
        </w:rPr>
        <w:t>垦</w:t>
      </w:r>
      <w:r>
        <w:rPr>
          <w:rFonts w:ascii="Times New Roman" w:hAnsi="宋体"/>
          <w:color w:val="auto"/>
          <w:sz w:val="28"/>
          <w:szCs w:val="28"/>
        </w:rPr>
        <w:t>。</w:t>
      </w:r>
    </w:p>
    <w:p>
      <w:pPr>
        <w:spacing w:line="480" w:lineRule="exact"/>
        <w:ind w:firstLine="560" w:firstLineChars="200"/>
        <w:rPr>
          <w:color w:val="auto"/>
          <w:sz w:val="28"/>
          <w:szCs w:val="28"/>
        </w:rPr>
      </w:pPr>
      <w:r>
        <w:rPr>
          <w:rFonts w:hAnsi="宋体"/>
          <w:color w:val="auto"/>
          <w:sz w:val="28"/>
          <w:szCs w:val="28"/>
        </w:rPr>
        <w:t>（</w:t>
      </w:r>
      <w:r>
        <w:rPr>
          <w:rFonts w:hint="eastAsia"/>
          <w:color w:val="auto"/>
          <w:sz w:val="28"/>
          <w:szCs w:val="28"/>
        </w:rPr>
        <w:t>10</w:t>
      </w:r>
      <w:r>
        <w:rPr>
          <w:rFonts w:hAnsi="宋体"/>
          <w:color w:val="auto"/>
          <w:sz w:val="28"/>
          <w:szCs w:val="28"/>
        </w:rPr>
        <w:t>）本工程临时及永久占用的耕地（基本农田），按照相关规定缴纳耕地开垦费、恢复费和补偿费，专款用于开垦新的耕地；将所占耕地的耕作层土壤用于新开垦耕地、劣质地或其它耕地的土壤改良。</w:t>
      </w:r>
    </w:p>
    <w:p>
      <w:pPr>
        <w:spacing w:line="480" w:lineRule="exact"/>
        <w:ind w:firstLine="560" w:firstLineChars="200"/>
        <w:rPr>
          <w:rFonts w:hint="eastAsia" w:hAnsi="宋体"/>
          <w:color w:val="auto"/>
          <w:sz w:val="28"/>
          <w:szCs w:val="28"/>
        </w:rPr>
      </w:pPr>
      <w:r>
        <w:rPr>
          <w:rFonts w:hAnsi="宋体"/>
          <w:color w:val="auto"/>
          <w:sz w:val="28"/>
          <w:szCs w:val="28"/>
        </w:rPr>
        <w:t>（</w:t>
      </w:r>
      <w:r>
        <w:rPr>
          <w:rFonts w:hint="eastAsia"/>
          <w:color w:val="auto"/>
          <w:sz w:val="28"/>
          <w:szCs w:val="28"/>
        </w:rPr>
        <w:t>11</w:t>
      </w:r>
      <w:r>
        <w:rPr>
          <w:rFonts w:hAnsi="宋体"/>
          <w:color w:val="auto"/>
          <w:sz w:val="28"/>
          <w:szCs w:val="28"/>
        </w:rPr>
        <w:t>）严格控制在耕地内的施工活动，限制施工范围和施工时限，将施工期对农业损失降至最小，例如优化工程施工周期尽量避开农作物的生长期进行施工。</w:t>
      </w:r>
    </w:p>
    <w:p>
      <w:pPr>
        <w:spacing w:line="480" w:lineRule="exact"/>
        <w:ind w:firstLine="560" w:firstLineChars="200"/>
        <w:rPr>
          <w:rFonts w:hint="eastAsia"/>
          <w:color w:val="auto"/>
          <w:sz w:val="28"/>
          <w:szCs w:val="28"/>
        </w:rPr>
      </w:pPr>
      <w:r>
        <w:rPr>
          <w:rFonts w:hint="eastAsia"/>
          <w:color w:val="auto"/>
          <w:sz w:val="28"/>
          <w:szCs w:val="28"/>
        </w:rPr>
        <w:t>（</w:t>
      </w:r>
      <w:r>
        <w:rPr>
          <w:color w:val="auto"/>
          <w:sz w:val="28"/>
          <w:szCs w:val="28"/>
        </w:rPr>
        <w:t>1</w:t>
      </w:r>
      <w:r>
        <w:rPr>
          <w:rFonts w:hint="eastAsia"/>
          <w:color w:val="auto"/>
          <w:sz w:val="28"/>
          <w:szCs w:val="28"/>
        </w:rPr>
        <w:t>2）本工程设置一座放喷池用于事故状态下放喷采出液等物料，正常状况下放喷池内不涉及污染物产生及贮存，因此施工结束后放喷池可直接填埋恢复。若施工期发生需要放喷的事故，则作业结束后，放喷池需要首先进行清理，池内污染物及防渗布需要全部清运，清运完成后保证池内无污染物遗留，则可进行填埋恢复。</w:t>
      </w:r>
    </w:p>
    <w:p>
      <w:pPr>
        <w:spacing w:line="480" w:lineRule="exact"/>
        <w:ind w:firstLine="560" w:firstLineChars="200"/>
        <w:rPr>
          <w:rFonts w:ascii="Times New Roman"/>
          <w:color w:val="auto"/>
          <w:sz w:val="28"/>
          <w:szCs w:val="28"/>
        </w:rPr>
      </w:pPr>
      <w:r>
        <w:rPr>
          <w:rFonts w:hint="eastAsia"/>
          <w:color w:val="auto"/>
          <w:sz w:val="28"/>
          <w:szCs w:val="28"/>
        </w:rPr>
        <w:t>（13）本工程临时占地</w:t>
      </w:r>
      <w:r>
        <w:rPr>
          <w:rFonts w:hint="eastAsia"/>
          <w:color w:val="auto"/>
          <w:sz w:val="28"/>
          <w:szCs w:val="28"/>
          <w:lang w:val="en-US" w:eastAsia="zh-CN"/>
        </w:rPr>
        <w:t>11.84</w:t>
      </w:r>
      <w:r>
        <w:rPr>
          <w:color w:val="auto"/>
          <w:sz w:val="28"/>
          <w:szCs w:val="28"/>
        </w:rPr>
        <w:t>hm</w:t>
      </w:r>
      <w:r>
        <w:rPr>
          <w:color w:val="auto"/>
          <w:sz w:val="28"/>
          <w:szCs w:val="28"/>
          <w:vertAlign w:val="superscript"/>
        </w:rPr>
        <w:t>2</w:t>
      </w:r>
      <w:r>
        <w:rPr>
          <w:rFonts w:hint="eastAsia"/>
          <w:color w:val="auto"/>
          <w:sz w:val="28"/>
          <w:szCs w:val="28"/>
        </w:rPr>
        <w:t>，临时占用基本农田</w:t>
      </w:r>
      <w:r>
        <w:rPr>
          <w:rFonts w:hint="eastAsia"/>
          <w:color w:val="auto"/>
          <w:sz w:val="28"/>
          <w:szCs w:val="28"/>
          <w:lang w:val="en-US" w:eastAsia="zh-CN"/>
        </w:rPr>
        <w:t>10.995</w:t>
      </w:r>
      <w:r>
        <w:rPr>
          <w:rFonts w:hint="eastAsia"/>
          <w:color w:val="auto"/>
          <w:sz w:val="28"/>
          <w:szCs w:val="28"/>
        </w:rPr>
        <w:t>hm</w:t>
      </w:r>
      <w:r>
        <w:rPr>
          <w:rFonts w:hint="eastAsia"/>
          <w:color w:val="auto"/>
          <w:sz w:val="28"/>
          <w:szCs w:val="28"/>
          <w:vertAlign w:val="superscript"/>
        </w:rPr>
        <w:t>2</w:t>
      </w:r>
      <w:r>
        <w:rPr>
          <w:rFonts w:hint="eastAsia"/>
          <w:color w:val="auto"/>
          <w:sz w:val="28"/>
          <w:szCs w:val="28"/>
        </w:rPr>
        <w:t>、一般草地0.845hm</w:t>
      </w:r>
      <w:r>
        <w:rPr>
          <w:rFonts w:hint="eastAsia"/>
          <w:color w:val="auto"/>
          <w:sz w:val="28"/>
          <w:szCs w:val="28"/>
          <w:vertAlign w:val="superscript"/>
        </w:rPr>
        <w:t>2</w:t>
      </w:r>
      <w:r>
        <w:rPr>
          <w:rFonts w:hint="eastAsia"/>
          <w:color w:val="auto"/>
          <w:sz w:val="28"/>
          <w:szCs w:val="28"/>
        </w:rPr>
        <w:t>，施工结束后，临时占地根据其原有种植农作物进行补偿恢复，恢复工作也可在征地过程中给予农民一定的费用补偿，由农民自行进行土地恢复。</w:t>
      </w:r>
      <w:r>
        <w:rPr>
          <w:rFonts w:ascii="Times New Roman" w:hAnsi="宋体"/>
          <w:color w:val="auto"/>
          <w:sz w:val="28"/>
          <w:szCs w:val="28"/>
        </w:rPr>
        <w:t>本工程典型生态保护措施平面布置示意图见</w:t>
      </w:r>
      <w:r>
        <w:rPr>
          <w:rFonts w:hint="eastAsia" w:hAnsi="宋体"/>
          <w:color w:val="auto"/>
          <w:sz w:val="28"/>
          <w:szCs w:val="28"/>
          <w:lang w:eastAsia="zh-CN"/>
        </w:rPr>
        <w:t>附</w:t>
      </w:r>
      <w:r>
        <w:rPr>
          <w:rFonts w:ascii="Times New Roman" w:hAnsi="宋体"/>
          <w:color w:val="auto"/>
          <w:sz w:val="28"/>
          <w:szCs w:val="28"/>
        </w:rPr>
        <w:t>图</w:t>
      </w:r>
      <w:r>
        <w:rPr>
          <w:rFonts w:hint="eastAsia" w:ascii="Times New Roman"/>
          <w:color w:val="auto"/>
          <w:sz w:val="28"/>
          <w:szCs w:val="28"/>
        </w:rPr>
        <w:t>6.1</w:t>
      </w:r>
      <w:r>
        <w:rPr>
          <w:rFonts w:ascii="Times New Roman"/>
          <w:color w:val="auto"/>
          <w:sz w:val="28"/>
          <w:szCs w:val="28"/>
        </w:rPr>
        <w:t>-</w:t>
      </w:r>
      <w:r>
        <w:rPr>
          <w:rFonts w:hint="eastAsia" w:ascii="Times New Roman"/>
          <w:color w:val="auto"/>
          <w:sz w:val="28"/>
          <w:szCs w:val="28"/>
        </w:rPr>
        <w:t>2</w:t>
      </w:r>
      <w:r>
        <w:rPr>
          <w:rFonts w:ascii="Times New Roman" w:hAnsi="宋体"/>
          <w:color w:val="auto"/>
          <w:sz w:val="28"/>
          <w:szCs w:val="28"/>
        </w:rPr>
        <w:t>。</w:t>
      </w:r>
    </w:p>
    <w:p>
      <w:pPr>
        <w:pStyle w:val="6"/>
        <w:numPr>
          <w:ilvl w:val="3"/>
          <w:numId w:val="4"/>
        </w:numPr>
        <w:bidi w:val="0"/>
        <w:rPr>
          <w:color w:val="auto"/>
        </w:rPr>
      </w:pPr>
      <w:r>
        <w:rPr>
          <w:rFonts w:hint="eastAsia"/>
          <w:color w:val="auto"/>
        </w:rPr>
        <w:t>永久本农田保护措施</w:t>
      </w:r>
      <w:r>
        <w:rPr>
          <w:color w:val="auto"/>
        </w:rPr>
        <w:t xml:space="preserve"> </w:t>
      </w:r>
    </w:p>
    <w:p>
      <w:pPr>
        <w:pStyle w:val="21"/>
        <w:spacing w:line="480" w:lineRule="exact"/>
        <w:ind w:firstLine="482"/>
        <w:rPr>
          <w:rFonts w:hint="eastAsia" w:ascii="Times New Roman" w:hAnsi="宋体"/>
          <w:color w:val="auto"/>
          <w:sz w:val="28"/>
          <w:szCs w:val="28"/>
        </w:rPr>
      </w:pPr>
      <w:r>
        <w:rPr>
          <w:rFonts w:hint="eastAsia" w:ascii="Times New Roman" w:hAnsi="宋体"/>
          <w:color w:val="auto"/>
          <w:sz w:val="28"/>
          <w:szCs w:val="28"/>
        </w:rPr>
        <w:t>本工程总占地面积</w:t>
      </w:r>
      <w:r>
        <w:rPr>
          <w:rFonts w:hint="eastAsia" w:hAnsi="宋体"/>
          <w:color w:val="auto"/>
          <w:sz w:val="28"/>
          <w:szCs w:val="28"/>
          <w:lang w:val="en-US" w:eastAsia="zh-CN"/>
        </w:rPr>
        <w:t>1.6</w:t>
      </w:r>
      <w:r>
        <w:rPr>
          <w:rFonts w:ascii="Times New Roman" w:hAnsi="宋体"/>
          <w:color w:val="auto"/>
          <w:sz w:val="28"/>
          <w:szCs w:val="28"/>
        </w:rPr>
        <w:t>hm</w:t>
      </w:r>
      <w:r>
        <w:rPr>
          <w:rFonts w:ascii="Times New Roman"/>
          <w:color w:val="auto"/>
          <w:sz w:val="28"/>
          <w:szCs w:val="28"/>
          <w:vertAlign w:val="superscript"/>
        </w:rPr>
        <w:t>2</w:t>
      </w:r>
      <w:r>
        <w:rPr>
          <w:rFonts w:hint="eastAsia" w:ascii="Times New Roman" w:hAnsi="宋体"/>
          <w:color w:val="auto"/>
          <w:sz w:val="28"/>
          <w:szCs w:val="28"/>
        </w:rPr>
        <w:t>，全部为永久基本农田，须按相关要求进行保护管理：</w:t>
      </w:r>
    </w:p>
    <w:p>
      <w:pPr>
        <w:pStyle w:val="21"/>
        <w:spacing w:line="480" w:lineRule="exact"/>
        <w:ind w:firstLine="482"/>
        <w:rPr>
          <w:rFonts w:ascii="Times New Roman" w:hAnsi="宋体"/>
          <w:color w:val="auto"/>
          <w:sz w:val="28"/>
          <w:szCs w:val="28"/>
        </w:rPr>
      </w:pPr>
      <w:r>
        <w:rPr>
          <w:rFonts w:hint="eastAsia" w:ascii="Times New Roman" w:hAnsi="宋体"/>
          <w:color w:val="auto"/>
          <w:sz w:val="28"/>
          <w:szCs w:val="28"/>
        </w:rPr>
        <w:t>（</w:t>
      </w:r>
      <w:r>
        <w:rPr>
          <w:rFonts w:ascii="Times New Roman" w:hAnsi="宋体"/>
          <w:color w:val="auto"/>
          <w:sz w:val="28"/>
          <w:szCs w:val="28"/>
        </w:rPr>
        <w:t>1</w:t>
      </w:r>
      <w:r>
        <w:rPr>
          <w:rFonts w:hint="eastAsia" w:ascii="Times New Roman" w:hAnsi="宋体"/>
          <w:color w:val="auto"/>
          <w:sz w:val="28"/>
          <w:szCs w:val="28"/>
        </w:rPr>
        <w:t>）严格执行相关法律、法规关于基本农田的保护规定</w:t>
      </w:r>
      <w:r>
        <w:rPr>
          <w:rFonts w:ascii="Times New Roman" w:hAnsi="宋体"/>
          <w:color w:val="auto"/>
          <w:sz w:val="28"/>
          <w:szCs w:val="28"/>
        </w:rPr>
        <w:t xml:space="preserve"> </w:t>
      </w:r>
    </w:p>
    <w:p>
      <w:pPr>
        <w:pStyle w:val="21"/>
        <w:spacing w:line="480" w:lineRule="exact"/>
        <w:ind w:firstLine="482"/>
        <w:rPr>
          <w:rFonts w:ascii="Times New Roman" w:hAnsi="宋体"/>
          <w:color w:val="auto"/>
          <w:sz w:val="28"/>
          <w:szCs w:val="28"/>
        </w:rPr>
      </w:pPr>
      <w:r>
        <w:rPr>
          <w:rFonts w:hint="eastAsia" w:ascii="Times New Roman" w:hAnsi="宋体"/>
          <w:color w:val="auto"/>
          <w:sz w:val="28"/>
          <w:szCs w:val="28"/>
        </w:rPr>
        <w:t>严格执行《中华人民共和国土地管理法》、《基本农田保护条例》和《自然资源部农业农村部关于加强和改进永久基本农田保护工作的通知》（自然资规</w:t>
      </w:r>
      <w:r>
        <w:rPr>
          <w:rFonts w:ascii="Times New Roman" w:hAnsi="宋体"/>
          <w:color w:val="auto"/>
          <w:sz w:val="28"/>
          <w:szCs w:val="28"/>
        </w:rPr>
        <w:t>[2019]1</w:t>
      </w:r>
      <w:r>
        <w:rPr>
          <w:rFonts w:hint="eastAsia" w:ascii="Times New Roman" w:hAnsi="宋体"/>
          <w:color w:val="auto"/>
          <w:sz w:val="28"/>
          <w:szCs w:val="28"/>
        </w:rPr>
        <w:t>号）等文件中相关基本农田保护规定：</w:t>
      </w:r>
      <w:r>
        <w:rPr>
          <w:rFonts w:ascii="Times New Roman" w:hAnsi="宋体"/>
          <w:color w:val="auto"/>
          <w:sz w:val="28"/>
          <w:szCs w:val="28"/>
        </w:rPr>
        <w:t xml:space="preserve"> </w:t>
      </w:r>
    </w:p>
    <w:p>
      <w:pPr>
        <w:pStyle w:val="21"/>
        <w:spacing w:line="480" w:lineRule="exact"/>
        <w:ind w:firstLine="482"/>
        <w:rPr>
          <w:rFonts w:ascii="Times New Roman" w:hAnsi="宋体"/>
          <w:color w:val="auto"/>
          <w:sz w:val="28"/>
          <w:szCs w:val="28"/>
        </w:rPr>
      </w:pPr>
      <w:r>
        <w:rPr>
          <w:rFonts w:hint="eastAsia" w:ascii="Times New Roman" w:hAnsi="宋体"/>
          <w:color w:val="auto"/>
          <w:sz w:val="28"/>
          <w:szCs w:val="28"/>
        </w:rPr>
        <w:t>①国家能源、交通、水利、军事设施等重点建设项目选址确实无法避开基本农田保护区，需要占用基本农田，涉及农用地转用或者征用土地的，必须经国务院批准。</w:t>
      </w:r>
    </w:p>
    <w:p>
      <w:pPr>
        <w:pStyle w:val="21"/>
        <w:spacing w:line="480" w:lineRule="exact"/>
        <w:ind w:firstLine="482"/>
        <w:rPr>
          <w:rFonts w:ascii="Times New Roman" w:hAnsi="宋体"/>
          <w:color w:val="auto"/>
          <w:sz w:val="28"/>
          <w:szCs w:val="28"/>
        </w:rPr>
      </w:pPr>
      <w:r>
        <w:rPr>
          <w:rFonts w:hint="eastAsia" w:ascii="Times New Roman" w:hAnsi="宋体"/>
          <w:color w:val="auto"/>
          <w:sz w:val="28"/>
          <w:szCs w:val="28"/>
        </w:rPr>
        <w:t>②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w:t>
      </w:r>
      <w:r>
        <w:rPr>
          <w:rFonts w:ascii="Times New Roman" w:hAnsi="宋体"/>
          <w:color w:val="auto"/>
          <w:sz w:val="28"/>
          <w:szCs w:val="28"/>
        </w:rPr>
        <w:t xml:space="preserve"> </w:t>
      </w:r>
    </w:p>
    <w:p>
      <w:pPr>
        <w:pStyle w:val="21"/>
        <w:spacing w:line="480" w:lineRule="exact"/>
        <w:ind w:firstLine="482"/>
        <w:rPr>
          <w:rFonts w:ascii="Times New Roman" w:hAnsi="宋体"/>
          <w:color w:val="auto"/>
          <w:sz w:val="28"/>
          <w:szCs w:val="28"/>
        </w:rPr>
      </w:pPr>
      <w:r>
        <w:rPr>
          <w:rFonts w:hint="eastAsia" w:ascii="Times New Roman" w:hAnsi="宋体"/>
          <w:color w:val="auto"/>
          <w:sz w:val="28"/>
          <w:szCs w:val="28"/>
        </w:rPr>
        <w:t>③符合法律规定确需占用基本农田的非农建设项目，要先补划后报批。省级国土资源部门和农业部门要对补划的基本农田进行验收，保证补划的基本农田落到地块，确保基本农田数量和质量的平衡，防止占优补劣。占用前要将耕作层进行剥离，用于新开垦耕地或其他耕地的土壤改良。</w:t>
      </w:r>
      <w:r>
        <w:rPr>
          <w:rFonts w:ascii="Times New Roman" w:hAnsi="宋体"/>
          <w:color w:val="auto"/>
          <w:sz w:val="28"/>
          <w:szCs w:val="28"/>
        </w:rPr>
        <w:t xml:space="preserve"> </w:t>
      </w:r>
    </w:p>
    <w:p>
      <w:pPr>
        <w:pStyle w:val="21"/>
        <w:spacing w:line="480" w:lineRule="exact"/>
        <w:ind w:firstLine="482"/>
        <w:rPr>
          <w:rFonts w:ascii="Times New Roman" w:hAnsi="宋体"/>
          <w:color w:val="auto"/>
          <w:sz w:val="28"/>
          <w:szCs w:val="28"/>
        </w:rPr>
      </w:pPr>
      <w:r>
        <w:rPr>
          <w:rFonts w:hint="eastAsia" w:ascii="Times New Roman" w:hAnsi="宋体"/>
          <w:color w:val="auto"/>
          <w:sz w:val="28"/>
          <w:szCs w:val="28"/>
        </w:rPr>
        <w:t>（</w:t>
      </w:r>
      <w:r>
        <w:rPr>
          <w:rFonts w:ascii="Times New Roman" w:hAnsi="宋体"/>
          <w:color w:val="auto"/>
          <w:sz w:val="28"/>
          <w:szCs w:val="28"/>
        </w:rPr>
        <w:t>2</w:t>
      </w:r>
      <w:r>
        <w:rPr>
          <w:rFonts w:hint="eastAsia" w:ascii="Times New Roman" w:hAnsi="宋体"/>
          <w:color w:val="auto"/>
          <w:sz w:val="28"/>
          <w:szCs w:val="28"/>
        </w:rPr>
        <w:t>）基本农田保护方案</w:t>
      </w:r>
      <w:r>
        <w:rPr>
          <w:rFonts w:ascii="Times New Roman" w:hAnsi="宋体"/>
          <w:color w:val="auto"/>
          <w:sz w:val="28"/>
          <w:szCs w:val="28"/>
        </w:rPr>
        <w:t xml:space="preserve"> </w:t>
      </w:r>
    </w:p>
    <w:p>
      <w:pPr>
        <w:pStyle w:val="21"/>
        <w:spacing w:line="480" w:lineRule="exact"/>
        <w:ind w:firstLine="482"/>
        <w:rPr>
          <w:rFonts w:ascii="Times New Roman" w:hAnsi="宋体"/>
          <w:color w:val="auto"/>
          <w:sz w:val="28"/>
          <w:szCs w:val="28"/>
        </w:rPr>
      </w:pPr>
      <w:r>
        <w:rPr>
          <w:rFonts w:hint="eastAsia" w:ascii="Times New Roman" w:hAnsi="宋体"/>
          <w:color w:val="auto"/>
          <w:sz w:val="28"/>
          <w:szCs w:val="28"/>
        </w:rPr>
        <w:t>基本农田环境保护方案旨在就项目施工建设对基本农田的破坏影响提出减缓措施。本次评价期间主要针对建设前期和施工期两个阶段提出基本农田保护措施。</w:t>
      </w:r>
    </w:p>
    <w:p>
      <w:pPr>
        <w:pStyle w:val="21"/>
        <w:spacing w:line="480" w:lineRule="exact"/>
        <w:ind w:firstLine="482"/>
        <w:rPr>
          <w:rFonts w:hAnsi="宋体"/>
          <w:color w:val="auto"/>
          <w:sz w:val="28"/>
          <w:szCs w:val="28"/>
        </w:rPr>
      </w:pPr>
      <w:r>
        <w:rPr>
          <w:rFonts w:hint="eastAsia" w:ascii="Times New Roman" w:hAnsi="宋体"/>
          <w:color w:val="auto"/>
          <w:sz w:val="28"/>
          <w:szCs w:val="28"/>
        </w:rPr>
        <w:t>1）建设前期</w:t>
      </w:r>
    </w:p>
    <w:p>
      <w:pPr>
        <w:pStyle w:val="21"/>
        <w:spacing w:line="480" w:lineRule="exact"/>
        <w:ind w:firstLine="482"/>
        <w:rPr>
          <w:rFonts w:hAnsi="宋体"/>
          <w:color w:val="auto"/>
          <w:sz w:val="28"/>
          <w:szCs w:val="28"/>
        </w:rPr>
      </w:pPr>
      <w:r>
        <w:rPr>
          <w:rFonts w:hint="eastAsia" w:hAnsi="宋体"/>
          <w:color w:val="auto"/>
          <w:sz w:val="28"/>
          <w:szCs w:val="28"/>
        </w:rPr>
        <w:t>①</w:t>
      </w:r>
      <w:r>
        <w:rPr>
          <w:rFonts w:hint="eastAsia" w:ascii="Times New Roman" w:hAnsi="宋体"/>
          <w:color w:val="auto"/>
          <w:sz w:val="28"/>
          <w:szCs w:val="28"/>
        </w:rPr>
        <w:t>优化井场选址。本工程选址占用农耕区，在选址过程应注意尽量减少占用基本农田、不破坏其水利设施。</w:t>
      </w:r>
    </w:p>
    <w:p>
      <w:pPr>
        <w:pStyle w:val="21"/>
        <w:spacing w:line="480" w:lineRule="exact"/>
        <w:ind w:firstLine="482"/>
        <w:rPr>
          <w:rFonts w:hAnsi="宋体"/>
          <w:color w:val="auto"/>
          <w:sz w:val="28"/>
          <w:szCs w:val="28"/>
        </w:rPr>
      </w:pPr>
      <w:r>
        <w:rPr>
          <w:rFonts w:hint="eastAsia" w:hAnsi="宋体"/>
          <w:color w:val="auto"/>
          <w:sz w:val="28"/>
          <w:szCs w:val="28"/>
        </w:rPr>
        <w:t>②</w:t>
      </w:r>
      <w:r>
        <w:rPr>
          <w:rFonts w:hint="eastAsia" w:ascii="Times New Roman" w:hAnsi="宋体"/>
          <w:color w:val="auto"/>
          <w:sz w:val="28"/>
          <w:szCs w:val="28"/>
        </w:rPr>
        <w:t>合理安排工期。占用农田的施工活动尽量安排在农作物收获期以后进行，以减少农业生产损失。</w:t>
      </w:r>
    </w:p>
    <w:p>
      <w:pPr>
        <w:pStyle w:val="21"/>
        <w:spacing w:line="480" w:lineRule="exact"/>
        <w:ind w:firstLine="482"/>
        <w:rPr>
          <w:rFonts w:hint="eastAsia" w:hAnsi="宋体"/>
          <w:color w:val="auto"/>
          <w:sz w:val="28"/>
          <w:szCs w:val="28"/>
        </w:rPr>
      </w:pPr>
      <w:r>
        <w:rPr>
          <w:rFonts w:hint="eastAsia" w:hAnsi="宋体"/>
          <w:color w:val="auto"/>
          <w:sz w:val="28"/>
          <w:szCs w:val="28"/>
        </w:rPr>
        <w:t>③</w:t>
      </w:r>
      <w:r>
        <w:rPr>
          <w:rFonts w:hint="eastAsia" w:ascii="Times New Roman" w:hAnsi="宋体"/>
          <w:color w:val="auto"/>
          <w:sz w:val="28"/>
          <w:szCs w:val="28"/>
        </w:rPr>
        <w:t>施工便道应避开基本农田设置，减少对基本农田的占用。</w:t>
      </w:r>
    </w:p>
    <w:p>
      <w:pPr>
        <w:pStyle w:val="21"/>
        <w:spacing w:line="480" w:lineRule="exact"/>
        <w:ind w:firstLine="482"/>
        <w:rPr>
          <w:rFonts w:hAnsi="宋体"/>
          <w:color w:val="auto"/>
          <w:sz w:val="28"/>
          <w:szCs w:val="28"/>
        </w:rPr>
      </w:pPr>
      <w:r>
        <w:rPr>
          <w:rFonts w:hint="eastAsia" w:hAnsi="宋体"/>
          <w:color w:val="auto"/>
          <w:sz w:val="28"/>
          <w:szCs w:val="28"/>
        </w:rPr>
        <w:t>④</w:t>
      </w:r>
      <w:r>
        <w:rPr>
          <w:rFonts w:hint="eastAsia" w:ascii="Times New Roman" w:hAnsi="宋体"/>
          <w:color w:val="auto"/>
          <w:sz w:val="28"/>
          <w:szCs w:val="28"/>
        </w:rPr>
        <w:t>建设单位应严格执行国家及地方法律、法规有关基本农田征占审批和补偿的规定，在施工前应办理好相关土地使用手续。</w:t>
      </w:r>
      <w:r>
        <w:rPr>
          <w:rFonts w:ascii="Times New Roman" w:hAnsi="宋体"/>
          <w:color w:val="auto"/>
          <w:sz w:val="28"/>
          <w:szCs w:val="28"/>
        </w:rPr>
        <w:t xml:space="preserve"> </w:t>
      </w:r>
    </w:p>
    <w:p>
      <w:pPr>
        <w:pStyle w:val="21"/>
        <w:spacing w:line="480" w:lineRule="exact"/>
        <w:ind w:firstLine="482"/>
        <w:rPr>
          <w:rFonts w:ascii="Times New Roman" w:hAnsi="宋体"/>
          <w:color w:val="auto"/>
          <w:sz w:val="28"/>
          <w:szCs w:val="28"/>
        </w:rPr>
      </w:pPr>
      <w:r>
        <w:rPr>
          <w:rFonts w:hint="eastAsia" w:hAnsi="宋体"/>
          <w:color w:val="auto"/>
          <w:sz w:val="28"/>
          <w:szCs w:val="28"/>
        </w:rPr>
        <w:t>⑤</w:t>
      </w:r>
      <w:r>
        <w:rPr>
          <w:rFonts w:hint="eastAsia" w:ascii="Times New Roman" w:hAnsi="宋体"/>
          <w:color w:val="auto"/>
          <w:sz w:val="28"/>
          <w:szCs w:val="28"/>
        </w:rPr>
        <w:t>建设在单位在完成土地使用审批手续后应及时施工建设，严禁闲置基本农田。</w:t>
      </w:r>
    </w:p>
    <w:p>
      <w:pPr>
        <w:pStyle w:val="21"/>
        <w:spacing w:line="480" w:lineRule="exact"/>
        <w:ind w:firstLine="482"/>
        <w:rPr>
          <w:rFonts w:hAnsi="宋体"/>
          <w:color w:val="auto"/>
          <w:sz w:val="28"/>
          <w:szCs w:val="28"/>
        </w:rPr>
      </w:pPr>
      <w:r>
        <w:rPr>
          <w:rFonts w:hint="eastAsia" w:ascii="Times New Roman" w:hAnsi="宋体"/>
          <w:color w:val="auto"/>
          <w:sz w:val="28"/>
          <w:szCs w:val="28"/>
        </w:rPr>
        <w:t>2）施工期</w:t>
      </w:r>
    </w:p>
    <w:p>
      <w:pPr>
        <w:pStyle w:val="21"/>
        <w:spacing w:line="480" w:lineRule="exact"/>
        <w:ind w:firstLine="482"/>
        <w:rPr>
          <w:rFonts w:hAnsi="宋体"/>
          <w:color w:val="auto"/>
          <w:sz w:val="28"/>
          <w:szCs w:val="28"/>
        </w:rPr>
      </w:pPr>
      <w:r>
        <w:rPr>
          <w:rFonts w:hint="eastAsia" w:hAnsi="宋体"/>
          <w:color w:val="auto"/>
          <w:sz w:val="28"/>
          <w:szCs w:val="28"/>
        </w:rPr>
        <w:t>①</w:t>
      </w:r>
      <w:r>
        <w:rPr>
          <w:rFonts w:hint="eastAsia" w:ascii="Times New Roman" w:hAnsi="宋体"/>
          <w:color w:val="auto"/>
          <w:sz w:val="28"/>
          <w:szCs w:val="28"/>
        </w:rPr>
        <w:t>占用基本农田前要将耕作层进行剥离，单独收集堆放，并采取防护措施。施工结束后用于新开垦耕地或其他耕地的土壤改良。耕作层剥离再利用所需资金列入建设项目概算。</w:t>
      </w:r>
    </w:p>
    <w:p>
      <w:pPr>
        <w:pStyle w:val="21"/>
        <w:spacing w:line="480" w:lineRule="exact"/>
        <w:ind w:firstLine="482"/>
        <w:rPr>
          <w:rFonts w:hAnsi="宋体"/>
          <w:color w:val="auto"/>
          <w:sz w:val="28"/>
          <w:szCs w:val="28"/>
        </w:rPr>
      </w:pPr>
      <w:r>
        <w:rPr>
          <w:rFonts w:hint="eastAsia" w:hAnsi="宋体"/>
          <w:color w:val="auto"/>
          <w:sz w:val="28"/>
          <w:szCs w:val="28"/>
        </w:rPr>
        <w:t>②</w:t>
      </w:r>
      <w:r>
        <w:rPr>
          <w:rFonts w:hint="eastAsia" w:ascii="Times New Roman" w:hAnsi="宋体"/>
          <w:color w:val="auto"/>
          <w:sz w:val="28"/>
          <w:szCs w:val="28"/>
        </w:rPr>
        <w:t>严格控制好施工作业范围，尽量减少临时占用基本农田。</w:t>
      </w:r>
    </w:p>
    <w:p>
      <w:pPr>
        <w:pStyle w:val="21"/>
        <w:spacing w:line="480" w:lineRule="exact"/>
        <w:ind w:firstLine="482"/>
        <w:rPr>
          <w:rFonts w:hAnsi="宋体"/>
          <w:color w:val="auto"/>
          <w:sz w:val="28"/>
          <w:szCs w:val="28"/>
        </w:rPr>
      </w:pPr>
      <w:r>
        <w:rPr>
          <w:rFonts w:hint="eastAsia" w:hAnsi="宋体"/>
          <w:color w:val="auto"/>
          <w:sz w:val="28"/>
          <w:szCs w:val="28"/>
        </w:rPr>
        <w:t>③</w:t>
      </w:r>
      <w:r>
        <w:rPr>
          <w:rFonts w:hint="eastAsia" w:ascii="Times New Roman" w:hAnsi="宋体"/>
          <w:color w:val="auto"/>
          <w:sz w:val="28"/>
          <w:szCs w:val="28"/>
        </w:rPr>
        <w:t>严格按照《基本农田保护条例》、《土地复垦条例》和《土地复垦条例实施办法》等相关规定和要求，严格做好对基本农田的保护及恢复措施，土壤应分层开挖、分层堆放、分层回填，确保不降低项目区域基本农田地力。</w:t>
      </w:r>
      <w:r>
        <w:rPr>
          <w:rFonts w:ascii="Times New Roman" w:hAnsi="宋体"/>
          <w:color w:val="auto"/>
          <w:sz w:val="28"/>
          <w:szCs w:val="28"/>
        </w:rPr>
        <w:t xml:space="preserve"> </w:t>
      </w:r>
    </w:p>
    <w:p>
      <w:pPr>
        <w:pStyle w:val="21"/>
        <w:spacing w:line="480" w:lineRule="exact"/>
        <w:ind w:firstLine="482"/>
        <w:rPr>
          <w:rFonts w:hAnsi="宋体"/>
          <w:color w:val="auto"/>
          <w:sz w:val="28"/>
          <w:szCs w:val="28"/>
        </w:rPr>
      </w:pPr>
      <w:r>
        <w:rPr>
          <w:rFonts w:hint="eastAsia" w:hAnsi="宋体"/>
          <w:color w:val="auto"/>
          <w:sz w:val="28"/>
          <w:szCs w:val="28"/>
        </w:rPr>
        <w:t>④</w:t>
      </w:r>
      <w:r>
        <w:rPr>
          <w:rFonts w:hint="eastAsia" w:ascii="Times New Roman" w:hAnsi="宋体"/>
          <w:color w:val="auto"/>
          <w:sz w:val="28"/>
          <w:szCs w:val="28"/>
        </w:rPr>
        <w:t>妥善处理农田灌溉水利设施。对施工开挖可能破坏的灌溉水利设施，开挖前另建替代管道，避免中断农业灌溉。</w:t>
      </w:r>
      <w:r>
        <w:rPr>
          <w:rFonts w:ascii="Times New Roman" w:hAnsi="宋体"/>
          <w:color w:val="auto"/>
          <w:sz w:val="28"/>
          <w:szCs w:val="28"/>
        </w:rPr>
        <w:t xml:space="preserve"> </w:t>
      </w:r>
    </w:p>
    <w:p>
      <w:pPr>
        <w:pStyle w:val="21"/>
        <w:spacing w:line="480" w:lineRule="exact"/>
        <w:ind w:firstLine="482"/>
        <w:rPr>
          <w:rFonts w:hAnsi="宋体"/>
          <w:color w:val="auto"/>
          <w:sz w:val="28"/>
          <w:szCs w:val="28"/>
        </w:rPr>
      </w:pPr>
      <w:r>
        <w:rPr>
          <w:rFonts w:hint="eastAsia" w:hAnsi="宋体"/>
          <w:color w:val="auto"/>
          <w:sz w:val="28"/>
          <w:szCs w:val="28"/>
        </w:rPr>
        <w:t>⑤</w:t>
      </w:r>
      <w:r>
        <w:rPr>
          <w:rFonts w:hint="eastAsia" w:ascii="Times New Roman" w:hAnsi="宋体"/>
          <w:color w:val="auto"/>
          <w:sz w:val="28"/>
          <w:szCs w:val="28"/>
        </w:rPr>
        <w:t>本工程涉及的土石方应及时清运，严禁临时堆置于基本农田内。</w:t>
      </w:r>
      <w:r>
        <w:rPr>
          <w:rFonts w:ascii="Times New Roman" w:hAnsi="宋体"/>
          <w:color w:val="auto"/>
          <w:sz w:val="28"/>
          <w:szCs w:val="28"/>
        </w:rPr>
        <w:t xml:space="preserve"> </w:t>
      </w:r>
    </w:p>
    <w:p>
      <w:pPr>
        <w:pStyle w:val="21"/>
        <w:spacing w:line="480" w:lineRule="exact"/>
        <w:ind w:firstLine="482"/>
        <w:rPr>
          <w:rFonts w:hAnsi="宋体"/>
          <w:color w:val="auto"/>
          <w:sz w:val="28"/>
          <w:szCs w:val="28"/>
        </w:rPr>
      </w:pPr>
      <w:r>
        <w:rPr>
          <w:rFonts w:hint="eastAsia" w:hAnsi="宋体"/>
          <w:color w:val="auto"/>
          <w:sz w:val="28"/>
          <w:szCs w:val="28"/>
        </w:rPr>
        <w:t>⑥</w:t>
      </w:r>
      <w:r>
        <w:rPr>
          <w:rFonts w:hint="eastAsia" w:ascii="Times New Roman" w:hAnsi="宋体"/>
          <w:color w:val="auto"/>
          <w:sz w:val="28"/>
          <w:szCs w:val="28"/>
        </w:rPr>
        <w:t>施工期间应对施工废弃物实行集中堆放，及时清运处理，严禁随意弃置污染基本农田土壤。</w:t>
      </w:r>
    </w:p>
    <w:p>
      <w:pPr>
        <w:pStyle w:val="21"/>
        <w:spacing w:line="480" w:lineRule="exact"/>
        <w:ind w:firstLine="482"/>
        <w:rPr>
          <w:rFonts w:hAnsi="宋体"/>
          <w:color w:val="auto"/>
          <w:sz w:val="28"/>
          <w:szCs w:val="28"/>
        </w:rPr>
      </w:pPr>
      <w:r>
        <w:rPr>
          <w:rFonts w:hint="eastAsia" w:hAnsi="宋体"/>
          <w:color w:val="auto"/>
          <w:sz w:val="28"/>
          <w:szCs w:val="28"/>
        </w:rPr>
        <w:t>⑦</w:t>
      </w:r>
      <w:r>
        <w:rPr>
          <w:rFonts w:hint="eastAsia" w:ascii="Times New Roman" w:hAnsi="宋体"/>
          <w:color w:val="auto"/>
          <w:sz w:val="28"/>
          <w:szCs w:val="28"/>
        </w:rPr>
        <w:t>各井场钻井期间针对各井场按照</w:t>
      </w:r>
      <w:r>
        <w:rPr>
          <w:rFonts w:ascii="Times New Roman" w:hAnsi="宋体"/>
          <w:color w:val="auto"/>
          <w:sz w:val="28"/>
          <w:szCs w:val="28"/>
        </w:rPr>
        <w:t>“</w:t>
      </w:r>
      <w:r>
        <w:rPr>
          <w:rFonts w:hint="eastAsia" w:ascii="Times New Roman" w:hAnsi="宋体"/>
          <w:color w:val="auto"/>
          <w:sz w:val="28"/>
          <w:szCs w:val="28"/>
        </w:rPr>
        <w:t>源头控制、分区防治、污染监控、应急响应</w:t>
      </w:r>
      <w:r>
        <w:rPr>
          <w:rFonts w:ascii="Times New Roman" w:hAnsi="宋体"/>
          <w:color w:val="auto"/>
          <w:sz w:val="28"/>
          <w:szCs w:val="28"/>
        </w:rPr>
        <w:t>”</w:t>
      </w:r>
      <w:r>
        <w:rPr>
          <w:rFonts w:hint="eastAsia" w:ascii="Times New Roman" w:hAnsi="宋体"/>
          <w:color w:val="auto"/>
          <w:sz w:val="28"/>
          <w:szCs w:val="28"/>
        </w:rPr>
        <w:t>相结合的原则，从污染物的产生、入渗、扩散、事故状态应急响应等各方面进行了土壤污染防治措施，确保各井场实施不会对当地基本农田产生不利影响。</w:t>
      </w:r>
    </w:p>
    <w:p>
      <w:pPr>
        <w:pStyle w:val="21"/>
        <w:spacing w:line="480" w:lineRule="exact"/>
        <w:ind w:firstLine="482"/>
        <w:rPr>
          <w:rFonts w:ascii="Times New Roman" w:hAnsi="宋体"/>
          <w:color w:val="auto"/>
          <w:sz w:val="28"/>
          <w:szCs w:val="28"/>
        </w:rPr>
      </w:pPr>
      <w:r>
        <w:rPr>
          <w:rFonts w:hint="eastAsia" w:hAnsi="宋体"/>
          <w:color w:val="auto"/>
          <w:sz w:val="28"/>
          <w:szCs w:val="28"/>
        </w:rPr>
        <w:t>⑧</w:t>
      </w:r>
      <w:r>
        <w:rPr>
          <w:rFonts w:hint="eastAsia" w:ascii="Times New Roman" w:hAnsi="宋体"/>
          <w:color w:val="auto"/>
          <w:sz w:val="28"/>
          <w:szCs w:val="28"/>
        </w:rPr>
        <w:t>施工结束后，建设单位负责开垦与所占基本农田的数量与质量相当的耕地；没有条件开垦或者开垦的耕地不符合要求的，应当按照相关规定缴纳耕地开垦费，专款用于开垦新的耕地。</w:t>
      </w:r>
      <w:r>
        <w:rPr>
          <w:rFonts w:ascii="Times New Roman" w:hAnsi="宋体"/>
          <w:color w:val="auto"/>
          <w:sz w:val="28"/>
          <w:szCs w:val="28"/>
        </w:rPr>
        <w:t xml:space="preserve"> </w:t>
      </w:r>
    </w:p>
    <w:p>
      <w:pPr>
        <w:pStyle w:val="21"/>
        <w:spacing w:line="480" w:lineRule="exact"/>
        <w:ind w:firstLine="482"/>
        <w:rPr>
          <w:rFonts w:hint="eastAsia" w:ascii="Times New Roman" w:hAnsi="宋体"/>
          <w:color w:val="auto"/>
          <w:sz w:val="28"/>
          <w:szCs w:val="28"/>
        </w:rPr>
      </w:pPr>
      <w:r>
        <w:rPr>
          <w:rFonts w:hint="eastAsia" w:ascii="Times New Roman" w:hAnsi="宋体"/>
          <w:color w:val="auto"/>
          <w:sz w:val="28"/>
          <w:szCs w:val="28"/>
        </w:rPr>
        <w:t>临时占地复垦时，首先是要将设备基础等拆除，清理完成的建筑石渣部分重复利用，未被利用的外运至当地建筑垃圾处理场处置。硬化物拆除以后，平整场地，对压实的土地进行翻松，松土厚度为</w:t>
      </w:r>
      <w:r>
        <w:rPr>
          <w:rFonts w:ascii="Times New Roman" w:hAnsi="宋体"/>
          <w:color w:val="auto"/>
          <w:sz w:val="28"/>
          <w:szCs w:val="28"/>
        </w:rPr>
        <w:t>30cm</w:t>
      </w:r>
      <w:r>
        <w:rPr>
          <w:rFonts w:hint="eastAsia" w:ascii="Times New Roman" w:hAnsi="宋体"/>
          <w:color w:val="auto"/>
          <w:sz w:val="28"/>
          <w:szCs w:val="28"/>
        </w:rPr>
        <w:t>。土方松动后将保存的剥离表土铺覆于复垦区，最后种植农作物。井区损毁土地尽可能地复垦为原土地利用类型，也保持了原土地利用功能、面积，也保持了与周围景观协调一致，更有利于生态环境的恢复，同时确保不降低项目区域基本农田地力。</w:t>
      </w:r>
    </w:p>
    <w:p>
      <w:pPr>
        <w:pStyle w:val="6"/>
        <w:numPr>
          <w:ilvl w:val="3"/>
          <w:numId w:val="4"/>
        </w:numPr>
        <w:bidi w:val="0"/>
        <w:rPr>
          <w:rFonts w:hint="eastAsia"/>
          <w:color w:val="auto"/>
        </w:rPr>
      </w:pPr>
      <w:r>
        <w:rPr>
          <w:color w:val="auto"/>
        </w:rPr>
        <w:t>防沙治沙措施</w:t>
      </w:r>
    </w:p>
    <w:p>
      <w:pPr>
        <w:pStyle w:val="27"/>
        <w:snapToGrid w:val="0"/>
        <w:spacing w:after="0" w:line="500" w:lineRule="exact"/>
        <w:ind w:left="0" w:leftChars="0" w:firstLine="560" w:firstLineChars="200"/>
        <w:rPr>
          <w:rFonts w:hint="eastAsia" w:hAnsi="宋体"/>
          <w:snapToGrid w:val="0"/>
          <w:color w:val="auto"/>
          <w:kern w:val="0"/>
          <w:sz w:val="28"/>
          <w:szCs w:val="28"/>
        </w:rPr>
      </w:pPr>
      <w:r>
        <w:rPr>
          <w:rFonts w:hint="eastAsia" w:hAnsi="宋体"/>
          <w:snapToGrid w:val="0"/>
          <w:color w:val="auto"/>
          <w:kern w:val="0"/>
          <w:sz w:val="28"/>
          <w:szCs w:val="28"/>
        </w:rPr>
        <w:t>根据现场调查，项目占地区域未出现土壤沙化现象。为保护区域生态环境，针对本工程的具体特点，应制定生态环境影响减缓措施和防沙治沙措施。</w:t>
      </w:r>
    </w:p>
    <w:p>
      <w:pPr>
        <w:pStyle w:val="27"/>
        <w:snapToGrid w:val="0"/>
        <w:spacing w:after="0" w:line="500" w:lineRule="exact"/>
        <w:ind w:left="0" w:leftChars="0"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1</w:t>
      </w:r>
      <w:r>
        <w:rPr>
          <w:rFonts w:hAnsi="宋体"/>
          <w:snapToGrid w:val="0"/>
          <w:color w:val="auto"/>
          <w:kern w:val="0"/>
          <w:sz w:val="28"/>
          <w:szCs w:val="28"/>
        </w:rPr>
        <w:t>）井场临时占地主要为设备放置地，在设备放置时尽量不破坏原有地貌，施工结束后及时对现场进行清理，对破坏的土地进行平整并压实，利于植被自然恢复。</w:t>
      </w:r>
    </w:p>
    <w:p>
      <w:pPr>
        <w:pStyle w:val="27"/>
        <w:snapToGrid w:val="0"/>
        <w:spacing w:after="0" w:line="500" w:lineRule="exact"/>
        <w:ind w:left="0" w:leftChars="0"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2</w:t>
      </w:r>
      <w:r>
        <w:rPr>
          <w:rFonts w:hAnsi="宋体"/>
          <w:snapToGrid w:val="0"/>
          <w:color w:val="auto"/>
          <w:kern w:val="0"/>
          <w:sz w:val="28"/>
          <w:szCs w:val="28"/>
        </w:rPr>
        <w:t>）在完钻后，要立即对施工现场进行平整，并尽可能覆土压实，基本程序是回填</w:t>
      </w:r>
      <w:r>
        <w:rPr>
          <w:rFonts w:hint="eastAsia" w:hAnsi="宋体"/>
          <w:snapToGrid w:val="0"/>
          <w:color w:val="auto"/>
          <w:kern w:val="0"/>
          <w:sz w:val="28"/>
          <w:szCs w:val="28"/>
          <w:lang w:val="en-US" w:eastAsia="zh-CN"/>
        </w:rPr>
        <w:t>-</w:t>
      </w:r>
      <w:r>
        <w:rPr>
          <w:rFonts w:hAnsi="宋体"/>
          <w:snapToGrid w:val="0"/>
          <w:color w:val="auto"/>
          <w:kern w:val="0"/>
          <w:sz w:val="28"/>
          <w:szCs w:val="28"/>
        </w:rPr>
        <w:t>平整</w:t>
      </w:r>
      <w:r>
        <w:rPr>
          <w:rFonts w:hint="eastAsia" w:hAnsi="宋体"/>
          <w:snapToGrid w:val="0"/>
          <w:color w:val="auto"/>
          <w:kern w:val="0"/>
          <w:sz w:val="28"/>
          <w:szCs w:val="28"/>
          <w:lang w:val="en-US" w:eastAsia="zh-CN"/>
        </w:rPr>
        <w:t>-</w:t>
      </w:r>
      <w:r>
        <w:rPr>
          <w:rFonts w:hAnsi="宋体"/>
          <w:snapToGrid w:val="0"/>
          <w:color w:val="auto"/>
          <w:kern w:val="0"/>
          <w:sz w:val="28"/>
          <w:szCs w:val="28"/>
        </w:rPr>
        <w:t>覆土</w:t>
      </w:r>
      <w:r>
        <w:rPr>
          <w:rFonts w:hint="eastAsia" w:hAnsi="宋体"/>
          <w:snapToGrid w:val="0"/>
          <w:color w:val="auto"/>
          <w:kern w:val="0"/>
          <w:sz w:val="28"/>
          <w:szCs w:val="28"/>
          <w:lang w:val="en-US" w:eastAsia="zh-CN"/>
        </w:rPr>
        <w:t>-</w:t>
      </w:r>
      <w:r>
        <w:rPr>
          <w:rFonts w:hAnsi="宋体"/>
          <w:snapToGrid w:val="0"/>
          <w:color w:val="auto"/>
          <w:kern w:val="0"/>
          <w:sz w:val="28"/>
          <w:szCs w:val="28"/>
        </w:rPr>
        <w:t>压实。工程回填物应首先考虑弃土、弃石和弃渣，并力求做到</w:t>
      </w:r>
      <w:r>
        <w:rPr>
          <w:snapToGrid w:val="0"/>
          <w:color w:val="auto"/>
          <w:kern w:val="0"/>
          <w:sz w:val="28"/>
          <w:szCs w:val="28"/>
        </w:rPr>
        <w:t>“</w:t>
      </w:r>
      <w:r>
        <w:rPr>
          <w:rFonts w:hAnsi="宋体"/>
          <w:snapToGrid w:val="0"/>
          <w:color w:val="auto"/>
          <w:kern w:val="0"/>
          <w:sz w:val="28"/>
          <w:szCs w:val="28"/>
        </w:rPr>
        <w:t>挖填平衡</w:t>
      </w:r>
      <w:r>
        <w:rPr>
          <w:snapToGrid w:val="0"/>
          <w:color w:val="auto"/>
          <w:kern w:val="0"/>
          <w:sz w:val="28"/>
          <w:szCs w:val="28"/>
        </w:rPr>
        <w:t>”</w:t>
      </w:r>
      <w:r>
        <w:rPr>
          <w:rFonts w:hAnsi="宋体"/>
          <w:snapToGrid w:val="0"/>
          <w:color w:val="auto"/>
          <w:kern w:val="0"/>
          <w:sz w:val="28"/>
          <w:szCs w:val="28"/>
        </w:rPr>
        <w:t>。</w:t>
      </w:r>
    </w:p>
    <w:p>
      <w:pPr>
        <w:pStyle w:val="27"/>
        <w:snapToGrid w:val="0"/>
        <w:spacing w:after="0" w:line="500" w:lineRule="exact"/>
        <w:ind w:left="0" w:leftChars="0"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3</w:t>
      </w:r>
      <w:r>
        <w:rPr>
          <w:rFonts w:hAnsi="宋体"/>
          <w:snapToGrid w:val="0"/>
          <w:color w:val="auto"/>
          <w:kern w:val="0"/>
          <w:sz w:val="28"/>
          <w:szCs w:val="28"/>
        </w:rPr>
        <w:t>）施工时要特别注意保护原始地表与天然植被，划定施工活动范围，严格控制和管理车辆及重型机械的运行范围，所有车辆采用</w:t>
      </w:r>
      <w:r>
        <w:rPr>
          <w:snapToGrid w:val="0"/>
          <w:color w:val="auto"/>
          <w:kern w:val="0"/>
          <w:sz w:val="28"/>
          <w:szCs w:val="28"/>
        </w:rPr>
        <w:t>“</w:t>
      </w:r>
      <w:r>
        <w:rPr>
          <w:rFonts w:hAnsi="宋体"/>
          <w:snapToGrid w:val="0"/>
          <w:color w:val="auto"/>
          <w:kern w:val="0"/>
          <w:sz w:val="28"/>
          <w:szCs w:val="28"/>
        </w:rPr>
        <w:t>一</w:t>
      </w:r>
      <w:r>
        <w:rPr>
          <w:snapToGrid w:val="0"/>
          <w:color w:val="auto"/>
          <w:kern w:val="0"/>
          <w:sz w:val="28"/>
          <w:szCs w:val="28"/>
        </w:rPr>
        <w:t>”</w:t>
      </w:r>
      <w:r>
        <w:rPr>
          <w:rFonts w:hAnsi="宋体"/>
          <w:snapToGrid w:val="0"/>
          <w:color w:val="auto"/>
          <w:kern w:val="0"/>
          <w:sz w:val="28"/>
          <w:szCs w:val="28"/>
        </w:rPr>
        <w:t>字型作业法，避免并行开辟新路，以减少风蚀沙化活动的范围。</w:t>
      </w:r>
    </w:p>
    <w:p>
      <w:pPr>
        <w:pStyle w:val="27"/>
        <w:snapToGrid w:val="0"/>
        <w:spacing w:after="0" w:line="500" w:lineRule="exact"/>
        <w:ind w:left="0" w:leftChars="0"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4</w:t>
      </w:r>
      <w:r>
        <w:rPr>
          <w:rFonts w:hAnsi="宋体"/>
          <w:snapToGrid w:val="0"/>
          <w:color w:val="auto"/>
          <w:kern w:val="0"/>
          <w:sz w:val="28"/>
          <w:szCs w:val="28"/>
        </w:rPr>
        <w:t>）施工作业避免在大风天施工。</w:t>
      </w:r>
    </w:p>
    <w:p>
      <w:pPr>
        <w:pStyle w:val="6"/>
        <w:numPr>
          <w:ilvl w:val="3"/>
          <w:numId w:val="4"/>
        </w:numPr>
        <w:bidi w:val="0"/>
        <w:rPr>
          <w:color w:val="auto"/>
        </w:rPr>
      </w:pPr>
      <w:r>
        <w:rPr>
          <w:color w:val="auto"/>
        </w:rPr>
        <w:t>水土流失防治措施</w:t>
      </w:r>
    </w:p>
    <w:p>
      <w:pPr>
        <w:snapToGrid w:val="0"/>
        <w:spacing w:line="480" w:lineRule="exact"/>
        <w:ind w:firstLine="544" w:firstLineChars="200"/>
        <w:rPr>
          <w:rFonts w:hint="eastAsia" w:hAnsi="宋体"/>
          <w:color w:val="auto"/>
          <w:spacing w:val="-4"/>
          <w:sz w:val="28"/>
          <w:szCs w:val="28"/>
        </w:rPr>
      </w:pPr>
      <w:r>
        <w:rPr>
          <w:rFonts w:hAnsi="宋体"/>
          <w:color w:val="auto"/>
          <w:spacing w:val="-4"/>
          <w:sz w:val="28"/>
          <w:szCs w:val="28"/>
        </w:rPr>
        <w:t>本工程由于井场施工时车辆对土壤的碾压，人员对土壤的践踏，将改变原地表地貌状况，扰动原地貌，改变原地貌的状况和性质。工程施工破坏植被，新地貌失去植物根系的固土作用，雨水直接冲刷疏松、裸露的地表土，造成水土流失；施工过程中，开挖回填后产生的弃渣松散堆积，结构疏松，胶结力差，抗侵蚀能力极低，遇暴雨产生径流，加大水土流失。本次建议采取以下水土流失防治措施。</w:t>
      </w:r>
    </w:p>
    <w:p>
      <w:pPr>
        <w:snapToGrid w:val="0"/>
        <w:spacing w:line="480" w:lineRule="exact"/>
        <w:ind w:firstLine="544" w:firstLineChars="200"/>
        <w:rPr>
          <w:color w:val="auto"/>
          <w:spacing w:val="-4"/>
          <w:sz w:val="28"/>
          <w:szCs w:val="28"/>
        </w:rPr>
      </w:pPr>
      <w:r>
        <w:rPr>
          <w:rFonts w:hint="eastAsia" w:hAnsi="宋体"/>
          <w:color w:val="auto"/>
          <w:spacing w:val="-4"/>
          <w:sz w:val="28"/>
          <w:szCs w:val="28"/>
        </w:rPr>
        <w:t>（1）</w:t>
      </w:r>
      <w:r>
        <w:rPr>
          <w:rFonts w:hAnsi="宋体"/>
          <w:color w:val="auto"/>
          <w:spacing w:val="-4"/>
          <w:sz w:val="28"/>
          <w:szCs w:val="28"/>
        </w:rPr>
        <w:t>井场予以平整、压实，以免发生水土流失。对于建设开挖、回填产生的弃土石方要合理填埋、堆放、利用，并采取适当的压实平整措施。地面建设产生的弃方不得随处堆放，应合理利用。</w:t>
      </w:r>
    </w:p>
    <w:p>
      <w:pPr>
        <w:snapToGrid w:val="0"/>
        <w:spacing w:line="480" w:lineRule="exact"/>
        <w:ind w:firstLine="544" w:firstLineChars="200"/>
        <w:rPr>
          <w:color w:val="auto"/>
          <w:spacing w:val="-4"/>
          <w:sz w:val="28"/>
          <w:szCs w:val="28"/>
        </w:rPr>
      </w:pPr>
      <w:r>
        <w:rPr>
          <w:rFonts w:hint="eastAsia" w:hAnsi="宋体"/>
          <w:color w:val="auto"/>
          <w:spacing w:val="-4"/>
          <w:sz w:val="28"/>
          <w:szCs w:val="28"/>
        </w:rPr>
        <w:t>（2）</w:t>
      </w:r>
      <w:r>
        <w:rPr>
          <w:rFonts w:hAnsi="宋体"/>
          <w:color w:val="auto"/>
          <w:spacing w:val="-4"/>
          <w:sz w:val="28"/>
          <w:szCs w:val="28"/>
        </w:rPr>
        <w:t>严格控制施工车辆、机械及施工人员活动范围，尽可能减少原有植被和土壤的破坏。利用现有公路和已有便道行车，不新建道路，避免造成新的裸露地表；执行</w:t>
      </w:r>
      <w:r>
        <w:rPr>
          <w:color w:val="auto"/>
          <w:spacing w:val="-4"/>
          <w:sz w:val="28"/>
          <w:szCs w:val="28"/>
        </w:rPr>
        <w:t>“</w:t>
      </w:r>
      <w:r>
        <w:rPr>
          <w:rFonts w:hAnsi="宋体"/>
          <w:color w:val="auto"/>
          <w:spacing w:val="-4"/>
          <w:sz w:val="28"/>
          <w:szCs w:val="28"/>
        </w:rPr>
        <w:t>无捷径</w:t>
      </w:r>
      <w:r>
        <w:rPr>
          <w:color w:val="auto"/>
          <w:spacing w:val="-4"/>
          <w:sz w:val="28"/>
          <w:szCs w:val="28"/>
        </w:rPr>
        <w:t>”</w:t>
      </w:r>
      <w:r>
        <w:rPr>
          <w:rFonts w:hAnsi="宋体"/>
          <w:color w:val="auto"/>
          <w:spacing w:val="-4"/>
          <w:sz w:val="28"/>
          <w:szCs w:val="28"/>
        </w:rPr>
        <w:t>原则，规范车辆行驶路线，不在道路、井场以外的地方行驶和作业，禁止碾压和破坏地表植被。</w:t>
      </w:r>
    </w:p>
    <w:p>
      <w:pPr>
        <w:snapToGrid w:val="0"/>
        <w:spacing w:line="480" w:lineRule="exact"/>
        <w:ind w:firstLine="544" w:firstLineChars="200"/>
        <w:rPr>
          <w:color w:val="auto"/>
          <w:spacing w:val="-4"/>
          <w:sz w:val="28"/>
          <w:szCs w:val="28"/>
        </w:rPr>
      </w:pPr>
      <w:r>
        <w:rPr>
          <w:rFonts w:hint="eastAsia" w:hAnsi="宋体"/>
          <w:color w:val="auto"/>
          <w:spacing w:val="-4"/>
          <w:sz w:val="28"/>
          <w:szCs w:val="28"/>
        </w:rPr>
        <w:t>（3）</w:t>
      </w:r>
      <w:r>
        <w:rPr>
          <w:rFonts w:hAnsi="宋体"/>
          <w:color w:val="auto"/>
          <w:spacing w:val="-4"/>
          <w:sz w:val="28"/>
          <w:szCs w:val="28"/>
        </w:rPr>
        <w:t>因地制宜选择施工季节，尽量避开植被生长季节、农作物耕种季节，减少损失，同时避开大风及强降水季节。施工期间应划定施工活动范围，严格控制和管理运输车辆、重型机械设备作业范围，以及施工人员的活动范围，由专人负责管理，减少施工作业对周围土壤和植被的破坏范围和程度。</w:t>
      </w:r>
    </w:p>
    <w:p>
      <w:pPr>
        <w:pStyle w:val="27"/>
        <w:snapToGrid w:val="0"/>
        <w:spacing w:after="0" w:line="500" w:lineRule="exact"/>
        <w:ind w:left="0" w:leftChars="0" w:firstLine="544" w:firstLineChars="200"/>
        <w:rPr>
          <w:rFonts w:hint="eastAsia" w:hAnsi="宋体"/>
          <w:color w:val="auto"/>
          <w:spacing w:val="-4"/>
          <w:sz w:val="28"/>
          <w:szCs w:val="28"/>
        </w:rPr>
      </w:pPr>
      <w:r>
        <w:rPr>
          <w:rFonts w:hint="eastAsia" w:hAnsi="宋体"/>
          <w:color w:val="auto"/>
          <w:spacing w:val="-4"/>
          <w:sz w:val="28"/>
          <w:szCs w:val="28"/>
        </w:rPr>
        <w:t>（4）</w:t>
      </w:r>
      <w:r>
        <w:rPr>
          <w:rFonts w:hAnsi="宋体"/>
          <w:color w:val="auto"/>
          <w:spacing w:val="-4"/>
          <w:sz w:val="28"/>
          <w:szCs w:val="28"/>
        </w:rPr>
        <w:t>严禁在大风天气下运输及装卸施工散料等。在便道出入口，竖立保护耕地的警示牌，以提醒施工作业人员，减少人员随意践踏造成的水土流失。严禁开发建设施工材料乱堆乱放，划定适宜的堆料场，以防对植物破坏范围的扩大，增加裸地面积而新增的水土流失。</w:t>
      </w:r>
    </w:p>
    <w:p>
      <w:pPr>
        <w:pStyle w:val="6"/>
        <w:numPr>
          <w:ilvl w:val="3"/>
          <w:numId w:val="4"/>
        </w:numPr>
        <w:bidi w:val="0"/>
        <w:rPr>
          <w:color w:val="auto"/>
        </w:rPr>
      </w:pPr>
      <w:r>
        <w:rPr>
          <w:rFonts w:hint="eastAsia"/>
          <w:color w:val="auto"/>
        </w:rPr>
        <w:t>黑土地保护</w:t>
      </w:r>
      <w:r>
        <w:rPr>
          <w:color w:val="auto"/>
        </w:rPr>
        <w:t>措施</w:t>
      </w:r>
    </w:p>
    <w:p>
      <w:pPr>
        <w:pStyle w:val="27"/>
        <w:snapToGrid w:val="0"/>
        <w:spacing w:after="0" w:line="500" w:lineRule="exact"/>
        <w:ind w:left="0" w:leftChars="0" w:firstLine="544" w:firstLineChars="200"/>
        <w:rPr>
          <w:rFonts w:hint="eastAsia" w:hAnsi="宋体"/>
          <w:color w:val="auto"/>
          <w:spacing w:val="-4"/>
          <w:sz w:val="28"/>
          <w:szCs w:val="28"/>
        </w:rPr>
      </w:pPr>
      <w:r>
        <w:rPr>
          <w:rFonts w:hint="eastAsia" w:hAnsi="宋体"/>
          <w:color w:val="auto"/>
          <w:spacing w:val="-4"/>
          <w:sz w:val="28"/>
          <w:szCs w:val="28"/>
        </w:rPr>
        <w:t>（1）</w:t>
      </w:r>
      <w:r>
        <w:rPr>
          <w:rFonts w:hAnsi="宋体"/>
          <w:color w:val="auto"/>
          <w:spacing w:val="-4"/>
          <w:sz w:val="28"/>
          <w:szCs w:val="28"/>
        </w:rPr>
        <w:t>本项目</w:t>
      </w:r>
      <w:r>
        <w:rPr>
          <w:rFonts w:hint="eastAsia" w:hAnsi="宋体"/>
          <w:color w:val="auto"/>
          <w:spacing w:val="-4"/>
          <w:sz w:val="28"/>
          <w:szCs w:val="28"/>
        </w:rPr>
        <w:t>新建井场严格遵守《石油天然气</w:t>
      </w:r>
      <w:r>
        <w:rPr>
          <w:rFonts w:hAnsi="宋体"/>
          <w:color w:val="auto"/>
          <w:spacing w:val="-4"/>
          <w:sz w:val="28"/>
          <w:szCs w:val="28"/>
        </w:rPr>
        <w:t>工程项目用地</w:t>
      </w:r>
      <w:r>
        <w:rPr>
          <w:rFonts w:hint="eastAsia" w:hAnsi="宋体"/>
          <w:color w:val="auto"/>
          <w:spacing w:val="-4"/>
          <w:sz w:val="28"/>
          <w:szCs w:val="28"/>
        </w:rPr>
        <w:t>控制</w:t>
      </w:r>
      <w:r>
        <w:rPr>
          <w:rFonts w:hAnsi="宋体"/>
          <w:color w:val="auto"/>
          <w:spacing w:val="-4"/>
          <w:sz w:val="28"/>
          <w:szCs w:val="28"/>
        </w:rPr>
        <w:t>指标</w:t>
      </w:r>
      <w:r>
        <w:rPr>
          <w:rFonts w:hint="eastAsia" w:hAnsi="宋体"/>
          <w:color w:val="auto"/>
          <w:spacing w:val="-4"/>
          <w:sz w:val="28"/>
          <w:szCs w:val="28"/>
        </w:rPr>
        <w:t>》（2017.1.1）要求</w:t>
      </w:r>
      <w:r>
        <w:rPr>
          <w:rFonts w:hAnsi="宋体"/>
          <w:color w:val="auto"/>
          <w:spacing w:val="-4"/>
          <w:sz w:val="28"/>
          <w:szCs w:val="28"/>
        </w:rPr>
        <w:t>，尽可能减少占地。</w:t>
      </w:r>
    </w:p>
    <w:p>
      <w:pPr>
        <w:pStyle w:val="27"/>
        <w:snapToGrid w:val="0"/>
        <w:spacing w:after="0" w:line="500" w:lineRule="exact"/>
        <w:ind w:left="0" w:leftChars="0" w:firstLine="544" w:firstLineChars="200"/>
        <w:rPr>
          <w:rFonts w:hint="eastAsia" w:hAnsi="宋体"/>
          <w:color w:val="auto"/>
          <w:spacing w:val="-4"/>
          <w:sz w:val="28"/>
          <w:szCs w:val="28"/>
        </w:rPr>
      </w:pPr>
      <w:r>
        <w:rPr>
          <w:rFonts w:hint="eastAsia" w:hAnsi="宋体"/>
          <w:color w:val="auto"/>
          <w:spacing w:val="-4"/>
          <w:sz w:val="28"/>
          <w:szCs w:val="28"/>
        </w:rPr>
        <w:t>（2）</w:t>
      </w:r>
      <w:r>
        <w:rPr>
          <w:rFonts w:hAnsi="宋体"/>
          <w:color w:val="auto"/>
          <w:spacing w:val="-4"/>
          <w:sz w:val="28"/>
          <w:szCs w:val="28"/>
        </w:rPr>
        <w:t>本工程</w:t>
      </w:r>
      <w:r>
        <w:rPr>
          <w:rFonts w:hint="eastAsia" w:hAnsi="宋体"/>
          <w:color w:val="auto"/>
          <w:spacing w:val="-4"/>
          <w:sz w:val="28"/>
          <w:szCs w:val="28"/>
        </w:rPr>
        <w:t>建设过程中</w:t>
      </w:r>
      <w:r>
        <w:rPr>
          <w:rFonts w:hAnsi="宋体"/>
          <w:color w:val="auto"/>
          <w:spacing w:val="-4"/>
          <w:sz w:val="28"/>
          <w:szCs w:val="28"/>
        </w:rPr>
        <w:t>对占用的耕地，按照“占多少，垦多少”的原则，由建设单位负责开垦与所占用耕地的数量和质量相当的耕地；如果没有条件开垦时，按照省的规定缴纳耕地开垦费，专款用于开垦新的耕地。</w:t>
      </w:r>
    </w:p>
    <w:p>
      <w:pPr>
        <w:pStyle w:val="27"/>
        <w:snapToGrid w:val="0"/>
        <w:spacing w:after="0" w:line="500" w:lineRule="exact"/>
        <w:ind w:left="0" w:leftChars="0" w:firstLine="544" w:firstLineChars="200"/>
        <w:rPr>
          <w:rFonts w:hint="eastAsia" w:hAnsi="宋体"/>
          <w:color w:val="auto"/>
          <w:spacing w:val="-4"/>
          <w:sz w:val="28"/>
          <w:szCs w:val="28"/>
        </w:rPr>
      </w:pPr>
      <w:r>
        <w:rPr>
          <w:rFonts w:hint="eastAsia" w:hAnsi="宋体"/>
          <w:color w:val="auto"/>
          <w:spacing w:val="-4"/>
          <w:sz w:val="28"/>
          <w:szCs w:val="28"/>
        </w:rPr>
        <w:t>（3）</w:t>
      </w:r>
      <w:r>
        <w:rPr>
          <w:rFonts w:hAnsi="宋体"/>
          <w:color w:val="auto"/>
          <w:spacing w:val="-4"/>
          <w:sz w:val="28"/>
          <w:szCs w:val="28"/>
        </w:rPr>
        <w:t>本工程</w:t>
      </w:r>
      <w:r>
        <w:rPr>
          <w:rFonts w:hint="eastAsia" w:hAnsi="宋体"/>
          <w:color w:val="auto"/>
          <w:spacing w:val="-4"/>
          <w:sz w:val="28"/>
          <w:szCs w:val="28"/>
        </w:rPr>
        <w:t>实施前编制建设项目占用耕地耕作层土壤剥离利用方案，统筹安排剥离、储存和再利用工作。表土剥离和利用严格执行《建设占用耕地耕作层土壤剥离利用技术规范》（DB23/T2913-2021）。</w:t>
      </w:r>
    </w:p>
    <w:p>
      <w:pPr>
        <w:pStyle w:val="27"/>
        <w:snapToGrid w:val="0"/>
        <w:spacing w:after="0" w:line="500" w:lineRule="exact"/>
        <w:ind w:left="0" w:leftChars="0" w:firstLine="544" w:firstLineChars="200"/>
        <w:rPr>
          <w:rFonts w:hint="eastAsia" w:hAnsi="宋体"/>
          <w:color w:val="auto"/>
          <w:spacing w:val="-4"/>
          <w:sz w:val="28"/>
          <w:szCs w:val="28"/>
        </w:rPr>
      </w:pPr>
      <w:r>
        <w:rPr>
          <w:rFonts w:hint="eastAsia" w:hAnsi="宋体"/>
          <w:color w:val="auto"/>
          <w:spacing w:val="-4"/>
          <w:sz w:val="28"/>
          <w:szCs w:val="28"/>
        </w:rPr>
        <w:t>（4）本工程井场</w:t>
      </w:r>
      <w:r>
        <w:rPr>
          <w:rFonts w:hAnsi="宋体"/>
          <w:color w:val="auto"/>
          <w:spacing w:val="-4"/>
          <w:sz w:val="28"/>
          <w:szCs w:val="28"/>
        </w:rPr>
        <w:t>生活污水池</w:t>
      </w:r>
      <w:r>
        <w:rPr>
          <w:rFonts w:hint="eastAsia" w:hAnsi="宋体"/>
          <w:color w:val="auto"/>
          <w:spacing w:val="-4"/>
          <w:sz w:val="28"/>
          <w:szCs w:val="28"/>
        </w:rPr>
        <w:t>等</w:t>
      </w:r>
      <w:r>
        <w:rPr>
          <w:rFonts w:hAnsi="宋体"/>
          <w:color w:val="auto"/>
          <w:spacing w:val="-4"/>
          <w:sz w:val="28"/>
          <w:szCs w:val="28"/>
        </w:rPr>
        <w:t>挖方施工</w:t>
      </w:r>
      <w:r>
        <w:rPr>
          <w:rFonts w:hint="eastAsia" w:hAnsi="宋体"/>
          <w:color w:val="auto"/>
          <w:spacing w:val="-4"/>
          <w:sz w:val="28"/>
          <w:szCs w:val="28"/>
        </w:rPr>
        <w:t>剥离表土厚度为0.3m，剥离的表土推放在井场临时占地范围内的存储区，堆土表面设纱网或草栅覆盖，防止出现水土流失，</w:t>
      </w:r>
      <w:r>
        <w:rPr>
          <w:rFonts w:hAnsi="宋体"/>
          <w:color w:val="auto"/>
          <w:spacing w:val="-4"/>
          <w:sz w:val="28"/>
          <w:szCs w:val="28"/>
        </w:rPr>
        <w:t>待本工程施工结束后</w:t>
      </w:r>
      <w:r>
        <w:rPr>
          <w:rFonts w:hint="eastAsia" w:hAnsi="宋体"/>
          <w:color w:val="auto"/>
          <w:spacing w:val="-4"/>
          <w:sz w:val="28"/>
          <w:szCs w:val="28"/>
        </w:rPr>
        <w:t>运回原位</w:t>
      </w:r>
      <w:r>
        <w:rPr>
          <w:rFonts w:hAnsi="宋体"/>
          <w:color w:val="auto"/>
          <w:spacing w:val="-4"/>
          <w:sz w:val="28"/>
          <w:szCs w:val="28"/>
        </w:rPr>
        <w:t>分层回填</w:t>
      </w:r>
      <w:r>
        <w:rPr>
          <w:rFonts w:hint="eastAsia" w:hAnsi="宋体"/>
          <w:color w:val="auto"/>
          <w:spacing w:val="-4"/>
          <w:sz w:val="28"/>
          <w:szCs w:val="28"/>
        </w:rPr>
        <w:t>。</w:t>
      </w:r>
    </w:p>
    <w:p>
      <w:pPr>
        <w:pStyle w:val="27"/>
        <w:snapToGrid w:val="0"/>
        <w:spacing w:after="0" w:line="500" w:lineRule="exact"/>
        <w:ind w:left="0" w:leftChars="0" w:firstLine="544" w:firstLineChars="200"/>
        <w:rPr>
          <w:rFonts w:hint="eastAsia" w:hAnsi="宋体"/>
          <w:color w:val="auto"/>
          <w:spacing w:val="-4"/>
          <w:sz w:val="28"/>
          <w:szCs w:val="28"/>
        </w:rPr>
      </w:pPr>
      <w:r>
        <w:rPr>
          <w:rFonts w:hint="eastAsia" w:hAnsi="宋体"/>
          <w:color w:val="auto"/>
          <w:spacing w:val="-4"/>
          <w:sz w:val="28"/>
          <w:szCs w:val="28"/>
        </w:rPr>
        <w:t>（5）</w:t>
      </w:r>
      <w:r>
        <w:rPr>
          <w:rFonts w:hAnsi="宋体"/>
          <w:color w:val="auto"/>
          <w:spacing w:val="-4"/>
          <w:sz w:val="28"/>
          <w:szCs w:val="28"/>
        </w:rPr>
        <w:t>本工程</w:t>
      </w:r>
      <w:r>
        <w:rPr>
          <w:rFonts w:hint="eastAsia" w:hAnsi="宋体"/>
          <w:color w:val="auto"/>
          <w:spacing w:val="-4"/>
          <w:sz w:val="28"/>
          <w:szCs w:val="28"/>
        </w:rPr>
        <w:t>对临时占用的耕地采用深松深耕进行复垦。</w:t>
      </w:r>
    </w:p>
    <w:p>
      <w:pPr>
        <w:pStyle w:val="27"/>
        <w:snapToGrid w:val="0"/>
        <w:spacing w:after="0" w:line="500" w:lineRule="exact"/>
        <w:ind w:left="0" w:leftChars="0" w:firstLine="544" w:firstLineChars="200"/>
        <w:rPr>
          <w:rFonts w:hint="eastAsia" w:hAnsi="宋体"/>
          <w:color w:val="auto"/>
          <w:spacing w:val="-4"/>
          <w:sz w:val="28"/>
          <w:szCs w:val="28"/>
        </w:rPr>
      </w:pPr>
      <w:r>
        <w:rPr>
          <w:rFonts w:hint="eastAsia" w:hAnsi="宋体"/>
          <w:color w:val="auto"/>
          <w:spacing w:val="-4"/>
          <w:sz w:val="28"/>
          <w:szCs w:val="28"/>
        </w:rPr>
        <w:t>（6）对占用耕地耕作层土壤剥离利用和临时占用的耕地采用深松深耕进行全过程监理。</w:t>
      </w:r>
    </w:p>
    <w:p>
      <w:pPr>
        <w:adjustRightInd w:val="0"/>
        <w:snapToGrid w:val="0"/>
        <w:spacing w:line="460" w:lineRule="exact"/>
        <w:ind w:firstLine="537" w:firstLineChars="192"/>
        <w:rPr>
          <w:rFonts w:hint="eastAsia"/>
          <w:color w:val="auto"/>
          <w:sz w:val="28"/>
          <w:szCs w:val="28"/>
        </w:rPr>
      </w:pPr>
      <w:r>
        <w:rPr>
          <w:rFonts w:hAnsi="宋体"/>
          <w:color w:val="auto"/>
          <w:sz w:val="28"/>
          <w:szCs w:val="28"/>
        </w:rPr>
        <w:t>通过采取上述生态保护措施，能够确保本项目对区域生态的破坏得到有效控制，不会对区域生态产生较大影响，生态保护措施可行。</w:t>
      </w:r>
    </w:p>
    <w:p>
      <w:pPr>
        <w:pStyle w:val="5"/>
        <w:numPr>
          <w:ilvl w:val="2"/>
          <w:numId w:val="4"/>
        </w:numPr>
        <w:bidi w:val="0"/>
        <w:rPr>
          <w:color w:val="auto"/>
        </w:rPr>
      </w:pPr>
      <w:r>
        <w:rPr>
          <w:color w:val="auto"/>
        </w:rPr>
        <w:t>土壤</w:t>
      </w:r>
      <w:r>
        <w:rPr>
          <w:rFonts w:hint="eastAsia"/>
          <w:color w:val="auto"/>
        </w:rPr>
        <w:t>污染</w:t>
      </w:r>
      <w:r>
        <w:rPr>
          <w:color w:val="auto"/>
        </w:rPr>
        <w:t>防范措施</w:t>
      </w:r>
    </w:p>
    <w:p>
      <w:pPr>
        <w:pStyle w:val="6"/>
        <w:numPr>
          <w:ilvl w:val="3"/>
          <w:numId w:val="4"/>
        </w:numPr>
        <w:bidi w:val="0"/>
        <w:rPr>
          <w:color w:val="auto"/>
        </w:rPr>
      </w:pPr>
      <w:r>
        <w:rPr>
          <w:rFonts w:hint="eastAsia"/>
          <w:color w:val="auto"/>
        </w:rPr>
        <w:t>污染防治基本要求</w:t>
      </w:r>
      <w:r>
        <w:rPr>
          <w:color w:val="auto"/>
        </w:rPr>
        <w:t xml:space="preserve"> </w:t>
      </w:r>
    </w:p>
    <w:p>
      <w:pPr>
        <w:adjustRightInd w:val="0"/>
        <w:snapToGrid w:val="0"/>
        <w:spacing w:line="460" w:lineRule="exact"/>
        <w:ind w:firstLine="537" w:firstLineChars="192"/>
        <w:rPr>
          <w:rFonts w:hAnsi="宋体"/>
          <w:color w:val="auto"/>
          <w:sz w:val="28"/>
          <w:szCs w:val="28"/>
        </w:rPr>
      </w:pPr>
      <w:r>
        <w:rPr>
          <w:rFonts w:hint="eastAsia" w:hAnsi="宋体"/>
          <w:color w:val="auto"/>
          <w:sz w:val="28"/>
          <w:szCs w:val="28"/>
        </w:rPr>
        <w:t>针对工程可能发生的土壤污染，按照源头控制、末端防治、污染监控、应急响应相结合的原则，从污染物的产生、入渗、扩散、应急响应等全阶段进行控制。</w:t>
      </w:r>
    </w:p>
    <w:p>
      <w:pPr>
        <w:pStyle w:val="6"/>
        <w:numPr>
          <w:ilvl w:val="3"/>
          <w:numId w:val="4"/>
        </w:numPr>
        <w:bidi w:val="0"/>
        <w:rPr>
          <w:color w:val="auto"/>
        </w:rPr>
      </w:pPr>
      <w:r>
        <w:rPr>
          <w:rFonts w:hint="eastAsia"/>
          <w:color w:val="auto"/>
        </w:rPr>
        <w:t>源头控制措施</w:t>
      </w:r>
      <w:r>
        <w:rPr>
          <w:color w:val="auto"/>
        </w:rPr>
        <w:t xml:space="preserve"> </w:t>
      </w:r>
    </w:p>
    <w:p>
      <w:pPr>
        <w:adjustRightInd w:val="0"/>
        <w:snapToGrid w:val="0"/>
        <w:spacing w:line="460" w:lineRule="exact"/>
        <w:ind w:firstLine="537" w:firstLineChars="192"/>
        <w:rPr>
          <w:rFonts w:hAnsi="宋体"/>
          <w:color w:val="auto"/>
          <w:sz w:val="28"/>
          <w:szCs w:val="28"/>
        </w:rPr>
      </w:pPr>
      <w:r>
        <w:rPr>
          <w:rFonts w:hint="eastAsia" w:hAnsi="宋体"/>
          <w:color w:val="auto"/>
          <w:sz w:val="28"/>
          <w:szCs w:val="28"/>
        </w:rPr>
        <w:t>（</w:t>
      </w:r>
      <w:r>
        <w:rPr>
          <w:rFonts w:hAnsi="宋体"/>
          <w:color w:val="auto"/>
          <w:sz w:val="28"/>
          <w:szCs w:val="28"/>
        </w:rPr>
        <w:t>1</w:t>
      </w:r>
      <w:r>
        <w:rPr>
          <w:rFonts w:hint="eastAsia" w:hAnsi="宋体"/>
          <w:color w:val="auto"/>
          <w:sz w:val="28"/>
          <w:szCs w:val="28"/>
        </w:rPr>
        <w:t>）主要包括在钻井设备、各类污染物收集设施等采取相应措施，防止和降低污染物跑、冒、滴、漏，将污染物泄漏的环境风险事故降到最低程度。</w:t>
      </w:r>
    </w:p>
    <w:p>
      <w:pPr>
        <w:adjustRightInd w:val="0"/>
        <w:snapToGrid w:val="0"/>
        <w:spacing w:line="460" w:lineRule="exact"/>
        <w:ind w:firstLine="537" w:firstLineChars="192"/>
        <w:rPr>
          <w:rFonts w:hAnsi="宋体"/>
          <w:color w:val="auto"/>
          <w:sz w:val="28"/>
          <w:szCs w:val="28"/>
        </w:rPr>
      </w:pPr>
      <w:r>
        <w:rPr>
          <w:rFonts w:hint="eastAsia" w:hAnsi="宋体"/>
          <w:color w:val="auto"/>
          <w:sz w:val="28"/>
          <w:szCs w:val="28"/>
        </w:rPr>
        <w:t>（</w:t>
      </w:r>
      <w:r>
        <w:rPr>
          <w:rFonts w:hAnsi="宋体"/>
          <w:color w:val="auto"/>
          <w:sz w:val="28"/>
          <w:szCs w:val="28"/>
        </w:rPr>
        <w:t>2</w:t>
      </w:r>
      <w:r>
        <w:rPr>
          <w:rFonts w:hint="eastAsia" w:hAnsi="宋体"/>
          <w:color w:val="auto"/>
          <w:sz w:val="28"/>
          <w:szCs w:val="28"/>
        </w:rPr>
        <w:t>）在施工过程中要做好钻井废水、钻井液、钻屑的回收处理工作，做到完全无外排。罐区应做好防渗措施，防止油污洒落地面，污染土壤环境。</w:t>
      </w:r>
    </w:p>
    <w:p>
      <w:pPr>
        <w:adjustRightInd w:val="0"/>
        <w:snapToGrid w:val="0"/>
        <w:spacing w:line="460" w:lineRule="exact"/>
        <w:ind w:firstLine="537" w:firstLineChars="192"/>
        <w:rPr>
          <w:rFonts w:hAnsi="宋体"/>
          <w:color w:val="auto"/>
          <w:sz w:val="28"/>
          <w:szCs w:val="28"/>
        </w:rPr>
      </w:pPr>
      <w:r>
        <w:rPr>
          <w:rFonts w:hint="eastAsia" w:hAnsi="宋体"/>
          <w:color w:val="auto"/>
          <w:sz w:val="28"/>
          <w:szCs w:val="28"/>
        </w:rPr>
        <w:t>（3）每次钻井结束后的固井作业可有效封隔地层与套管之间的环空，防治污染土壤。</w:t>
      </w:r>
      <w:r>
        <w:rPr>
          <w:rFonts w:hAnsi="宋体"/>
          <w:color w:val="auto"/>
          <w:sz w:val="28"/>
          <w:szCs w:val="28"/>
        </w:rPr>
        <w:t>选用高标号的固井水泥，提高固井质量</w:t>
      </w:r>
      <w:r>
        <w:rPr>
          <w:rFonts w:hint="eastAsia" w:hAnsi="宋体"/>
          <w:color w:val="auto"/>
          <w:sz w:val="28"/>
          <w:szCs w:val="28"/>
        </w:rPr>
        <w:t>，可有效防止因为井漏事故造成的土壤环境污染。</w:t>
      </w:r>
    </w:p>
    <w:p>
      <w:pPr>
        <w:adjustRightInd w:val="0"/>
        <w:snapToGrid w:val="0"/>
        <w:spacing w:line="460" w:lineRule="exact"/>
        <w:ind w:firstLine="537" w:firstLineChars="192"/>
        <w:rPr>
          <w:rFonts w:hAnsi="宋体"/>
          <w:color w:val="auto"/>
          <w:sz w:val="28"/>
          <w:szCs w:val="28"/>
        </w:rPr>
      </w:pPr>
      <w:r>
        <w:rPr>
          <w:rFonts w:hint="eastAsia" w:hAnsi="宋体"/>
          <w:color w:val="auto"/>
          <w:sz w:val="28"/>
          <w:szCs w:val="28"/>
        </w:rPr>
        <w:t>（4）施工现场的生活垃圾设置专门区域进行妥善收集，后期统一交由当地环卫部门进行集中处置。</w:t>
      </w:r>
    </w:p>
    <w:p>
      <w:pPr>
        <w:pStyle w:val="6"/>
        <w:numPr>
          <w:ilvl w:val="3"/>
          <w:numId w:val="4"/>
        </w:numPr>
        <w:bidi w:val="0"/>
        <w:rPr>
          <w:color w:val="auto"/>
        </w:rPr>
      </w:pPr>
      <w:r>
        <w:rPr>
          <w:rFonts w:hint="eastAsia"/>
          <w:color w:val="auto"/>
        </w:rPr>
        <w:t>过程防控措施</w:t>
      </w:r>
    </w:p>
    <w:p>
      <w:pPr>
        <w:adjustRightInd w:val="0"/>
        <w:snapToGrid w:val="0"/>
        <w:spacing w:line="460" w:lineRule="exact"/>
        <w:ind w:firstLine="537" w:firstLineChars="192"/>
        <w:rPr>
          <w:rFonts w:hint="eastAsia" w:hAnsi="宋体"/>
          <w:color w:val="auto"/>
          <w:sz w:val="28"/>
          <w:szCs w:val="28"/>
        </w:rPr>
      </w:pPr>
      <w:r>
        <w:rPr>
          <w:rFonts w:hint="eastAsia" w:hAnsi="宋体"/>
          <w:color w:val="auto"/>
          <w:sz w:val="28"/>
          <w:szCs w:val="28"/>
        </w:rPr>
        <w:t>根据行业项目特点与占地范围内的土壤特性，按照相关技术要求，本工程主要针对通过垂直入渗途径污染土壤而采取的过程防控措施。主要采取分区防渗措施，根据</w:t>
      </w:r>
      <w:r>
        <w:rPr>
          <w:rFonts w:hint="eastAsia" w:hAnsi="宋体"/>
          <w:color w:val="auto"/>
          <w:sz w:val="28"/>
          <w:szCs w:val="28"/>
          <w:lang w:eastAsia="zh-CN"/>
        </w:rPr>
        <w:t>升平储气库</w:t>
      </w:r>
      <w:r>
        <w:rPr>
          <w:rFonts w:hint="eastAsia" w:hAnsi="宋体"/>
          <w:color w:val="auto"/>
          <w:sz w:val="28"/>
          <w:szCs w:val="28"/>
        </w:rPr>
        <w:t>钻井井场在建设期可能产生的污染物情况及构筑物的特征，将井场划分为重点防渗区和一般防渗区（具体分区防渗详见地下水污染防治措施章节）。通过以上措施全面防控事故废水发生垂直入渗，进入土壤。</w:t>
      </w:r>
    </w:p>
    <w:p>
      <w:pPr>
        <w:pStyle w:val="6"/>
        <w:numPr>
          <w:ilvl w:val="3"/>
          <w:numId w:val="4"/>
        </w:numPr>
        <w:bidi w:val="0"/>
        <w:rPr>
          <w:color w:val="auto"/>
        </w:rPr>
      </w:pPr>
      <w:r>
        <w:rPr>
          <w:rFonts w:hint="eastAsia"/>
          <w:color w:val="auto"/>
        </w:rPr>
        <w:t>跟踪监测计划</w:t>
      </w:r>
      <w:r>
        <w:rPr>
          <w:color w:val="auto"/>
        </w:rPr>
        <w:t xml:space="preserve"> </w:t>
      </w:r>
    </w:p>
    <w:p>
      <w:pPr>
        <w:snapToGrid w:val="0"/>
        <w:spacing w:line="480" w:lineRule="exact"/>
        <w:ind w:firstLine="560" w:firstLineChars="200"/>
        <w:rPr>
          <w:rFonts w:hint="eastAsia" w:hAnsi="宋体"/>
          <w:color w:val="auto"/>
          <w:sz w:val="28"/>
          <w:szCs w:val="28"/>
        </w:rPr>
      </w:pPr>
      <w:r>
        <w:rPr>
          <w:rFonts w:hint="eastAsia" w:hAnsi="宋体"/>
          <w:color w:val="auto"/>
          <w:sz w:val="28"/>
          <w:szCs w:val="28"/>
        </w:rPr>
        <w:t>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w:t>
      </w:r>
      <w:r>
        <w:rPr>
          <w:rFonts w:hAnsi="宋体"/>
          <w:color w:val="auto"/>
          <w:sz w:val="28"/>
          <w:szCs w:val="28"/>
        </w:rPr>
        <w:t>定期对重点影响区及土壤环境敏感点附近土壤环境进行监测，监测委托具有资质的单位进行，监测报告应存档，同时对监测结果进行信息公开。根据土壤环境影响分析结果，本工程对土壤环境敏感点产生影响的可能性小，根据项目分布情况布置土壤监测点位</w:t>
      </w:r>
      <w:r>
        <w:rPr>
          <w:rFonts w:hint="eastAsia"/>
          <w:color w:val="auto"/>
          <w:sz w:val="28"/>
          <w:szCs w:val="28"/>
        </w:rPr>
        <w:t>1</w:t>
      </w:r>
      <w:r>
        <w:rPr>
          <w:rFonts w:hAnsi="宋体"/>
          <w:color w:val="auto"/>
          <w:sz w:val="28"/>
          <w:szCs w:val="28"/>
        </w:rPr>
        <w:t>个，</w:t>
      </w:r>
      <w:r>
        <w:rPr>
          <w:rFonts w:hint="eastAsia" w:hAnsi="宋体"/>
          <w:color w:val="auto"/>
          <w:sz w:val="28"/>
          <w:szCs w:val="28"/>
        </w:rPr>
        <w:t>一旦发现土壤污染事故，立即采取应急措施控制土壤、地下水污染，</w:t>
      </w:r>
    </w:p>
    <w:p>
      <w:pPr>
        <w:snapToGrid w:val="0"/>
        <w:spacing w:line="480" w:lineRule="exact"/>
        <w:ind w:firstLine="560" w:firstLineChars="200"/>
        <w:rPr>
          <w:color w:val="auto"/>
          <w:sz w:val="28"/>
          <w:szCs w:val="28"/>
        </w:rPr>
      </w:pPr>
      <w:r>
        <w:rPr>
          <w:rFonts w:hint="eastAsia" w:hAnsi="宋体"/>
          <w:color w:val="auto"/>
          <w:sz w:val="28"/>
          <w:szCs w:val="28"/>
        </w:rPr>
        <w:t>并使污染得到治理。详见</w:t>
      </w:r>
      <w:r>
        <w:rPr>
          <w:rFonts w:hint="eastAsia" w:hAnsi="宋体"/>
          <w:color w:val="auto"/>
          <w:sz w:val="28"/>
          <w:szCs w:val="28"/>
          <w:lang w:eastAsia="zh-CN"/>
        </w:rPr>
        <w:t>附</w:t>
      </w:r>
      <w:r>
        <w:rPr>
          <w:rFonts w:hint="eastAsia" w:hAnsi="宋体"/>
          <w:color w:val="auto"/>
          <w:sz w:val="28"/>
          <w:szCs w:val="28"/>
        </w:rPr>
        <w:t>图</w:t>
      </w:r>
      <w:r>
        <w:rPr>
          <w:rFonts w:hint="eastAsia"/>
          <w:color w:val="auto"/>
          <w:sz w:val="28"/>
          <w:szCs w:val="28"/>
        </w:rPr>
        <w:t>6.1-</w:t>
      </w:r>
      <w:r>
        <w:rPr>
          <w:rFonts w:hint="eastAsia"/>
          <w:color w:val="auto"/>
          <w:sz w:val="28"/>
          <w:szCs w:val="28"/>
          <w:lang w:val="en-US" w:eastAsia="zh-CN"/>
        </w:rPr>
        <w:t>1</w:t>
      </w:r>
      <w:r>
        <w:rPr>
          <w:rFonts w:hAnsi="宋体"/>
          <w:color w:val="auto"/>
          <w:sz w:val="28"/>
          <w:szCs w:val="28"/>
        </w:rPr>
        <w:t>。跟踪监测计划见表</w:t>
      </w:r>
      <w:r>
        <w:rPr>
          <w:rFonts w:hint="eastAsia"/>
          <w:color w:val="auto"/>
          <w:sz w:val="28"/>
          <w:szCs w:val="28"/>
        </w:rPr>
        <w:t>6.1-3</w:t>
      </w:r>
      <w:r>
        <w:rPr>
          <w:rFonts w:hAnsi="宋体"/>
          <w:color w:val="auto"/>
          <w:sz w:val="28"/>
          <w:szCs w:val="28"/>
        </w:rPr>
        <w:t>。</w:t>
      </w:r>
    </w:p>
    <w:p>
      <w:pPr>
        <w:pStyle w:val="7"/>
        <w:numPr>
          <w:ilvl w:val="4"/>
          <w:numId w:val="4"/>
        </w:numPr>
        <w:bidi w:val="0"/>
        <w:rPr>
          <w:snapToGrid w:val="0"/>
          <w:color w:val="auto"/>
          <w:kern w:val="0"/>
          <w:sz w:val="28"/>
          <w:szCs w:val="28"/>
        </w:rPr>
      </w:pPr>
      <w:r>
        <w:rPr>
          <w:rFonts w:hAnsi="宋体"/>
          <w:snapToGrid w:val="0"/>
          <w:color w:val="auto"/>
          <w:kern w:val="0"/>
          <w:sz w:val="28"/>
          <w:szCs w:val="28"/>
        </w:rPr>
        <w:t>土壤环境跟踪监测计划表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49"/>
        <w:gridCol w:w="3018"/>
        <w:gridCol w:w="1050"/>
        <w:gridCol w:w="1051"/>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2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监测点位</w:t>
            </w:r>
          </w:p>
        </w:tc>
        <w:tc>
          <w:tcPr>
            <w:tcW w:w="3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地理坐标</w:t>
            </w:r>
          </w:p>
        </w:tc>
        <w:tc>
          <w:tcPr>
            <w:tcW w:w="1050" w:type="dxa"/>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监测因子</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监测频次</w:t>
            </w:r>
          </w:p>
        </w:tc>
        <w:tc>
          <w:tcPr>
            <w:tcW w:w="19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exact"/>
          <w:jc w:val="center"/>
        </w:trPr>
        <w:tc>
          <w:tcPr>
            <w:tcW w:w="20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eastAsia" w:eastAsia="宋体"/>
                <w:snapToGrid w:val="0"/>
                <w:color w:val="auto"/>
                <w:szCs w:val="21"/>
                <w:lang w:eastAsia="zh-CN"/>
              </w:rPr>
            </w:pPr>
            <w:r>
              <w:rPr>
                <w:rFonts w:hint="default" w:hAnsi="宋体"/>
                <w:snapToGrid w:val="0"/>
                <w:color w:val="auto"/>
                <w:szCs w:val="21"/>
              </w:rPr>
              <w:t>拟建</w:t>
            </w:r>
            <w:r>
              <w:rPr>
                <w:rFonts w:hint="eastAsia" w:hAnsi="宋体"/>
                <w:color w:val="auto"/>
                <w:szCs w:val="21"/>
              </w:rPr>
              <w:t>B井场</w:t>
            </w:r>
            <w:r>
              <w:rPr>
                <w:rFonts w:hint="eastAsia" w:hAnsi="宋体"/>
                <w:color w:val="auto"/>
                <w:szCs w:val="21"/>
                <w:lang w:eastAsia="zh-CN"/>
              </w:rPr>
              <w:t>注采井</w:t>
            </w:r>
          </w:p>
        </w:tc>
        <w:tc>
          <w:tcPr>
            <w:tcW w:w="3018"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eastAsia" w:eastAsia="宋体"/>
                <w:color w:val="auto"/>
                <w:szCs w:val="21"/>
                <w:lang w:eastAsia="zh-CN"/>
              </w:rPr>
            </w:pPr>
            <w:r>
              <w:rPr>
                <w:rFonts w:hint="eastAsia"/>
                <w:color w:val="auto"/>
                <w:szCs w:val="21"/>
              </w:rPr>
              <w:t>125°16'47.7976"</w:t>
            </w:r>
            <w:r>
              <w:rPr>
                <w:rFonts w:hint="eastAsia"/>
                <w:color w:val="auto"/>
                <w:szCs w:val="21"/>
                <w:lang w:eastAsia="zh-CN"/>
              </w:rPr>
              <w:t>，46</w:t>
            </w:r>
            <w:r>
              <w:rPr>
                <w:rFonts w:hint="default" w:ascii="Times New Roman" w:hAnsi="Times New Roman" w:cs="Times New Roman"/>
                <w:color w:val="auto"/>
                <w:szCs w:val="21"/>
                <w:lang w:eastAsia="zh-CN"/>
              </w:rPr>
              <w:t>°</w:t>
            </w:r>
            <w:r>
              <w:rPr>
                <w:rFonts w:hint="eastAsia"/>
                <w:color w:val="auto"/>
                <w:szCs w:val="21"/>
                <w:lang w:eastAsia="zh-CN"/>
              </w:rPr>
              <w:t>13'22.3351"</w:t>
            </w:r>
          </w:p>
        </w:tc>
        <w:tc>
          <w:tcPr>
            <w:tcW w:w="1050" w:type="dxa"/>
            <w:tcBorders>
              <w:top w:val="single" w:color="auto" w:sz="4" w:space="0"/>
              <w:left w:val="single" w:color="auto" w:sz="4" w:space="0"/>
              <w:right w:val="single" w:color="auto" w:sz="4" w:space="0"/>
            </w:tcBorders>
            <w:noWrap w:val="0"/>
            <w:tcMar>
              <w:top w:w="28" w:type="dxa"/>
              <w:left w:w="28" w:type="dxa"/>
              <w:bottom w:w="28" w:type="dxa"/>
              <w:right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石油烃</w:t>
            </w:r>
          </w:p>
        </w:tc>
        <w:tc>
          <w:tcPr>
            <w:tcW w:w="1051"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snapToGrid w:val="0"/>
                <w:color w:val="auto"/>
                <w:szCs w:val="21"/>
              </w:rPr>
              <w:t>1</w:t>
            </w:r>
            <w:r>
              <w:rPr>
                <w:rFonts w:hint="default" w:hAnsi="宋体"/>
                <w:snapToGrid w:val="0"/>
                <w:color w:val="auto"/>
                <w:szCs w:val="21"/>
              </w:rPr>
              <w:t>次</w:t>
            </w:r>
            <w:r>
              <w:rPr>
                <w:rFonts w:hint="default"/>
                <w:snapToGrid w:val="0"/>
                <w:color w:val="auto"/>
                <w:szCs w:val="21"/>
              </w:rPr>
              <w:t>/</w:t>
            </w:r>
            <w:r>
              <w:rPr>
                <w:rFonts w:hint="eastAsia"/>
                <w:snapToGrid w:val="0"/>
                <w:color w:val="auto"/>
                <w:szCs w:val="21"/>
              </w:rPr>
              <w:t>5</w:t>
            </w:r>
            <w:r>
              <w:rPr>
                <w:rFonts w:hint="default" w:hAnsi="宋体"/>
                <w:snapToGrid w:val="0"/>
                <w:color w:val="auto"/>
                <w:szCs w:val="21"/>
              </w:rPr>
              <w:t>年</w:t>
            </w:r>
          </w:p>
        </w:tc>
        <w:tc>
          <w:tcPr>
            <w:tcW w:w="1959"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snapToGrid w:val="0"/>
                <w:color w:val="auto"/>
                <w:szCs w:val="21"/>
              </w:rPr>
              <w:t>GB36600-2018</w:t>
            </w:r>
          </w:p>
        </w:tc>
      </w:tr>
    </w:tbl>
    <w:p>
      <w:pPr>
        <w:pStyle w:val="5"/>
        <w:numPr>
          <w:ilvl w:val="2"/>
          <w:numId w:val="4"/>
        </w:numPr>
        <w:bidi w:val="0"/>
        <w:rPr>
          <w:color w:val="auto"/>
        </w:rPr>
      </w:pPr>
      <w:r>
        <w:rPr>
          <w:color w:val="auto"/>
        </w:rPr>
        <w:t>环境风险防范措施</w:t>
      </w:r>
    </w:p>
    <w:p>
      <w:pPr>
        <w:spacing w:line="480" w:lineRule="exact"/>
        <w:ind w:firstLine="560" w:firstLineChars="200"/>
        <w:rPr>
          <w:color w:val="auto"/>
          <w:sz w:val="28"/>
          <w:szCs w:val="28"/>
        </w:rPr>
      </w:pPr>
      <w:r>
        <w:rPr>
          <w:rFonts w:hint="eastAsia" w:hAnsi="宋体"/>
          <w:color w:val="auto"/>
          <w:sz w:val="28"/>
          <w:szCs w:val="28"/>
        </w:rPr>
        <w:t>本工程所涉及的环境风险包括施工期井漏、井喷、危险物质泄漏等风险事故，分别采取相应的井控等环境风险防范措施。</w:t>
      </w:r>
    </w:p>
    <w:p>
      <w:pPr>
        <w:pStyle w:val="6"/>
        <w:numPr>
          <w:ilvl w:val="3"/>
          <w:numId w:val="4"/>
        </w:numPr>
        <w:bidi w:val="0"/>
        <w:rPr>
          <w:color w:val="auto"/>
        </w:rPr>
      </w:pPr>
      <w:r>
        <w:rPr>
          <w:color w:val="auto"/>
        </w:rPr>
        <w:t>井</w:t>
      </w:r>
      <w:r>
        <w:rPr>
          <w:rFonts w:hint="eastAsia"/>
          <w:color w:val="auto"/>
        </w:rPr>
        <w:t>喷防范</w:t>
      </w:r>
      <w:r>
        <w:rPr>
          <w:color w:val="auto"/>
        </w:rPr>
        <w:t>措施</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）钻井时安装防喷器，防止井喷事故发生。</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）钻井过程中钻井队要认真做好地层孔隙压力监测，绘制四条曲线，包括预测地层孔隙压力曲线、监测地层孔隙压力曲线、设计钻井液密度曲线、实际钻井液密度曲线，并贴于井场值班房墙上。</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3</w:t>
      </w:r>
      <w:r>
        <w:rPr>
          <w:rFonts w:hAnsi="宋体"/>
          <w:color w:val="auto"/>
          <w:sz w:val="28"/>
          <w:szCs w:val="28"/>
        </w:rPr>
        <w:t>）施工方在施工过程中因地质情况或施工条件出现较大变化时，应及时对钻井作业进行风险识别和评价，制定出安全技术保障措施，并提出修改设计的请求，按程序审批后方可实施。</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4</w:t>
      </w:r>
      <w:r>
        <w:rPr>
          <w:rFonts w:hAnsi="宋体"/>
          <w:color w:val="auto"/>
          <w:sz w:val="28"/>
          <w:szCs w:val="28"/>
        </w:rPr>
        <w:t>）井控设备的维护和使用严格按照《大庆油田钻井井控实施细则》中的</w:t>
      </w:r>
      <w:r>
        <w:rPr>
          <w:color w:val="auto"/>
          <w:sz w:val="28"/>
          <w:szCs w:val="28"/>
        </w:rPr>
        <w:t>4.2</w:t>
      </w:r>
      <w:r>
        <w:rPr>
          <w:rFonts w:hAnsi="宋体"/>
          <w:color w:val="auto"/>
          <w:sz w:val="28"/>
          <w:szCs w:val="28"/>
        </w:rPr>
        <w:t>和</w:t>
      </w:r>
      <w:r>
        <w:rPr>
          <w:color w:val="auto"/>
          <w:sz w:val="28"/>
          <w:szCs w:val="28"/>
        </w:rPr>
        <w:t>5.2</w:t>
      </w:r>
      <w:r>
        <w:rPr>
          <w:rFonts w:hAnsi="宋体"/>
          <w:color w:val="auto"/>
          <w:sz w:val="28"/>
          <w:szCs w:val="28"/>
        </w:rPr>
        <w:t>的要求执行。</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5</w:t>
      </w:r>
      <w:r>
        <w:rPr>
          <w:rFonts w:hAnsi="宋体"/>
          <w:color w:val="auto"/>
          <w:sz w:val="28"/>
          <w:szCs w:val="28"/>
        </w:rPr>
        <w:t>）钻井液性能符合钻井设计要求，特别是钻井液密度必须在设计范围内。起钻前充分循环井内钻井液，使其性能稳定，进出口密度差不超过</w:t>
      </w:r>
      <w:r>
        <w:rPr>
          <w:color w:val="auto"/>
          <w:sz w:val="28"/>
          <w:szCs w:val="28"/>
        </w:rPr>
        <w:t>0.02g/cm</w:t>
      </w:r>
      <w:r>
        <w:rPr>
          <w:color w:val="auto"/>
          <w:sz w:val="28"/>
          <w:szCs w:val="28"/>
          <w:vertAlign w:val="superscript"/>
        </w:rPr>
        <w:t>3</w:t>
      </w:r>
      <w:r>
        <w:rPr>
          <w:rFonts w:hAnsi="宋体"/>
          <w:color w:val="auto"/>
          <w:sz w:val="28"/>
          <w:szCs w:val="28"/>
        </w:rPr>
        <w:t>。</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6</w:t>
      </w:r>
      <w:r>
        <w:rPr>
          <w:rFonts w:hAnsi="宋体"/>
          <w:color w:val="auto"/>
          <w:sz w:val="28"/>
          <w:szCs w:val="28"/>
        </w:rPr>
        <w:t>）钻进中发生井漏应将钻具提离井底、方钻杆提出转盘，以便关井观察。采取定时、定量反灌钻井液措施，保持井内液柱压力与地层压力平衡，防止发生溢流，其后采取相应措施处理井漏。</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7</w:t>
      </w:r>
      <w:r>
        <w:rPr>
          <w:rFonts w:hAnsi="宋体"/>
          <w:color w:val="auto"/>
          <w:sz w:val="28"/>
          <w:szCs w:val="28"/>
        </w:rPr>
        <w:t>）固井作业时不得拆除防喷器，应配套微变径闸板、换与套管直径相匹配的闸板或在钻台配备套管螺纹和防喷钻杆相匹配的接头。固井全过程保证井内压力平衡，尤其防止水泥浆候凝期间因失重造成井内压力平衡的破坏，甚至井喷。</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8</w:t>
      </w:r>
      <w:r>
        <w:rPr>
          <w:rFonts w:hAnsi="宋体"/>
          <w:color w:val="auto"/>
          <w:sz w:val="28"/>
          <w:szCs w:val="28"/>
        </w:rPr>
        <w:t>）发现溢流后，严格按照《大庆油田钻井井控实施细则》溢流的控制及压井作业中的要求执行。</w:t>
      </w:r>
    </w:p>
    <w:p>
      <w:pPr>
        <w:pStyle w:val="6"/>
        <w:numPr>
          <w:ilvl w:val="3"/>
          <w:numId w:val="4"/>
        </w:numPr>
        <w:bidi w:val="0"/>
        <w:rPr>
          <w:color w:val="auto"/>
        </w:rPr>
      </w:pPr>
      <w:r>
        <w:rPr>
          <w:color w:val="auto"/>
        </w:rPr>
        <w:t>套损风险防范措施</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）检查套管质量</w:t>
      </w:r>
    </w:p>
    <w:p>
      <w:pPr>
        <w:spacing w:line="480" w:lineRule="exact"/>
        <w:ind w:firstLine="560" w:firstLineChars="200"/>
        <w:rPr>
          <w:color w:val="auto"/>
          <w:sz w:val="28"/>
          <w:szCs w:val="28"/>
        </w:rPr>
      </w:pPr>
      <w:r>
        <w:rPr>
          <w:color w:val="auto"/>
          <w:sz w:val="28"/>
          <w:szCs w:val="28"/>
        </w:rPr>
        <w:t>1</w:t>
      </w:r>
      <w:r>
        <w:rPr>
          <w:rFonts w:hAnsi="宋体"/>
          <w:color w:val="auto"/>
          <w:sz w:val="28"/>
          <w:szCs w:val="28"/>
        </w:rPr>
        <w:t>）套管下井的质量检查。</w:t>
      </w:r>
    </w:p>
    <w:p>
      <w:pPr>
        <w:spacing w:line="480" w:lineRule="exact"/>
        <w:ind w:firstLine="560" w:firstLineChars="200"/>
        <w:rPr>
          <w:color w:val="auto"/>
          <w:sz w:val="28"/>
          <w:szCs w:val="28"/>
        </w:rPr>
      </w:pPr>
      <w:r>
        <w:rPr>
          <w:rFonts w:hAnsi="宋体"/>
          <w:color w:val="auto"/>
          <w:sz w:val="28"/>
          <w:szCs w:val="28"/>
        </w:rPr>
        <w:t>一是检查套管钢级、壁厚等是否符合下井的设计规范与要求（设计中应对各种应力、强度校核作严格计算）。二是加强对下井前套管的探伤检查，要用多种检测方法检查套管壁厚薄程度、弯曲程度、圆度、丝扣密封情况和破裂等质量问题，严禁不合格套管下井。</w:t>
      </w:r>
    </w:p>
    <w:p>
      <w:pPr>
        <w:spacing w:line="480" w:lineRule="exact"/>
        <w:ind w:firstLine="560" w:firstLineChars="200"/>
        <w:rPr>
          <w:color w:val="auto"/>
          <w:sz w:val="28"/>
          <w:szCs w:val="28"/>
        </w:rPr>
      </w:pPr>
      <w:r>
        <w:rPr>
          <w:color w:val="auto"/>
          <w:sz w:val="28"/>
          <w:szCs w:val="28"/>
        </w:rPr>
        <w:t>2</w:t>
      </w:r>
      <w:r>
        <w:rPr>
          <w:rFonts w:hAnsi="宋体"/>
          <w:color w:val="auto"/>
          <w:sz w:val="28"/>
          <w:szCs w:val="28"/>
        </w:rPr>
        <w:t>）确定厚壁套管下入井段，根据地应力集中点、膨胀泥岩深度。断层深度和油层部位等确定厚壁套管下入井段。</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）工程技术预防措施</w:t>
      </w:r>
    </w:p>
    <w:p>
      <w:pPr>
        <w:spacing w:line="480" w:lineRule="exact"/>
        <w:ind w:firstLine="560" w:firstLineChars="200"/>
        <w:rPr>
          <w:color w:val="auto"/>
          <w:sz w:val="28"/>
          <w:szCs w:val="28"/>
        </w:rPr>
      </w:pPr>
      <w:r>
        <w:rPr>
          <w:color w:val="auto"/>
          <w:sz w:val="28"/>
          <w:szCs w:val="28"/>
        </w:rPr>
        <w:t>1</w:t>
      </w:r>
      <w:r>
        <w:rPr>
          <w:rFonts w:hAnsi="宋体"/>
          <w:color w:val="auto"/>
          <w:sz w:val="28"/>
          <w:szCs w:val="28"/>
        </w:rPr>
        <w:t>）对开发方式与工艺的要求。</w:t>
      </w:r>
    </w:p>
    <w:p>
      <w:pPr>
        <w:spacing w:line="480" w:lineRule="exact"/>
        <w:ind w:firstLine="560" w:firstLineChars="200"/>
        <w:rPr>
          <w:color w:val="auto"/>
          <w:sz w:val="28"/>
          <w:szCs w:val="28"/>
        </w:rPr>
      </w:pPr>
      <w:r>
        <w:rPr>
          <w:rFonts w:hAnsi="宋体"/>
          <w:color w:val="auto"/>
          <w:sz w:val="28"/>
          <w:szCs w:val="28"/>
        </w:rPr>
        <w:t>①为防止地应力集中，尤其在断层附近，应采取恰当的布井方式，以适应地下应力分布情况。</w:t>
      </w:r>
    </w:p>
    <w:p>
      <w:pPr>
        <w:spacing w:line="480" w:lineRule="exact"/>
        <w:ind w:firstLine="560" w:firstLineChars="200"/>
        <w:rPr>
          <w:color w:val="auto"/>
          <w:sz w:val="28"/>
          <w:szCs w:val="28"/>
        </w:rPr>
      </w:pPr>
      <w:r>
        <w:rPr>
          <w:rFonts w:hAnsi="宋体"/>
          <w:color w:val="auto"/>
          <w:sz w:val="28"/>
          <w:szCs w:val="28"/>
        </w:rPr>
        <w:t>②在套管易损坏地区的井，应考虑下技术套管，技术套管下至断裂层下部固井后再下气层套管，从而更有效地防止气层套管的损坏。</w:t>
      </w:r>
    </w:p>
    <w:p>
      <w:pPr>
        <w:spacing w:line="480" w:lineRule="exact"/>
        <w:ind w:firstLine="560" w:firstLineChars="200"/>
        <w:rPr>
          <w:color w:val="auto"/>
          <w:sz w:val="28"/>
          <w:szCs w:val="28"/>
        </w:rPr>
      </w:pPr>
      <w:r>
        <w:rPr>
          <w:rFonts w:hAnsi="宋体"/>
          <w:color w:val="auto"/>
          <w:sz w:val="28"/>
          <w:szCs w:val="28"/>
        </w:rPr>
        <w:t>③在可能的情况下，应分层开采，以利于克服层间应力异常和减少井下作业次数，防止套管损坏。</w:t>
      </w:r>
    </w:p>
    <w:p>
      <w:pPr>
        <w:spacing w:line="480" w:lineRule="exact"/>
        <w:ind w:firstLine="560" w:firstLineChars="200"/>
        <w:rPr>
          <w:color w:val="auto"/>
          <w:sz w:val="28"/>
          <w:szCs w:val="28"/>
        </w:rPr>
      </w:pPr>
      <w:r>
        <w:rPr>
          <w:color w:val="auto"/>
          <w:sz w:val="28"/>
          <w:szCs w:val="28"/>
        </w:rPr>
        <w:t>2</w:t>
      </w:r>
      <w:r>
        <w:rPr>
          <w:rFonts w:hAnsi="宋体"/>
          <w:color w:val="auto"/>
          <w:sz w:val="28"/>
          <w:szCs w:val="28"/>
        </w:rPr>
        <w:t>）下套管和固井质量的要求。</w:t>
      </w:r>
    </w:p>
    <w:p>
      <w:pPr>
        <w:spacing w:line="480" w:lineRule="exact"/>
        <w:ind w:firstLine="560" w:firstLineChars="200"/>
        <w:rPr>
          <w:color w:val="auto"/>
          <w:sz w:val="28"/>
          <w:szCs w:val="28"/>
        </w:rPr>
      </w:pPr>
      <w:r>
        <w:rPr>
          <w:rFonts w:hAnsi="宋体"/>
          <w:color w:val="auto"/>
          <w:sz w:val="28"/>
          <w:szCs w:val="28"/>
        </w:rPr>
        <w:t>①为防止浅层水腐蚀套管及浅层高塑性泥岩层蠕变，在浅层套管内外壁进行防腐，同时可下表层套管或技术套管封隔浅层。为减少管内承压，在高塑性泥岩层需下厚壁套管，并在环形空间内注人水泥封固。</w:t>
      </w:r>
    </w:p>
    <w:p>
      <w:pPr>
        <w:spacing w:line="480" w:lineRule="exact"/>
        <w:ind w:firstLine="560" w:firstLineChars="200"/>
        <w:rPr>
          <w:color w:val="auto"/>
          <w:sz w:val="28"/>
          <w:szCs w:val="28"/>
        </w:rPr>
      </w:pPr>
      <w:r>
        <w:rPr>
          <w:rFonts w:hAnsi="宋体"/>
          <w:color w:val="auto"/>
          <w:sz w:val="28"/>
          <w:szCs w:val="28"/>
        </w:rPr>
        <w:t>②为保证套管接箍丝扣和密封脂质量及上扣的扭矩值，对井下的套管要定期紧扣。</w:t>
      </w:r>
    </w:p>
    <w:p>
      <w:pPr>
        <w:spacing w:line="480" w:lineRule="exact"/>
        <w:ind w:firstLine="560" w:firstLineChars="200"/>
        <w:rPr>
          <w:rFonts w:hint="eastAsia" w:hAnsi="宋体"/>
          <w:color w:val="auto"/>
          <w:sz w:val="28"/>
          <w:szCs w:val="28"/>
        </w:rPr>
      </w:pPr>
      <w:r>
        <w:rPr>
          <w:rFonts w:hAnsi="宋体"/>
          <w:color w:val="auto"/>
          <w:sz w:val="28"/>
          <w:szCs w:val="28"/>
        </w:rPr>
        <w:t>③为减少套管损坏，固井时水泥浆应返至地面，进行全程固井。</w:t>
      </w:r>
    </w:p>
    <w:p>
      <w:pPr>
        <w:pStyle w:val="6"/>
        <w:numPr>
          <w:ilvl w:val="3"/>
          <w:numId w:val="4"/>
        </w:numPr>
        <w:bidi w:val="0"/>
        <w:rPr>
          <w:color w:val="auto"/>
        </w:rPr>
      </w:pPr>
      <w:r>
        <w:rPr>
          <w:rFonts w:hint="eastAsia"/>
          <w:color w:val="auto"/>
        </w:rPr>
        <w:t>井漏风险防范措施</w:t>
      </w:r>
      <w:r>
        <w:rPr>
          <w:color w:val="auto"/>
        </w:rPr>
        <w:t xml:space="preserve"> </w:t>
      </w:r>
    </w:p>
    <w:p>
      <w:pPr>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1</w:t>
      </w:r>
      <w:r>
        <w:rPr>
          <w:rFonts w:hint="eastAsia" w:hAnsi="宋体"/>
          <w:color w:val="auto"/>
          <w:sz w:val="28"/>
          <w:szCs w:val="28"/>
        </w:rPr>
        <w:t>）发现井漏及油气显示等异常情况，立即报告。</w:t>
      </w:r>
      <w:r>
        <w:rPr>
          <w:rFonts w:hAnsi="宋体"/>
          <w:color w:val="auto"/>
          <w:sz w:val="28"/>
          <w:szCs w:val="28"/>
        </w:rPr>
        <w:t xml:space="preserve"> </w:t>
      </w:r>
    </w:p>
    <w:p>
      <w:pPr>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2</w:t>
      </w:r>
      <w:r>
        <w:rPr>
          <w:rFonts w:hint="eastAsia" w:hAnsi="宋体"/>
          <w:color w:val="auto"/>
          <w:sz w:val="28"/>
          <w:szCs w:val="28"/>
        </w:rPr>
        <w:t>）钻进中发生井漏，液面不在井口时，将钻具提至关井位置，采取定时、定量反灌钻井液措施，及时处理井漏，防止发生溢流。</w:t>
      </w:r>
      <w:r>
        <w:rPr>
          <w:rFonts w:hAnsi="宋体"/>
          <w:color w:val="auto"/>
          <w:sz w:val="28"/>
          <w:szCs w:val="28"/>
        </w:rPr>
        <w:t xml:space="preserve"> </w:t>
      </w:r>
    </w:p>
    <w:p>
      <w:pPr>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3</w:t>
      </w:r>
      <w:r>
        <w:rPr>
          <w:rFonts w:hint="eastAsia" w:hAnsi="宋体"/>
          <w:color w:val="auto"/>
          <w:sz w:val="28"/>
          <w:szCs w:val="28"/>
        </w:rPr>
        <w:t>）为防止井漏、井塌发生，可适当提高钻井液粘度，并控制钻速与排量，防止冲垮和憋漏地层。接单根时，应晚停泵、早开泵。</w:t>
      </w:r>
      <w:r>
        <w:rPr>
          <w:rFonts w:hAnsi="宋体"/>
          <w:color w:val="auto"/>
          <w:sz w:val="28"/>
          <w:szCs w:val="28"/>
        </w:rPr>
        <w:t xml:space="preserve"> </w:t>
      </w:r>
    </w:p>
    <w:p>
      <w:pPr>
        <w:spacing w:line="480" w:lineRule="exact"/>
        <w:ind w:firstLine="560" w:firstLineChars="200"/>
        <w:rPr>
          <w:rFonts w:hAnsi="宋体"/>
          <w:color w:val="auto"/>
          <w:sz w:val="28"/>
          <w:szCs w:val="28"/>
        </w:rPr>
      </w:pPr>
      <w:r>
        <w:rPr>
          <w:rFonts w:hint="eastAsia" w:hAnsi="宋体"/>
          <w:color w:val="auto"/>
          <w:sz w:val="28"/>
          <w:szCs w:val="28"/>
        </w:rPr>
        <w:t>（</w:t>
      </w:r>
      <w:r>
        <w:rPr>
          <w:rFonts w:hAnsi="宋体"/>
          <w:color w:val="auto"/>
          <w:sz w:val="28"/>
          <w:szCs w:val="28"/>
        </w:rPr>
        <w:t>4</w:t>
      </w:r>
      <w:r>
        <w:rPr>
          <w:rFonts w:hint="eastAsia" w:hAnsi="宋体"/>
          <w:color w:val="auto"/>
          <w:sz w:val="28"/>
          <w:szCs w:val="28"/>
        </w:rPr>
        <w:t>）进入目的层后，若发生井漏，在保证井控安全和井眼稳定的情况下，应首先考降低钻井液密度，然后选择不伤害主要储层的堵漏措施，主要目的层应选用可酸化或可解堵的材料，严禁使用惰性材料堵漏。</w:t>
      </w:r>
      <w:r>
        <w:rPr>
          <w:rFonts w:hAnsi="宋体"/>
          <w:color w:val="auto"/>
          <w:sz w:val="28"/>
          <w:szCs w:val="28"/>
        </w:rPr>
        <w:t xml:space="preserve"> </w:t>
      </w:r>
    </w:p>
    <w:p>
      <w:pPr>
        <w:spacing w:line="480" w:lineRule="exact"/>
        <w:ind w:firstLine="560" w:firstLineChars="200"/>
        <w:rPr>
          <w:rFonts w:hint="eastAsia" w:hAnsi="宋体"/>
          <w:color w:val="auto"/>
          <w:sz w:val="28"/>
          <w:szCs w:val="28"/>
        </w:rPr>
      </w:pPr>
      <w:r>
        <w:rPr>
          <w:rFonts w:hint="eastAsia" w:hAnsi="宋体"/>
          <w:color w:val="auto"/>
          <w:sz w:val="28"/>
          <w:szCs w:val="28"/>
        </w:rPr>
        <w:t>（</w:t>
      </w:r>
      <w:r>
        <w:rPr>
          <w:rFonts w:hAnsi="宋体"/>
          <w:color w:val="auto"/>
          <w:sz w:val="28"/>
          <w:szCs w:val="28"/>
        </w:rPr>
        <w:t>5</w:t>
      </w:r>
      <w:r>
        <w:rPr>
          <w:rFonts w:hint="eastAsia" w:hAnsi="宋体"/>
          <w:color w:val="auto"/>
          <w:sz w:val="28"/>
          <w:szCs w:val="28"/>
        </w:rPr>
        <w:t>）施工区块集中储备随钻堵漏剂</w:t>
      </w:r>
      <w:r>
        <w:rPr>
          <w:rFonts w:hAnsi="宋体"/>
          <w:color w:val="auto"/>
          <w:sz w:val="28"/>
          <w:szCs w:val="28"/>
        </w:rPr>
        <w:t>5t~10t</w:t>
      </w:r>
      <w:r>
        <w:rPr>
          <w:rFonts w:hint="eastAsia" w:hAnsi="宋体"/>
          <w:color w:val="auto"/>
          <w:sz w:val="28"/>
          <w:szCs w:val="28"/>
        </w:rPr>
        <w:t>，以备井漏发生时应急使用。</w:t>
      </w:r>
    </w:p>
    <w:p>
      <w:pPr>
        <w:pStyle w:val="6"/>
        <w:numPr>
          <w:ilvl w:val="3"/>
          <w:numId w:val="4"/>
        </w:numPr>
        <w:bidi w:val="0"/>
        <w:rPr>
          <w:color w:val="auto"/>
        </w:rPr>
      </w:pPr>
      <w:r>
        <w:rPr>
          <w:color w:val="auto"/>
        </w:rPr>
        <w:t>防火、防爆、防</w:t>
      </w:r>
      <w:r>
        <w:rPr>
          <w:rFonts w:hint="eastAsia"/>
          <w:color w:val="auto"/>
        </w:rPr>
        <w:t>物料</w:t>
      </w:r>
      <w:r>
        <w:rPr>
          <w:color w:val="auto"/>
        </w:rPr>
        <w:t>泄漏措施</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）井场钻井设备的布局要考虑防火的安全要求。值班房、发电房、配电柜距井口不小于</w:t>
      </w:r>
      <w:r>
        <w:rPr>
          <w:color w:val="auto"/>
          <w:sz w:val="28"/>
          <w:szCs w:val="28"/>
        </w:rPr>
        <w:t>30m</w:t>
      </w:r>
      <w:r>
        <w:rPr>
          <w:rFonts w:hAnsi="宋体"/>
          <w:color w:val="auto"/>
          <w:sz w:val="28"/>
          <w:szCs w:val="28"/>
        </w:rPr>
        <w:t>。</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）距井口</w:t>
      </w:r>
      <w:r>
        <w:rPr>
          <w:color w:val="auto"/>
          <w:sz w:val="28"/>
          <w:szCs w:val="28"/>
        </w:rPr>
        <w:t>30m</w:t>
      </w:r>
      <w:r>
        <w:rPr>
          <w:rFonts w:hAnsi="宋体"/>
          <w:color w:val="auto"/>
          <w:sz w:val="28"/>
          <w:szCs w:val="28"/>
        </w:rPr>
        <w:t>以内及钻井液循环系统的电气设备、照明设备、开关、输电线路及接线方法应符合防火防爆安全规定。</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3</w:t>
      </w:r>
      <w:r>
        <w:rPr>
          <w:rFonts w:hAnsi="宋体"/>
          <w:color w:val="auto"/>
          <w:sz w:val="28"/>
          <w:szCs w:val="28"/>
        </w:rPr>
        <w:t>）钻台下面和井口周围严禁堆放杂物和易燃品，机泵房下无积油。</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4</w:t>
      </w:r>
      <w:r>
        <w:rPr>
          <w:rFonts w:hAnsi="宋体"/>
          <w:color w:val="auto"/>
          <w:sz w:val="28"/>
          <w:szCs w:val="28"/>
        </w:rPr>
        <w:t>）井场内严禁吸烟和动用明火，应有明显的防火标志。若需动火，应执行相关的的安全规定。</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5</w:t>
      </w:r>
      <w:r>
        <w:rPr>
          <w:rFonts w:hAnsi="宋体"/>
          <w:color w:val="auto"/>
          <w:sz w:val="28"/>
          <w:szCs w:val="28"/>
        </w:rPr>
        <w:t>）在井架上、井场盛行风入口处、钻台等地应至少设置</w:t>
      </w:r>
      <w:r>
        <w:rPr>
          <w:color w:val="auto"/>
          <w:sz w:val="28"/>
          <w:szCs w:val="28"/>
        </w:rPr>
        <w:t>2</w:t>
      </w:r>
      <w:r>
        <w:rPr>
          <w:rFonts w:hAnsi="宋体"/>
          <w:color w:val="auto"/>
          <w:sz w:val="28"/>
          <w:szCs w:val="28"/>
        </w:rPr>
        <w:t>个风向标，一旦发生紧急情况，作业人员可向上风方向设定的</w:t>
      </w:r>
      <w:r>
        <w:rPr>
          <w:color w:val="auto"/>
          <w:sz w:val="28"/>
          <w:szCs w:val="28"/>
        </w:rPr>
        <w:t>2</w:t>
      </w:r>
      <w:r>
        <w:rPr>
          <w:rFonts w:hAnsi="宋体"/>
          <w:color w:val="auto"/>
          <w:sz w:val="28"/>
          <w:szCs w:val="28"/>
        </w:rPr>
        <w:t>个紧急集合点疏散。</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6</w:t>
      </w:r>
      <w:r>
        <w:rPr>
          <w:rFonts w:hAnsi="宋体"/>
          <w:color w:val="auto"/>
          <w:sz w:val="28"/>
          <w:szCs w:val="28"/>
        </w:rPr>
        <w:t>）在钻台上下、振动筛、循环罐等气体易聚积的场所，应安装防爆排风扇以驱散工作场所弥漫的有毒有害、可燃气体。</w:t>
      </w:r>
    </w:p>
    <w:p>
      <w:pPr>
        <w:spacing w:line="480" w:lineRule="exact"/>
        <w:ind w:firstLine="560" w:firstLineChars="200"/>
        <w:rPr>
          <w:rFonts w:hint="eastAsia" w:hAnsi="宋体"/>
          <w:color w:val="auto"/>
          <w:sz w:val="28"/>
          <w:szCs w:val="28"/>
        </w:rPr>
      </w:pPr>
      <w:r>
        <w:rPr>
          <w:rFonts w:hAnsi="宋体"/>
          <w:color w:val="auto"/>
          <w:sz w:val="28"/>
          <w:szCs w:val="28"/>
        </w:rPr>
        <w:t>（7）罐区地面铺设防渗布，设置围堰。</w:t>
      </w:r>
      <w:bookmarkStart w:id="627" w:name="OLE_LINK13"/>
      <w:r>
        <w:rPr>
          <w:rFonts w:hAnsi="宋体"/>
          <w:color w:val="auto"/>
          <w:sz w:val="28"/>
          <w:szCs w:val="28"/>
        </w:rPr>
        <w:t>发生油水泄漏时控制柴油不向罐区外扩散，保护周围生态。</w:t>
      </w:r>
      <w:bookmarkEnd w:id="627"/>
    </w:p>
    <w:p>
      <w:pPr>
        <w:spacing w:line="480" w:lineRule="exact"/>
        <w:ind w:firstLine="560" w:firstLineChars="200"/>
        <w:rPr>
          <w:rFonts w:hint="eastAsia" w:hAnsi="宋体"/>
          <w:color w:val="auto"/>
          <w:sz w:val="28"/>
          <w:szCs w:val="28"/>
        </w:rPr>
      </w:pPr>
      <w:r>
        <w:rPr>
          <w:rFonts w:hint="eastAsia" w:hAnsi="宋体"/>
          <w:color w:val="auto"/>
          <w:sz w:val="28"/>
          <w:szCs w:val="28"/>
        </w:rPr>
        <w:t>（8）井场设置的钢制泥浆槽兼作事故池，用于</w:t>
      </w:r>
      <w:r>
        <w:rPr>
          <w:rFonts w:hAnsi="宋体"/>
          <w:color w:val="auto"/>
          <w:sz w:val="28"/>
          <w:szCs w:val="28"/>
        </w:rPr>
        <w:t>发生</w:t>
      </w:r>
      <w:r>
        <w:rPr>
          <w:rFonts w:hint="eastAsia" w:hAnsi="宋体"/>
          <w:color w:val="auto"/>
          <w:sz w:val="28"/>
          <w:szCs w:val="28"/>
        </w:rPr>
        <w:t>污</w:t>
      </w:r>
      <w:r>
        <w:rPr>
          <w:rFonts w:hAnsi="宋体"/>
          <w:color w:val="auto"/>
          <w:sz w:val="28"/>
          <w:szCs w:val="28"/>
        </w:rPr>
        <w:t>水泄漏</w:t>
      </w:r>
      <w:r>
        <w:rPr>
          <w:rFonts w:hint="eastAsia" w:hAnsi="宋体"/>
          <w:color w:val="auto"/>
          <w:sz w:val="28"/>
          <w:szCs w:val="28"/>
        </w:rPr>
        <w:t>时废水的收集，</w:t>
      </w:r>
      <w:r>
        <w:rPr>
          <w:rFonts w:hAnsi="宋体"/>
          <w:color w:val="auto"/>
          <w:sz w:val="28"/>
          <w:szCs w:val="28"/>
        </w:rPr>
        <w:t>控制</w:t>
      </w:r>
      <w:r>
        <w:rPr>
          <w:rFonts w:hint="eastAsia" w:hAnsi="宋体"/>
          <w:color w:val="auto"/>
          <w:sz w:val="28"/>
          <w:szCs w:val="28"/>
        </w:rPr>
        <w:t>污水</w:t>
      </w:r>
      <w:r>
        <w:rPr>
          <w:rFonts w:hAnsi="宋体"/>
          <w:color w:val="auto"/>
          <w:sz w:val="28"/>
          <w:szCs w:val="28"/>
        </w:rPr>
        <w:t>不向</w:t>
      </w:r>
      <w:r>
        <w:rPr>
          <w:rFonts w:hint="eastAsia" w:hAnsi="宋体"/>
          <w:color w:val="auto"/>
          <w:sz w:val="28"/>
          <w:szCs w:val="28"/>
        </w:rPr>
        <w:t>井场</w:t>
      </w:r>
      <w:r>
        <w:rPr>
          <w:rFonts w:hAnsi="宋体"/>
          <w:color w:val="auto"/>
          <w:sz w:val="28"/>
          <w:szCs w:val="28"/>
        </w:rPr>
        <w:t>外扩散，保护周围生态。</w:t>
      </w:r>
    </w:p>
    <w:p>
      <w:pPr>
        <w:spacing w:line="480" w:lineRule="exact"/>
        <w:ind w:firstLine="560" w:firstLineChars="200"/>
        <w:rPr>
          <w:color w:val="auto"/>
          <w:sz w:val="28"/>
          <w:szCs w:val="28"/>
        </w:rPr>
      </w:pPr>
      <w:r>
        <w:rPr>
          <w:rFonts w:hAnsi="宋体"/>
          <w:color w:val="auto"/>
          <w:sz w:val="28"/>
          <w:szCs w:val="28"/>
        </w:rPr>
        <w:t>（</w:t>
      </w:r>
      <w:r>
        <w:rPr>
          <w:rFonts w:hint="eastAsia"/>
          <w:color w:val="auto"/>
          <w:sz w:val="28"/>
          <w:szCs w:val="28"/>
        </w:rPr>
        <w:t>9</w:t>
      </w:r>
      <w:r>
        <w:rPr>
          <w:rFonts w:hAnsi="宋体"/>
          <w:color w:val="auto"/>
          <w:sz w:val="28"/>
          <w:szCs w:val="28"/>
        </w:rPr>
        <w:t>）确保应急工具和设备齐备完好，以便在发生泄漏事故时对产生的污油污水进行及时回收和处理。</w:t>
      </w:r>
    </w:p>
    <w:p>
      <w:pPr>
        <w:spacing w:line="480" w:lineRule="exact"/>
        <w:ind w:firstLine="560" w:firstLineChars="200"/>
        <w:rPr>
          <w:color w:val="auto"/>
          <w:sz w:val="28"/>
          <w:szCs w:val="28"/>
        </w:rPr>
      </w:pPr>
      <w:r>
        <w:rPr>
          <w:rFonts w:hAnsi="宋体"/>
          <w:color w:val="auto"/>
          <w:sz w:val="28"/>
          <w:szCs w:val="28"/>
        </w:rPr>
        <w:t>（</w:t>
      </w:r>
      <w:r>
        <w:rPr>
          <w:rFonts w:hint="eastAsia"/>
          <w:color w:val="auto"/>
          <w:sz w:val="28"/>
          <w:szCs w:val="28"/>
        </w:rPr>
        <w:t>10</w:t>
      </w:r>
      <w:r>
        <w:rPr>
          <w:rFonts w:hAnsi="宋体"/>
          <w:color w:val="auto"/>
          <w:sz w:val="28"/>
          <w:szCs w:val="28"/>
        </w:rPr>
        <w:t>）一旦发生井喷事故，要及时上报上级主管部门，并有消防车、救护车、医护人员和技术安全人员在井场值班。</w:t>
      </w:r>
    </w:p>
    <w:p>
      <w:pPr>
        <w:pStyle w:val="6"/>
        <w:numPr>
          <w:ilvl w:val="3"/>
          <w:numId w:val="4"/>
        </w:numPr>
        <w:bidi w:val="0"/>
        <w:rPr>
          <w:b w:val="0"/>
          <w:snapToGrid w:val="0"/>
          <w:color w:val="auto"/>
          <w:kern w:val="0"/>
          <w:sz w:val="28"/>
          <w:szCs w:val="28"/>
        </w:rPr>
      </w:pPr>
      <w:r>
        <w:rPr>
          <w:rFonts w:hint="eastAsia"/>
          <w:b w:val="0"/>
          <w:snapToGrid w:val="0"/>
          <w:color w:val="auto"/>
          <w:kern w:val="0"/>
          <w:sz w:val="28"/>
          <w:szCs w:val="28"/>
        </w:rPr>
        <w:t>风险</w:t>
      </w:r>
      <w:r>
        <w:rPr>
          <w:rFonts w:hAnsi="宋体"/>
          <w:b w:val="0"/>
          <w:snapToGrid w:val="0"/>
          <w:color w:val="auto"/>
          <w:kern w:val="0"/>
          <w:sz w:val="28"/>
          <w:szCs w:val="28"/>
        </w:rPr>
        <w:t>管理措施</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1</w:t>
      </w:r>
      <w:r>
        <w:rPr>
          <w:rFonts w:hAnsi="宋体"/>
          <w:color w:val="auto"/>
          <w:sz w:val="28"/>
          <w:szCs w:val="28"/>
        </w:rPr>
        <w:t>）在钻井施工时，制定出正常、异常或紧急状态下的操作手册和维修手册，并对操作、维修人员进行培训，持证上岗，避免因严重操作失误而造成的事故；</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2</w:t>
      </w:r>
      <w:r>
        <w:rPr>
          <w:rFonts w:hAnsi="宋体"/>
          <w:color w:val="auto"/>
          <w:sz w:val="28"/>
          <w:szCs w:val="28"/>
        </w:rPr>
        <w:t>）日常监督、隐患整改、事故发生、操作失误等各项安全行为都有记录和建立档案规定；</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3</w:t>
      </w:r>
      <w:r>
        <w:rPr>
          <w:rFonts w:hAnsi="宋体"/>
          <w:color w:val="auto"/>
          <w:sz w:val="28"/>
          <w:szCs w:val="28"/>
        </w:rPr>
        <w:t>）对相应的各项事故应急预案进行补充完善，包括在制订的应急操作规程中应说明发生井喷、火灾爆炸等事故时应采取的具体操作步骤，规定抢修进度，限制事故的影响，人员责任等问题；</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4</w:t>
      </w:r>
      <w:r>
        <w:rPr>
          <w:rFonts w:hAnsi="宋体"/>
          <w:color w:val="auto"/>
          <w:sz w:val="28"/>
          <w:szCs w:val="28"/>
        </w:rPr>
        <w:t>）制定应急操作规程，在规程中应说明发生井喷、火灾爆炸时应采取的操作步骤，规定抢修进度，限制事故的影响，另外还应说明与操作人员有关的安全问题；</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5</w:t>
      </w:r>
      <w:r>
        <w:rPr>
          <w:rFonts w:hAnsi="宋体"/>
          <w:color w:val="auto"/>
          <w:sz w:val="28"/>
          <w:szCs w:val="28"/>
        </w:rPr>
        <w:t>）操作人员每周应进行安全活动，提高职工的安全意识，识别事故发生前的异常状态，并采取相应的措施；</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6</w:t>
      </w:r>
      <w:r>
        <w:rPr>
          <w:rFonts w:hAnsi="宋体"/>
          <w:color w:val="auto"/>
          <w:sz w:val="28"/>
          <w:szCs w:val="28"/>
        </w:rPr>
        <w:t>）对重要的仪器设备有完善的检查项目、维护方法；按计划进行定期维护；有专门档案</w:t>
      </w:r>
      <w:r>
        <w:rPr>
          <w:color w:val="auto"/>
          <w:sz w:val="28"/>
          <w:szCs w:val="28"/>
        </w:rPr>
        <w:t>(</w:t>
      </w:r>
      <w:r>
        <w:rPr>
          <w:rFonts w:hAnsi="宋体"/>
          <w:color w:val="auto"/>
          <w:sz w:val="28"/>
          <w:szCs w:val="28"/>
        </w:rPr>
        <w:t>包括维护记录档案</w:t>
      </w:r>
      <w:r>
        <w:rPr>
          <w:color w:val="auto"/>
          <w:sz w:val="28"/>
          <w:szCs w:val="28"/>
        </w:rPr>
        <w:t>)</w:t>
      </w:r>
      <w:r>
        <w:rPr>
          <w:rFonts w:hAnsi="宋体"/>
          <w:color w:val="auto"/>
          <w:sz w:val="28"/>
          <w:szCs w:val="28"/>
        </w:rPr>
        <w:t>，文件齐全；</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7</w:t>
      </w:r>
      <w:r>
        <w:rPr>
          <w:rFonts w:hAnsi="宋体"/>
          <w:color w:val="auto"/>
          <w:sz w:val="28"/>
          <w:szCs w:val="28"/>
        </w:rPr>
        <w:t>）对周围居民进行发生事故时如何应急的宣传教育，使发生事故时能够将影响减到最小。</w:t>
      </w:r>
    </w:p>
    <w:p>
      <w:pPr>
        <w:spacing w:line="480" w:lineRule="exact"/>
        <w:ind w:firstLine="560" w:firstLineChars="200"/>
        <w:rPr>
          <w:color w:val="auto"/>
          <w:sz w:val="28"/>
          <w:szCs w:val="28"/>
        </w:rPr>
      </w:pPr>
      <w:r>
        <w:rPr>
          <w:rFonts w:hAnsi="宋体"/>
          <w:color w:val="auto"/>
          <w:sz w:val="28"/>
          <w:szCs w:val="28"/>
        </w:rPr>
        <w:t>（</w:t>
      </w:r>
      <w:r>
        <w:rPr>
          <w:color w:val="auto"/>
          <w:sz w:val="28"/>
          <w:szCs w:val="28"/>
        </w:rPr>
        <w:t>8</w:t>
      </w:r>
      <w:r>
        <w:rPr>
          <w:rFonts w:hAnsi="宋体"/>
          <w:color w:val="auto"/>
          <w:sz w:val="28"/>
          <w:szCs w:val="28"/>
        </w:rPr>
        <w:t>）建立应急响应机构，配备快捷的交通通讯工具，以便对泄漏事故及时作出反应和处理。</w:t>
      </w:r>
    </w:p>
    <w:p>
      <w:pPr>
        <w:pStyle w:val="6"/>
        <w:numPr>
          <w:ilvl w:val="3"/>
          <w:numId w:val="4"/>
        </w:numPr>
        <w:bidi w:val="0"/>
        <w:rPr>
          <w:color w:val="auto"/>
        </w:rPr>
      </w:pPr>
      <w:r>
        <w:rPr>
          <w:color w:val="auto"/>
        </w:rPr>
        <w:t>应急救援预案</w:t>
      </w:r>
    </w:p>
    <w:p>
      <w:pPr>
        <w:spacing w:line="480" w:lineRule="exact"/>
        <w:ind w:firstLine="560" w:firstLineChars="200"/>
        <w:rPr>
          <w:bCs/>
          <w:color w:val="auto"/>
          <w:sz w:val="28"/>
          <w:szCs w:val="28"/>
        </w:rPr>
      </w:pPr>
      <w:r>
        <w:rPr>
          <w:rFonts w:hint="eastAsia" w:hAnsi="宋体"/>
          <w:bCs/>
          <w:color w:val="auto"/>
          <w:sz w:val="28"/>
          <w:szCs w:val="28"/>
        </w:rPr>
        <w:t>目前大庆油田有限责任公司</w:t>
      </w:r>
      <w:r>
        <w:rPr>
          <w:rFonts w:hint="eastAsia" w:hAnsi="宋体"/>
          <w:bCs/>
          <w:color w:val="auto"/>
          <w:sz w:val="28"/>
          <w:szCs w:val="28"/>
          <w:lang w:eastAsia="zh-CN"/>
        </w:rPr>
        <w:t>采气分公司（储气库分公司）</w:t>
      </w:r>
      <w:r>
        <w:rPr>
          <w:rFonts w:hint="eastAsia" w:hAnsi="宋体"/>
          <w:bCs/>
          <w:color w:val="auto"/>
          <w:sz w:val="28"/>
          <w:szCs w:val="28"/>
        </w:rPr>
        <w:t>已建立较完善的应急预案体系，综合性预案为《大庆油田有限责任公司</w:t>
      </w:r>
      <w:r>
        <w:rPr>
          <w:rFonts w:hint="eastAsia" w:hAnsi="宋体"/>
          <w:bCs/>
          <w:color w:val="auto"/>
          <w:sz w:val="28"/>
          <w:szCs w:val="28"/>
          <w:lang w:eastAsia="zh-CN"/>
        </w:rPr>
        <w:t>采气分公司（储气库分公司）</w:t>
      </w:r>
      <w:r>
        <w:rPr>
          <w:rFonts w:hint="eastAsia" w:hAnsi="宋体"/>
          <w:bCs/>
          <w:color w:val="auto"/>
          <w:sz w:val="28"/>
          <w:szCs w:val="28"/>
        </w:rPr>
        <w:t>突发事件总体应急预案》，同时该体系根据不同事故类型分别编制了《环境突发事件专项应急预案》、《井喷突发事件专项应急预案》、《油气泄漏事件专项应急预案》等专项应急预案。现有预案包含了本项目发生的井喷、油井套管破损泄露、钻井施工油气泄露引起的火灾、爆炸等风险事故时所采取的应急处置措施，可以满足本项目的应急处置要求，不需对本工程提出新的应急预案，发生风险事故时按已建立的事故风险应急预案执行。在执行应急预案的同时，要加强区域应急联动体系，发生事故必要时可直接向邻近企业、单位和政府部门、消防队、环保局、安全生产监督管理局和市政府报告，申请求援并要求周围企业单位启动应急计划，对风险事故及时作出反应和处理，将事故影响降至最低。</w:t>
      </w:r>
      <w:r>
        <w:rPr>
          <w:rFonts w:hAnsi="宋体"/>
          <w:bCs/>
          <w:color w:val="auto"/>
          <w:sz w:val="28"/>
          <w:szCs w:val="28"/>
        </w:rPr>
        <w:t>。</w:t>
      </w:r>
    </w:p>
    <w:p>
      <w:pPr>
        <w:spacing w:line="480" w:lineRule="exact"/>
        <w:ind w:firstLine="560" w:firstLineChars="200"/>
        <w:rPr>
          <w:rFonts w:hAnsi="宋体"/>
          <w:bCs/>
          <w:color w:val="auto"/>
          <w:sz w:val="28"/>
          <w:szCs w:val="28"/>
        </w:rPr>
      </w:pPr>
      <w:r>
        <w:rPr>
          <w:rFonts w:hint="eastAsia" w:hAnsi="宋体"/>
          <w:bCs/>
          <w:color w:val="auto"/>
          <w:sz w:val="28"/>
          <w:szCs w:val="28"/>
        </w:rPr>
        <w:t>（1）</w:t>
      </w:r>
      <w:r>
        <w:rPr>
          <w:rFonts w:hAnsi="宋体"/>
          <w:bCs/>
          <w:color w:val="auto"/>
          <w:sz w:val="28"/>
          <w:szCs w:val="28"/>
        </w:rPr>
        <w:t>应急预案基本内容</w:t>
      </w:r>
    </w:p>
    <w:p>
      <w:pPr>
        <w:keepNext w:val="0"/>
        <w:keepLines w:val="0"/>
        <w:widowControl w:val="0"/>
        <w:suppressLineNumbers w:val="0"/>
        <w:spacing w:before="0" w:beforeAutospacing="0" w:after="0" w:afterAutospacing="0" w:line="480" w:lineRule="exact"/>
        <w:ind w:left="0" w:right="0" w:firstLine="560" w:firstLineChars="200"/>
        <w:jc w:val="both"/>
        <w:rPr>
          <w:bCs/>
          <w:color w:val="auto"/>
          <w:sz w:val="28"/>
          <w:szCs w:val="28"/>
          <w:lang w:val="en-US"/>
        </w:rPr>
      </w:pPr>
      <w:r>
        <w:rPr>
          <w:rFonts w:hint="eastAsia" w:ascii="Times New Roman" w:hAnsi="宋体" w:eastAsia="宋体" w:cs="宋体"/>
          <w:bCs/>
          <w:color w:val="auto"/>
          <w:kern w:val="2"/>
          <w:sz w:val="28"/>
          <w:szCs w:val="28"/>
          <w:lang w:val="en-US" w:eastAsia="zh-CN" w:bidi="ar"/>
        </w:rPr>
        <w:t>本工程建设单位已经针对可能发生的风险事故，结合所处区域的自然条件、环境状况、地理位置等特点，制定了较完善的事故风险应急预案。</w:t>
      </w:r>
    </w:p>
    <w:p>
      <w:pPr>
        <w:keepNext w:val="0"/>
        <w:keepLines w:val="0"/>
        <w:widowControl w:val="0"/>
        <w:suppressLineNumbers w:val="0"/>
        <w:spacing w:before="0" w:beforeAutospacing="0" w:after="0" w:afterAutospacing="0" w:line="480" w:lineRule="exact"/>
        <w:ind w:left="0" w:right="0" w:firstLine="560" w:firstLineChars="200"/>
        <w:jc w:val="both"/>
        <w:rPr>
          <w:bCs/>
          <w:color w:val="auto"/>
          <w:sz w:val="28"/>
          <w:szCs w:val="28"/>
          <w:lang w:val="en-US"/>
        </w:rPr>
      </w:pPr>
      <w:r>
        <w:rPr>
          <w:rFonts w:hint="eastAsia" w:ascii="Times New Roman" w:hAnsi="宋体" w:eastAsia="宋体" w:cs="宋体"/>
          <w:bCs/>
          <w:color w:val="auto"/>
          <w:kern w:val="2"/>
          <w:sz w:val="28"/>
          <w:szCs w:val="28"/>
          <w:lang w:val="en-US" w:eastAsia="zh-CN" w:bidi="ar"/>
        </w:rPr>
        <w:t>根据企业提供资料，大庆油田有限责任公司设有突发环境事件专项应急预案，该预案已于</w:t>
      </w:r>
      <w:r>
        <w:rPr>
          <w:rFonts w:hint="default" w:ascii="Times New Roman" w:hAnsi="Times New Roman" w:eastAsia="宋体" w:cs="Times New Roman"/>
          <w:bCs/>
          <w:color w:val="auto"/>
          <w:kern w:val="2"/>
          <w:sz w:val="28"/>
          <w:szCs w:val="28"/>
          <w:lang w:val="en-US" w:eastAsia="zh-CN" w:bidi="ar"/>
        </w:rPr>
        <w:t>2018</w:t>
      </w:r>
      <w:r>
        <w:rPr>
          <w:rFonts w:hint="eastAsia" w:ascii="Times New Roman" w:hAnsi="宋体" w:eastAsia="宋体" w:cs="宋体"/>
          <w:bCs/>
          <w:color w:val="auto"/>
          <w:kern w:val="2"/>
          <w:sz w:val="28"/>
          <w:szCs w:val="28"/>
          <w:lang w:val="en-US" w:eastAsia="zh-CN" w:bidi="ar"/>
        </w:rPr>
        <w:t>年</w:t>
      </w:r>
      <w:r>
        <w:rPr>
          <w:rFonts w:hint="default" w:ascii="Times New Roman" w:hAnsi="Times New Roman" w:eastAsia="宋体" w:cs="Times New Roman"/>
          <w:bCs/>
          <w:color w:val="auto"/>
          <w:kern w:val="2"/>
          <w:sz w:val="28"/>
          <w:szCs w:val="28"/>
          <w:lang w:val="en-US" w:eastAsia="zh-CN" w:bidi="ar"/>
        </w:rPr>
        <w:t>1</w:t>
      </w:r>
      <w:r>
        <w:rPr>
          <w:rFonts w:hint="eastAsia" w:ascii="Times New Roman" w:hAnsi="宋体" w:eastAsia="宋体" w:cs="宋体"/>
          <w:bCs/>
          <w:color w:val="auto"/>
          <w:kern w:val="2"/>
          <w:sz w:val="28"/>
          <w:szCs w:val="28"/>
          <w:lang w:val="en-US" w:eastAsia="zh-CN" w:bidi="ar"/>
        </w:rPr>
        <w:t>月</w:t>
      </w:r>
      <w:r>
        <w:rPr>
          <w:rFonts w:hint="default" w:ascii="Times New Roman" w:hAnsi="Times New Roman" w:eastAsia="宋体" w:cs="Times New Roman"/>
          <w:bCs/>
          <w:color w:val="auto"/>
          <w:kern w:val="2"/>
          <w:sz w:val="28"/>
          <w:szCs w:val="28"/>
          <w:lang w:val="en-US" w:eastAsia="zh-CN" w:bidi="ar"/>
        </w:rPr>
        <w:t>10</w:t>
      </w:r>
      <w:r>
        <w:rPr>
          <w:rFonts w:hint="eastAsia" w:ascii="Times New Roman" w:hAnsi="宋体" w:eastAsia="宋体" w:cs="宋体"/>
          <w:bCs/>
          <w:color w:val="auto"/>
          <w:kern w:val="2"/>
          <w:sz w:val="28"/>
          <w:szCs w:val="28"/>
          <w:lang w:val="en-US" w:eastAsia="zh-CN" w:bidi="ar"/>
        </w:rPr>
        <w:t>日在原大庆市环境保护局备案，</w:t>
      </w:r>
      <w:r>
        <w:rPr>
          <w:rFonts w:hint="eastAsia" w:hAnsi="宋体" w:cs="宋体"/>
          <w:bCs/>
          <w:color w:val="auto"/>
          <w:kern w:val="2"/>
          <w:sz w:val="28"/>
          <w:szCs w:val="28"/>
          <w:lang w:val="en-US" w:eastAsia="zh-CN" w:bidi="ar"/>
        </w:rPr>
        <w:t>采气分公司（储气库分公司）</w:t>
      </w:r>
      <w:r>
        <w:rPr>
          <w:rFonts w:hint="eastAsia" w:ascii="Times New Roman" w:hAnsi="宋体" w:eastAsia="宋体" w:cs="宋体"/>
          <w:bCs/>
          <w:color w:val="auto"/>
          <w:kern w:val="2"/>
          <w:sz w:val="28"/>
          <w:szCs w:val="28"/>
          <w:lang w:val="en-US" w:eastAsia="zh-CN" w:bidi="ar"/>
        </w:rPr>
        <w:t>现有《突发环境事件专项应急预案》等预案内容，已在大庆油田有限公司应急管理办公室进行备案。</w:t>
      </w:r>
    </w:p>
    <w:p>
      <w:pPr>
        <w:keepNext w:val="0"/>
        <w:keepLines w:val="0"/>
        <w:widowControl w:val="0"/>
        <w:suppressLineNumbers w:val="0"/>
        <w:spacing w:before="0" w:beforeAutospacing="0" w:after="0" w:afterAutospacing="0" w:line="480" w:lineRule="exact"/>
        <w:ind w:left="0" w:right="0" w:firstLine="560" w:firstLineChars="200"/>
        <w:jc w:val="both"/>
        <w:rPr>
          <w:bCs/>
          <w:color w:val="auto"/>
          <w:sz w:val="28"/>
          <w:szCs w:val="28"/>
          <w:lang w:val="en-US"/>
        </w:rPr>
      </w:pPr>
      <w:r>
        <w:rPr>
          <w:rFonts w:hint="eastAsia" w:ascii="Times New Roman" w:hAnsi="宋体" w:eastAsia="宋体" w:cs="宋体"/>
          <w:bCs/>
          <w:color w:val="auto"/>
          <w:kern w:val="2"/>
          <w:sz w:val="28"/>
          <w:szCs w:val="28"/>
          <w:lang w:val="en-US" w:eastAsia="zh-CN" w:bidi="ar"/>
        </w:rPr>
        <w:t>《突发环境事件专项应急预案》适用于本公司范围内发生的、造成或可能造成人员伤亡、环境污染、停产和较大社会影响等突发事件的应对工作，主要包括应急组织机构及职责明确、预警与响应、应急处置与协调、应急保障等内容，重点明确各分项预案所述事件类型及事件各级应急组织机构框架内容，起到总体掌控、督查的作用；《突发环境事件专项预案》中不仅包含了原油泄漏污染、污水泄漏污染、给排水系统泄漏污染和危险废物污染等事故的分类、应急响应等内容，而且明确了环境突发事件应急储备物资清单、应急联络单等重要内容；该《突发环境事件专项预案》进行了组织机构及职责明确、预防与预警设置、应急响应与应急处置、应急保障内容确定以及大庆油田有限责任公司</w:t>
      </w:r>
      <w:r>
        <w:rPr>
          <w:rFonts w:hint="eastAsia" w:hAnsi="宋体" w:cs="宋体"/>
          <w:bCs/>
          <w:color w:val="auto"/>
          <w:kern w:val="2"/>
          <w:sz w:val="28"/>
          <w:szCs w:val="28"/>
          <w:lang w:val="en-US" w:eastAsia="zh-CN" w:bidi="ar"/>
        </w:rPr>
        <w:t>采气分公司（储气库分公司）</w:t>
      </w:r>
      <w:r>
        <w:rPr>
          <w:rFonts w:hint="eastAsia" w:ascii="Times New Roman" w:hAnsi="宋体" w:eastAsia="宋体" w:cs="宋体"/>
          <w:bCs/>
          <w:color w:val="auto"/>
          <w:kern w:val="2"/>
          <w:sz w:val="28"/>
          <w:szCs w:val="28"/>
          <w:lang w:val="en-US" w:eastAsia="zh-CN" w:bidi="ar"/>
        </w:rPr>
        <w:t>突发事故的联络信息公布，预案内容针对性较强，组织结构框架合理。</w:t>
      </w:r>
    </w:p>
    <w:p>
      <w:pPr>
        <w:keepNext w:val="0"/>
        <w:keepLines w:val="0"/>
        <w:widowControl w:val="0"/>
        <w:suppressLineNumbers w:val="0"/>
        <w:spacing w:before="0" w:beforeAutospacing="0" w:after="0" w:afterAutospacing="0" w:line="480" w:lineRule="exact"/>
        <w:ind w:left="0" w:right="0" w:firstLine="560" w:firstLineChars="200"/>
        <w:jc w:val="both"/>
        <w:rPr>
          <w:bCs/>
          <w:color w:val="auto"/>
          <w:sz w:val="28"/>
          <w:szCs w:val="28"/>
          <w:lang w:val="en-US"/>
        </w:rPr>
      </w:pPr>
      <w:r>
        <w:rPr>
          <w:rFonts w:hint="eastAsia" w:ascii="Times New Roman" w:hAnsi="宋体" w:eastAsia="宋体" w:cs="宋体"/>
          <w:bCs/>
          <w:color w:val="auto"/>
          <w:kern w:val="2"/>
          <w:sz w:val="28"/>
          <w:szCs w:val="28"/>
          <w:lang w:val="en-US" w:eastAsia="zh-CN" w:bidi="ar"/>
        </w:rPr>
        <w:t>根据应急组织机构，设置环境突发事件应急领导小组、环境突发事件应急办公室及环境突发事件现场工作组，对大庆油田有限责任公司</w:t>
      </w:r>
      <w:r>
        <w:rPr>
          <w:rFonts w:hint="eastAsia" w:hAnsi="宋体" w:cs="宋体"/>
          <w:bCs/>
          <w:color w:val="auto"/>
          <w:kern w:val="2"/>
          <w:sz w:val="28"/>
          <w:szCs w:val="28"/>
          <w:lang w:val="en-US" w:eastAsia="zh-CN" w:bidi="ar"/>
        </w:rPr>
        <w:t>采气分公司（储气库分公司）</w:t>
      </w:r>
      <w:r>
        <w:rPr>
          <w:rFonts w:hint="eastAsia" w:ascii="Times New Roman" w:hAnsi="宋体" w:eastAsia="宋体" w:cs="宋体"/>
          <w:bCs/>
          <w:color w:val="auto"/>
          <w:kern w:val="2"/>
          <w:sz w:val="28"/>
          <w:szCs w:val="28"/>
          <w:lang w:val="en-US" w:eastAsia="zh-CN" w:bidi="ar"/>
        </w:rPr>
        <w:t>发生的环境突发事件进行应急救援工作，有针对性的对突发环境事件进行应急启动、响应行动、现场处置、应急终止和事件现场的恢复与重建，同时大庆油田有限责任公司</w:t>
      </w:r>
      <w:r>
        <w:rPr>
          <w:rFonts w:hint="eastAsia" w:hAnsi="宋体" w:cs="宋体"/>
          <w:bCs/>
          <w:color w:val="auto"/>
          <w:kern w:val="2"/>
          <w:sz w:val="28"/>
          <w:szCs w:val="28"/>
          <w:lang w:val="en-US" w:eastAsia="zh-CN" w:bidi="ar"/>
        </w:rPr>
        <w:t>采气分公司（储气库分公司）</w:t>
      </w:r>
      <w:r>
        <w:rPr>
          <w:rFonts w:hint="eastAsia" w:ascii="Times New Roman" w:hAnsi="宋体" w:eastAsia="宋体" w:cs="宋体"/>
          <w:bCs/>
          <w:color w:val="auto"/>
          <w:kern w:val="2"/>
          <w:sz w:val="28"/>
          <w:szCs w:val="28"/>
          <w:lang w:val="en-US" w:eastAsia="zh-CN" w:bidi="ar"/>
        </w:rPr>
        <w:t>也与地方采取联动机制，主要有绥化市生态环境局、绥化市应急管理局、绥化市安达市生态环境局等。</w:t>
      </w:r>
    </w:p>
    <w:p>
      <w:pPr>
        <w:keepNext w:val="0"/>
        <w:keepLines w:val="0"/>
        <w:widowControl w:val="0"/>
        <w:suppressLineNumbers w:val="0"/>
        <w:spacing w:before="0" w:beforeAutospacing="0" w:after="0" w:afterAutospacing="0" w:line="480" w:lineRule="exact"/>
        <w:ind w:left="0" w:right="0" w:firstLine="560" w:firstLineChars="200"/>
        <w:jc w:val="both"/>
        <w:rPr>
          <w:bCs/>
          <w:color w:val="auto"/>
          <w:sz w:val="28"/>
          <w:szCs w:val="28"/>
          <w:lang w:val="en-US"/>
        </w:rPr>
      </w:pPr>
      <w:r>
        <w:rPr>
          <w:rFonts w:hint="eastAsia" w:ascii="Times New Roman" w:hAnsi="宋体" w:eastAsia="宋体" w:cs="宋体"/>
          <w:bCs/>
          <w:color w:val="auto"/>
          <w:kern w:val="2"/>
          <w:sz w:val="28"/>
          <w:szCs w:val="28"/>
          <w:lang w:val="en-US" w:eastAsia="zh-CN" w:bidi="ar"/>
        </w:rPr>
        <w:t>通过分析该预案内容可知，预案中针对突发事故的应急流程、应急教育与应急演练、应急物资保障等内容方面已经比较完善，能够给对突发环境事件进行妥善处理。</w:t>
      </w:r>
    </w:p>
    <w:p>
      <w:pPr>
        <w:keepNext w:val="0"/>
        <w:keepLines w:val="0"/>
        <w:widowControl w:val="0"/>
        <w:suppressLineNumbers w:val="0"/>
        <w:spacing w:before="0" w:beforeAutospacing="0" w:after="0" w:afterAutospacing="0" w:line="480" w:lineRule="exact"/>
        <w:ind w:left="0" w:right="0" w:firstLine="560" w:firstLineChars="200"/>
        <w:jc w:val="both"/>
        <w:rPr>
          <w:rFonts w:hAnsi="宋体"/>
          <w:bCs/>
          <w:color w:val="auto"/>
          <w:sz w:val="28"/>
          <w:szCs w:val="28"/>
          <w:lang w:val="en-US"/>
        </w:rPr>
      </w:pPr>
      <w:r>
        <w:rPr>
          <w:rFonts w:hint="eastAsia" w:ascii="Times New Roman" w:hAnsi="宋体" w:eastAsia="宋体" w:cs="宋体"/>
          <w:bCs/>
          <w:color w:val="auto"/>
          <w:kern w:val="2"/>
          <w:sz w:val="28"/>
          <w:szCs w:val="28"/>
          <w:lang w:val="en-US" w:eastAsia="zh-CN" w:bidi="ar"/>
        </w:rPr>
        <w:t>（</w:t>
      </w:r>
      <w:r>
        <w:rPr>
          <w:rFonts w:hint="default" w:ascii="Times New Roman" w:hAnsi="宋体" w:eastAsia="宋体" w:cs="Times New Roman"/>
          <w:bCs/>
          <w:color w:val="auto"/>
          <w:kern w:val="2"/>
          <w:sz w:val="28"/>
          <w:szCs w:val="28"/>
          <w:lang w:val="en-US" w:eastAsia="zh-CN" w:bidi="ar"/>
        </w:rPr>
        <w:t>2</w:t>
      </w:r>
      <w:r>
        <w:rPr>
          <w:rFonts w:hint="eastAsia" w:ascii="Times New Roman" w:hAnsi="宋体" w:eastAsia="宋体" w:cs="宋体"/>
          <w:bCs/>
          <w:color w:val="auto"/>
          <w:kern w:val="2"/>
          <w:sz w:val="28"/>
          <w:szCs w:val="28"/>
          <w:lang w:val="en-US" w:eastAsia="zh-CN" w:bidi="ar"/>
        </w:rPr>
        <w:t>）应急状态地企联动</w:t>
      </w:r>
    </w:p>
    <w:p>
      <w:pPr>
        <w:keepNext w:val="0"/>
        <w:keepLines w:val="0"/>
        <w:widowControl w:val="0"/>
        <w:suppressLineNumbers w:val="0"/>
        <w:spacing w:before="0" w:beforeAutospacing="0" w:after="0" w:afterAutospacing="0" w:line="480" w:lineRule="exact"/>
        <w:ind w:left="0" w:right="0" w:firstLine="560" w:firstLineChars="200"/>
        <w:jc w:val="both"/>
        <w:rPr>
          <w:bCs/>
          <w:color w:val="auto"/>
          <w:sz w:val="28"/>
          <w:szCs w:val="28"/>
          <w:lang w:val="en-US"/>
        </w:rPr>
      </w:pPr>
      <w:r>
        <w:rPr>
          <w:rFonts w:hint="eastAsia" w:ascii="Times New Roman" w:hAnsi="宋体" w:eastAsia="宋体" w:cs="宋体"/>
          <w:bCs/>
          <w:color w:val="auto"/>
          <w:kern w:val="2"/>
          <w:sz w:val="28"/>
          <w:szCs w:val="28"/>
          <w:lang w:val="en-US" w:eastAsia="zh-CN" w:bidi="ar"/>
        </w:rPr>
        <w:t>企业环保部门与地方社会力量保持应急状态联动，事故发生后，消防部门、医疗部门、环保部门及公安部门启动相应紧急预案，保障事故控制及事故救援得到有效迅捷地处理。详见表</w:t>
      </w:r>
      <w:r>
        <w:rPr>
          <w:rFonts w:hint="default" w:ascii="Times New Roman" w:hAnsi="宋体" w:eastAsia="宋体" w:cs="Times New Roman"/>
          <w:bCs/>
          <w:color w:val="auto"/>
          <w:kern w:val="2"/>
          <w:sz w:val="28"/>
          <w:szCs w:val="28"/>
          <w:lang w:val="en-US" w:eastAsia="zh-CN" w:bidi="ar"/>
        </w:rPr>
        <w:t>6.1-4</w:t>
      </w:r>
      <w:r>
        <w:rPr>
          <w:rFonts w:hint="eastAsia" w:ascii="Times New Roman" w:hAnsi="宋体" w:eastAsia="宋体" w:cs="宋体"/>
          <w:bCs/>
          <w:color w:val="auto"/>
          <w:kern w:val="2"/>
          <w:sz w:val="28"/>
          <w:szCs w:val="28"/>
          <w:lang w:val="en-US" w:eastAsia="zh-CN" w:bidi="ar"/>
        </w:rPr>
        <w:t>。</w:t>
      </w:r>
    </w:p>
    <w:p>
      <w:pPr>
        <w:keepNext w:val="0"/>
        <w:keepLines w:val="0"/>
        <w:widowControl w:val="0"/>
        <w:suppressLineNumbers w:val="0"/>
        <w:snapToGrid w:val="0"/>
        <w:spacing w:before="0" w:beforeAutospacing="0" w:after="0" w:afterAutospacing="0" w:line="480" w:lineRule="exact"/>
        <w:ind w:left="0" w:right="0"/>
        <w:jc w:val="center"/>
        <w:rPr>
          <w:snapToGrid w:val="0"/>
          <w:color w:val="auto"/>
          <w:kern w:val="0"/>
          <w:sz w:val="28"/>
          <w:szCs w:val="28"/>
          <w:lang w:val="en-US"/>
        </w:rPr>
      </w:pPr>
      <w:r>
        <w:rPr>
          <w:rFonts w:hint="eastAsia" w:ascii="Times New Roman" w:hAnsi="宋体" w:eastAsia="宋体" w:cs="宋体"/>
          <w:snapToGrid w:val="0"/>
          <w:color w:val="auto"/>
          <w:kern w:val="0"/>
          <w:sz w:val="28"/>
          <w:szCs w:val="28"/>
          <w:lang w:val="en-US" w:eastAsia="zh-CN" w:bidi="ar"/>
        </w:rPr>
        <w:t>表</w:t>
      </w:r>
      <w:r>
        <w:rPr>
          <w:rFonts w:hint="default" w:ascii="Times New Roman" w:hAnsi="Times New Roman" w:eastAsia="宋体" w:cs="Times New Roman"/>
          <w:snapToGrid w:val="0"/>
          <w:color w:val="auto"/>
          <w:kern w:val="0"/>
          <w:sz w:val="28"/>
          <w:szCs w:val="28"/>
          <w:lang w:val="en-US" w:eastAsia="zh-CN" w:bidi="ar"/>
        </w:rPr>
        <w:t xml:space="preserve"> </w:t>
      </w:r>
      <w:r>
        <w:rPr>
          <w:rFonts w:hint="default" w:ascii="Times New Roman" w:hAnsi="Times New Roman" w:eastAsia="宋体" w:cs="Times New Roman"/>
          <w:color w:val="auto"/>
          <w:kern w:val="0"/>
          <w:sz w:val="28"/>
          <w:szCs w:val="28"/>
          <w:lang w:val="en-US" w:eastAsia="zh-CN" w:bidi="ar"/>
        </w:rPr>
        <w:t>6.1-4</w:t>
      </w:r>
      <w:r>
        <w:rPr>
          <w:rFonts w:hint="eastAsia" w:cs="Times New Roman"/>
          <w:color w:val="auto"/>
          <w:kern w:val="0"/>
          <w:sz w:val="28"/>
          <w:szCs w:val="28"/>
          <w:lang w:val="en-US" w:eastAsia="zh-CN" w:bidi="ar"/>
        </w:rPr>
        <w:t xml:space="preserve">  </w:t>
      </w:r>
      <w:r>
        <w:rPr>
          <w:rFonts w:hint="eastAsia" w:ascii="Times New Roman" w:hAnsi="宋体" w:eastAsia="宋体" w:cs="宋体"/>
          <w:snapToGrid w:val="0"/>
          <w:color w:val="auto"/>
          <w:kern w:val="0"/>
          <w:sz w:val="28"/>
          <w:szCs w:val="28"/>
          <w:lang w:val="en-US" w:eastAsia="zh-CN" w:bidi="ar"/>
        </w:rPr>
        <w:t>地企联动各部门联系方式</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8"/>
        <w:gridCol w:w="4935"/>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exact"/>
          <w:jc w:val="center"/>
        </w:trPr>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序</w:t>
            </w:r>
            <w:r>
              <w:rPr>
                <w:rFonts w:hint="default" w:ascii="Times New Roman" w:hAnsi="Times New Roman" w:eastAsia="宋体" w:cs="Times New Roman"/>
                <w:color w:val="auto"/>
                <w:kern w:val="0"/>
                <w:sz w:val="21"/>
                <w:szCs w:val="21"/>
                <w:lang w:val="en-US" w:eastAsia="zh-CN" w:bidi="ar"/>
              </w:rPr>
              <w:t xml:space="preserve"> </w:t>
            </w:r>
            <w:r>
              <w:rPr>
                <w:rFonts w:hint="eastAsia" w:ascii="Times New Roman" w:hAnsi="宋体" w:eastAsia="宋体" w:cs="宋体"/>
                <w:color w:val="auto"/>
                <w:kern w:val="0"/>
                <w:sz w:val="21"/>
                <w:szCs w:val="21"/>
                <w:lang w:val="en-US" w:eastAsia="zh-CN" w:bidi="ar"/>
              </w:rPr>
              <w:t>号</w:t>
            </w:r>
          </w:p>
        </w:tc>
        <w:tc>
          <w:tcPr>
            <w:tcW w:w="493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单</w:t>
            </w:r>
            <w:r>
              <w:rPr>
                <w:rFonts w:hint="default" w:ascii="Times New Roman" w:hAnsi="Times New Roman" w:eastAsia="宋体" w:cs="Times New Roman"/>
                <w:color w:val="auto"/>
                <w:kern w:val="0"/>
                <w:sz w:val="21"/>
                <w:szCs w:val="21"/>
                <w:lang w:val="en-US" w:eastAsia="zh-CN" w:bidi="ar"/>
              </w:rPr>
              <w:t xml:space="preserve">  </w:t>
            </w:r>
            <w:r>
              <w:rPr>
                <w:rFonts w:hint="eastAsia" w:ascii="Times New Roman" w:hAnsi="宋体" w:eastAsia="宋体" w:cs="宋体"/>
                <w:color w:val="auto"/>
                <w:kern w:val="0"/>
                <w:sz w:val="21"/>
                <w:szCs w:val="21"/>
                <w:lang w:val="en-US" w:eastAsia="zh-CN" w:bidi="ar"/>
              </w:rPr>
              <w:t>位</w:t>
            </w:r>
          </w:p>
        </w:tc>
        <w:tc>
          <w:tcPr>
            <w:tcW w:w="3404"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电</w:t>
            </w:r>
            <w:r>
              <w:rPr>
                <w:rFonts w:hint="default" w:ascii="Times New Roman" w:hAnsi="Times New Roman" w:eastAsia="宋体" w:cs="Times New Roman"/>
                <w:color w:val="auto"/>
                <w:kern w:val="0"/>
                <w:sz w:val="21"/>
                <w:szCs w:val="21"/>
                <w:lang w:val="en-US" w:eastAsia="zh-CN" w:bidi="ar"/>
              </w:rPr>
              <w:t xml:space="preserve">  </w:t>
            </w:r>
            <w:r>
              <w:rPr>
                <w:rFonts w:hint="eastAsia" w:ascii="Times New Roman" w:hAnsi="宋体" w:eastAsia="宋体" w:cs="宋体"/>
                <w:color w:val="auto"/>
                <w:kern w:val="0"/>
                <w:sz w:val="21"/>
                <w:szCs w:val="21"/>
                <w:lang w:val="en-US" w:eastAsia="zh-CN" w:bidi="ar"/>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exact"/>
          <w:jc w:val="center"/>
        </w:trPr>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1</w:t>
            </w:r>
          </w:p>
        </w:tc>
        <w:tc>
          <w:tcPr>
            <w:tcW w:w="493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绥化市政府总值班室</w:t>
            </w:r>
          </w:p>
        </w:tc>
        <w:tc>
          <w:tcPr>
            <w:tcW w:w="3404"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0455-838800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exact"/>
          <w:jc w:val="center"/>
        </w:trPr>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2</w:t>
            </w:r>
          </w:p>
        </w:tc>
        <w:tc>
          <w:tcPr>
            <w:tcW w:w="493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绥化市应急管理局</w:t>
            </w:r>
          </w:p>
        </w:tc>
        <w:tc>
          <w:tcPr>
            <w:tcW w:w="3404"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0455-838800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exact"/>
          <w:jc w:val="center"/>
        </w:trPr>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3</w:t>
            </w:r>
          </w:p>
        </w:tc>
        <w:tc>
          <w:tcPr>
            <w:tcW w:w="493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绥化市生态环境局</w:t>
            </w:r>
          </w:p>
        </w:tc>
        <w:tc>
          <w:tcPr>
            <w:tcW w:w="3404"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0455-8388569</w:t>
            </w:r>
            <w:r>
              <w:rPr>
                <w:rFonts w:hint="eastAsia" w:ascii="Times New Roman"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0455-8388660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exact"/>
          <w:jc w:val="center"/>
        </w:trPr>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4</w:t>
            </w:r>
          </w:p>
        </w:tc>
        <w:tc>
          <w:tcPr>
            <w:tcW w:w="493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绥化市安达市政府值班室</w:t>
            </w:r>
          </w:p>
        </w:tc>
        <w:tc>
          <w:tcPr>
            <w:tcW w:w="3404"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0455-7221804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exact"/>
          <w:jc w:val="center"/>
        </w:trPr>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5</w:t>
            </w:r>
          </w:p>
        </w:tc>
        <w:tc>
          <w:tcPr>
            <w:tcW w:w="493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绥化市安达市生态环境局</w:t>
            </w:r>
          </w:p>
        </w:tc>
        <w:tc>
          <w:tcPr>
            <w:tcW w:w="3404"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0455-7262656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exact"/>
          <w:jc w:val="center"/>
        </w:trPr>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6</w:t>
            </w:r>
          </w:p>
        </w:tc>
        <w:tc>
          <w:tcPr>
            <w:tcW w:w="493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大庆油田有限责任公司应急值班室</w:t>
            </w:r>
          </w:p>
        </w:tc>
        <w:tc>
          <w:tcPr>
            <w:tcW w:w="3404"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0459-5999191</w:t>
            </w:r>
            <w:r>
              <w:rPr>
                <w:rFonts w:hint="eastAsia" w:ascii="Times New Roman"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0459-5963011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exact"/>
          <w:jc w:val="center"/>
        </w:trPr>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7</w:t>
            </w:r>
          </w:p>
        </w:tc>
        <w:tc>
          <w:tcPr>
            <w:tcW w:w="4935"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eastAsia" w:ascii="Times New Roman" w:hAnsi="宋体" w:eastAsia="宋体" w:cs="宋体"/>
                <w:color w:val="auto"/>
                <w:kern w:val="0"/>
                <w:sz w:val="21"/>
                <w:szCs w:val="21"/>
                <w:lang w:val="en-US" w:eastAsia="zh-CN" w:bidi="ar"/>
              </w:rPr>
              <w:t>大庆油田有限责任公司</w:t>
            </w:r>
            <w:r>
              <w:rPr>
                <w:rFonts w:hint="eastAsia" w:hAnsi="宋体" w:cs="宋体"/>
                <w:color w:val="auto"/>
                <w:kern w:val="0"/>
                <w:sz w:val="21"/>
                <w:szCs w:val="21"/>
                <w:lang w:val="en-US" w:eastAsia="zh-CN" w:bidi="ar"/>
              </w:rPr>
              <w:t>采气分公司（储气库分公司）</w:t>
            </w:r>
            <w:r>
              <w:rPr>
                <w:rFonts w:hint="eastAsia" w:ascii="Times New Roman" w:hAnsi="宋体" w:eastAsia="宋体" w:cs="宋体"/>
                <w:color w:val="auto"/>
                <w:kern w:val="0"/>
                <w:sz w:val="21"/>
                <w:szCs w:val="21"/>
                <w:lang w:val="en-US" w:eastAsia="zh-CN" w:bidi="ar"/>
              </w:rPr>
              <w:t>应急值班室</w:t>
            </w:r>
          </w:p>
        </w:tc>
        <w:tc>
          <w:tcPr>
            <w:tcW w:w="3404"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widowControl w:val="0"/>
              <w:suppressLineNumbers w:val="0"/>
              <w:spacing w:before="0" w:beforeAutospacing="0" w:after="0" w:afterAutospacing="0" w:line="240" w:lineRule="exact"/>
              <w:ind w:left="0" w:right="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0459-5986500</w:t>
            </w:r>
          </w:p>
        </w:tc>
      </w:tr>
    </w:tbl>
    <w:p>
      <w:pPr>
        <w:keepNext w:val="0"/>
        <w:keepLines w:val="0"/>
        <w:widowControl w:val="0"/>
        <w:suppressLineNumbers w:val="0"/>
        <w:snapToGrid w:val="0"/>
        <w:spacing w:before="0" w:beforeAutospacing="0" w:after="0" w:afterAutospacing="0" w:line="480" w:lineRule="exact"/>
        <w:ind w:left="0" w:right="0" w:firstLine="560" w:firstLineChars="200"/>
        <w:jc w:val="both"/>
        <w:rPr>
          <w:rFonts w:hAnsi="宋体"/>
          <w:bCs/>
          <w:color w:val="auto"/>
          <w:sz w:val="28"/>
          <w:szCs w:val="28"/>
          <w:lang w:val="en-US"/>
        </w:rPr>
      </w:pPr>
      <w:r>
        <w:rPr>
          <w:rFonts w:hint="eastAsia" w:ascii="Times New Roman" w:hAnsi="宋体" w:eastAsia="宋体" w:cs="宋体"/>
          <w:bCs/>
          <w:color w:val="auto"/>
          <w:kern w:val="2"/>
          <w:sz w:val="28"/>
          <w:szCs w:val="28"/>
          <w:lang w:val="en-US" w:eastAsia="zh-CN" w:bidi="ar"/>
        </w:rPr>
        <w:t>（</w:t>
      </w:r>
      <w:r>
        <w:rPr>
          <w:rFonts w:hint="default" w:ascii="Times New Roman" w:hAnsi="宋体" w:eastAsia="宋体" w:cs="Times New Roman"/>
          <w:bCs/>
          <w:color w:val="auto"/>
          <w:kern w:val="2"/>
          <w:sz w:val="28"/>
          <w:szCs w:val="28"/>
          <w:lang w:val="en-US" w:eastAsia="zh-CN" w:bidi="ar"/>
        </w:rPr>
        <w:t>3</w:t>
      </w:r>
      <w:r>
        <w:rPr>
          <w:rFonts w:hint="eastAsia" w:ascii="Times New Roman" w:hAnsi="宋体" w:eastAsia="宋体" w:cs="宋体"/>
          <w:bCs/>
          <w:color w:val="auto"/>
          <w:kern w:val="2"/>
          <w:sz w:val="28"/>
          <w:szCs w:val="28"/>
          <w:lang w:val="en-US" w:eastAsia="zh-CN" w:bidi="ar"/>
        </w:rPr>
        <w:t>）应急预案有效性分析</w:t>
      </w:r>
    </w:p>
    <w:p>
      <w:pPr>
        <w:keepNext w:val="0"/>
        <w:keepLines w:val="0"/>
        <w:widowControl w:val="0"/>
        <w:suppressLineNumbers w:val="0"/>
        <w:spacing w:before="0" w:beforeAutospacing="0" w:after="0" w:afterAutospacing="0" w:line="480" w:lineRule="exact"/>
        <w:ind w:left="0" w:right="0" w:firstLine="560" w:firstLineChars="200"/>
        <w:jc w:val="both"/>
        <w:rPr>
          <w:bCs/>
          <w:color w:val="auto"/>
          <w:sz w:val="28"/>
          <w:szCs w:val="28"/>
          <w:lang w:val="en-US"/>
        </w:rPr>
      </w:pPr>
      <w:r>
        <w:rPr>
          <w:rFonts w:hint="eastAsia" w:ascii="Times New Roman" w:hAnsi="宋体" w:eastAsia="宋体" w:cs="宋体"/>
          <w:bCs/>
          <w:color w:val="auto"/>
          <w:kern w:val="2"/>
          <w:sz w:val="28"/>
          <w:szCs w:val="28"/>
          <w:lang w:val="en-US" w:eastAsia="zh-CN" w:bidi="ar"/>
        </w:rPr>
        <w:t>本工程应急预案可以纳入大庆油田有限责任公司</w:t>
      </w:r>
      <w:r>
        <w:rPr>
          <w:rFonts w:hint="eastAsia" w:hAnsi="宋体" w:cs="宋体"/>
          <w:bCs/>
          <w:color w:val="auto"/>
          <w:kern w:val="2"/>
          <w:sz w:val="28"/>
          <w:szCs w:val="28"/>
          <w:lang w:val="en-US" w:eastAsia="zh-CN" w:bidi="ar"/>
        </w:rPr>
        <w:t>采气分公司（储气库分公司）</w:t>
      </w:r>
      <w:r>
        <w:rPr>
          <w:rFonts w:hint="eastAsia" w:ascii="Times New Roman" w:hAnsi="宋体" w:eastAsia="宋体" w:cs="宋体"/>
          <w:bCs/>
          <w:color w:val="auto"/>
          <w:kern w:val="2"/>
          <w:sz w:val="28"/>
          <w:szCs w:val="28"/>
          <w:lang w:val="en-US" w:eastAsia="zh-CN" w:bidi="ar"/>
        </w:rPr>
        <w:t>原有应急体系内，不需对本工程提出新的应急预案，发生风险事故时按已建立的事故风险应急预案执行，在执行应急预案的同时，要加强区域应急联动体系，发生事故必要时可直接向向邻近企业、单位和政府部门、消防队、环保局、安全生产监督管理局和市政府报告，申请求援并要求周围企业单位启动应急计划。</w:t>
      </w:r>
    </w:p>
    <w:p>
      <w:pPr>
        <w:keepNext w:val="0"/>
        <w:keepLines w:val="0"/>
        <w:widowControl/>
        <w:suppressLineNumbers w:val="0"/>
        <w:jc w:val="left"/>
        <w:rPr>
          <w:snapToGrid w:val="0"/>
          <w:color w:val="auto"/>
          <w:kern w:val="0"/>
          <w:sz w:val="28"/>
          <w:szCs w:val="28"/>
        </w:rPr>
      </w:pPr>
      <w:r>
        <w:rPr>
          <w:rFonts w:hint="eastAsia" w:ascii="Times New Roman" w:hAnsi="宋体" w:eastAsia="宋体" w:cs="Times New Roman"/>
          <w:color w:val="auto"/>
          <w:kern w:val="2"/>
          <w:sz w:val="28"/>
          <w:szCs w:val="28"/>
          <w:lang w:val="en-US" w:eastAsia="zh-CN" w:bidi="ar"/>
        </w:rPr>
        <w:t>通过采取上述环境风险防范措施，能够有效的预防和减缓本工程建设可能带来的不良环境影响，环境风险可控</w:t>
      </w:r>
      <w:r>
        <w:rPr>
          <w:rFonts w:hAnsi="宋体"/>
          <w:color w:val="auto"/>
          <w:sz w:val="28"/>
          <w:szCs w:val="28"/>
        </w:rPr>
        <w:t>。</w:t>
      </w:r>
    </w:p>
    <w:p>
      <w:pPr>
        <w:pStyle w:val="4"/>
        <w:numPr>
          <w:ilvl w:val="1"/>
          <w:numId w:val="4"/>
        </w:numPr>
        <w:bidi w:val="0"/>
        <w:rPr>
          <w:rFonts w:ascii="Times New Roman" w:hAnsi="Times New Roman" w:eastAsia="宋体"/>
          <w:b w:val="0"/>
          <w:snapToGrid w:val="0"/>
          <w:color w:val="auto"/>
          <w:kern w:val="0"/>
          <w:sz w:val="30"/>
          <w:szCs w:val="30"/>
        </w:rPr>
      </w:pPr>
      <w:bookmarkStart w:id="628" w:name="_Toc177403567"/>
      <w:bookmarkStart w:id="629" w:name="_Toc189535439"/>
      <w:bookmarkStart w:id="630" w:name="_Toc171516729"/>
      <w:bookmarkStart w:id="631" w:name="_Toc196215821"/>
      <w:bookmarkStart w:id="632" w:name="_Toc12586"/>
      <w:bookmarkStart w:id="633" w:name="_Toc96083878"/>
      <w:bookmarkStart w:id="634" w:name="_Toc165880681"/>
      <w:bookmarkStart w:id="635" w:name="_Toc166294316"/>
      <w:bookmarkStart w:id="636" w:name="_Toc161658254"/>
      <w:r>
        <w:rPr>
          <w:rFonts w:ascii="Times New Roman" w:hAnsi="Times New Roman" w:eastAsia="宋体"/>
          <w:b w:val="0"/>
          <w:snapToGrid w:val="0"/>
          <w:color w:val="auto"/>
          <w:kern w:val="0"/>
          <w:sz w:val="30"/>
          <w:szCs w:val="30"/>
        </w:rPr>
        <w:t>“</w:t>
      </w:r>
      <w:r>
        <w:rPr>
          <w:rFonts w:ascii="Times New Roman" w:hAnsi="宋体" w:eastAsia="宋体"/>
          <w:b w:val="0"/>
          <w:snapToGrid w:val="0"/>
          <w:color w:val="auto"/>
          <w:kern w:val="0"/>
          <w:sz w:val="30"/>
          <w:szCs w:val="30"/>
        </w:rPr>
        <w:t>三同时</w:t>
      </w:r>
      <w:bookmarkEnd w:id="628"/>
      <w:bookmarkEnd w:id="629"/>
      <w:bookmarkEnd w:id="630"/>
      <w:r>
        <w:rPr>
          <w:rFonts w:ascii="Times New Roman" w:hAnsi="Times New Roman" w:eastAsia="宋体"/>
          <w:b w:val="0"/>
          <w:snapToGrid w:val="0"/>
          <w:color w:val="auto"/>
          <w:kern w:val="0"/>
          <w:sz w:val="30"/>
          <w:szCs w:val="30"/>
        </w:rPr>
        <w:t>”</w:t>
      </w:r>
      <w:r>
        <w:rPr>
          <w:rFonts w:ascii="Times New Roman" w:hAnsi="宋体" w:eastAsia="宋体"/>
          <w:b w:val="0"/>
          <w:snapToGrid w:val="0"/>
          <w:color w:val="auto"/>
          <w:kern w:val="0"/>
          <w:sz w:val="30"/>
          <w:szCs w:val="30"/>
        </w:rPr>
        <w:t>项目一览表</w:t>
      </w:r>
      <w:bookmarkEnd w:id="631"/>
      <w:bookmarkEnd w:id="632"/>
      <w:bookmarkEnd w:id="633"/>
    </w:p>
    <w:p>
      <w:pPr>
        <w:snapToGrid w:val="0"/>
        <w:spacing w:line="460" w:lineRule="exact"/>
        <w:ind w:firstLine="560" w:firstLineChars="200"/>
        <w:rPr>
          <w:snapToGrid w:val="0"/>
          <w:color w:val="auto"/>
          <w:kern w:val="0"/>
          <w:sz w:val="28"/>
          <w:szCs w:val="28"/>
        </w:rPr>
      </w:pPr>
      <w:r>
        <w:rPr>
          <w:rFonts w:hAnsi="宋体"/>
          <w:snapToGrid w:val="0"/>
          <w:color w:val="auto"/>
          <w:kern w:val="0"/>
          <w:sz w:val="28"/>
          <w:szCs w:val="28"/>
        </w:rPr>
        <w:t>为进一步落实本项目工程设计和环境影响评价提出的各项环保措施，确保环保工程发挥真正作用，本评价列出</w:t>
      </w:r>
      <w:r>
        <w:rPr>
          <w:snapToGrid w:val="0"/>
          <w:color w:val="auto"/>
          <w:kern w:val="0"/>
          <w:sz w:val="28"/>
          <w:szCs w:val="28"/>
        </w:rPr>
        <w:t>“</w:t>
      </w:r>
      <w:r>
        <w:rPr>
          <w:rFonts w:hAnsi="宋体"/>
          <w:snapToGrid w:val="0"/>
          <w:color w:val="auto"/>
          <w:kern w:val="0"/>
          <w:sz w:val="28"/>
          <w:szCs w:val="28"/>
        </w:rPr>
        <w:t>三同时</w:t>
      </w:r>
      <w:r>
        <w:rPr>
          <w:snapToGrid w:val="0"/>
          <w:color w:val="auto"/>
          <w:kern w:val="0"/>
          <w:sz w:val="28"/>
          <w:szCs w:val="28"/>
        </w:rPr>
        <w:t>”</w:t>
      </w:r>
      <w:r>
        <w:rPr>
          <w:rFonts w:hAnsi="宋体"/>
          <w:snapToGrid w:val="0"/>
          <w:color w:val="auto"/>
          <w:kern w:val="0"/>
          <w:sz w:val="28"/>
          <w:szCs w:val="28"/>
        </w:rPr>
        <w:t>项目表和竣工验收监测与调查的相关要求，具体内容见表</w:t>
      </w:r>
      <w:r>
        <w:rPr>
          <w:snapToGrid w:val="0"/>
          <w:color w:val="auto"/>
          <w:kern w:val="0"/>
          <w:sz w:val="28"/>
          <w:szCs w:val="28"/>
        </w:rPr>
        <w:t>6.2-1</w:t>
      </w:r>
      <w:r>
        <w:rPr>
          <w:rFonts w:hAnsi="宋体"/>
          <w:snapToGrid w:val="0"/>
          <w:color w:val="auto"/>
          <w:kern w:val="0"/>
          <w:sz w:val="28"/>
          <w:szCs w:val="28"/>
        </w:rPr>
        <w:t>、</w:t>
      </w:r>
      <w:r>
        <w:rPr>
          <w:snapToGrid w:val="0"/>
          <w:color w:val="auto"/>
          <w:kern w:val="0"/>
          <w:sz w:val="28"/>
          <w:szCs w:val="28"/>
        </w:rPr>
        <w:t>6.2-2</w:t>
      </w:r>
      <w:r>
        <w:rPr>
          <w:rFonts w:hAnsi="宋体"/>
          <w:snapToGrid w:val="0"/>
          <w:color w:val="auto"/>
          <w:kern w:val="0"/>
          <w:sz w:val="28"/>
          <w:szCs w:val="28"/>
        </w:rPr>
        <w:t>。</w:t>
      </w:r>
    </w:p>
    <w:p>
      <w:pPr>
        <w:pStyle w:val="7"/>
        <w:numPr>
          <w:ilvl w:val="4"/>
          <w:numId w:val="4"/>
        </w:numPr>
        <w:bidi w:val="0"/>
        <w:rPr>
          <w:bCs/>
          <w:color w:val="auto"/>
          <w:sz w:val="28"/>
          <w:szCs w:val="28"/>
        </w:rPr>
      </w:pPr>
      <w:bookmarkStart w:id="637" w:name="_Hlk71726795"/>
      <w:r>
        <w:rPr>
          <w:bCs/>
          <w:color w:val="auto"/>
          <w:sz w:val="28"/>
          <w:szCs w:val="28"/>
        </w:rPr>
        <w:t>“</w:t>
      </w:r>
      <w:r>
        <w:rPr>
          <w:rFonts w:hAnsi="宋体"/>
          <w:bCs/>
          <w:color w:val="auto"/>
          <w:sz w:val="28"/>
          <w:szCs w:val="28"/>
        </w:rPr>
        <w:t>三同时</w:t>
      </w:r>
      <w:r>
        <w:rPr>
          <w:bCs/>
          <w:color w:val="auto"/>
          <w:sz w:val="28"/>
          <w:szCs w:val="28"/>
        </w:rPr>
        <w:t>”</w:t>
      </w:r>
      <w:r>
        <w:rPr>
          <w:rFonts w:hAnsi="宋体"/>
          <w:bCs/>
          <w:color w:val="auto"/>
          <w:sz w:val="28"/>
          <w:szCs w:val="28"/>
        </w:rPr>
        <w:t>项目一览表</w:t>
      </w:r>
    </w:p>
    <w:bookmarkEnd w:id="637"/>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310"/>
        <w:gridCol w:w="6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94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类别</w:t>
            </w:r>
          </w:p>
        </w:tc>
        <w:tc>
          <w:tcPr>
            <w:tcW w:w="2310"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环境保护措施</w:t>
            </w:r>
          </w:p>
        </w:tc>
        <w:tc>
          <w:tcPr>
            <w:tcW w:w="60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94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废水处理</w:t>
            </w:r>
          </w:p>
        </w:tc>
        <w:tc>
          <w:tcPr>
            <w:tcW w:w="2310"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szCs w:val="21"/>
              </w:rPr>
              <w:t>生活污水、钻井废水</w:t>
            </w:r>
          </w:p>
        </w:tc>
        <w:tc>
          <w:tcPr>
            <w:tcW w:w="6029" w:type="dxa"/>
            <w:noWrap w:val="0"/>
            <w:vAlign w:val="center"/>
          </w:tcPr>
          <w:p>
            <w:pPr>
              <w:keepNext w:val="0"/>
              <w:keepLines w:val="0"/>
              <w:suppressLineNumbers w:val="0"/>
              <w:spacing w:before="0" w:beforeAutospacing="0" w:after="0" w:afterAutospacing="0" w:line="240" w:lineRule="exact"/>
              <w:ind w:left="0" w:right="0"/>
              <w:rPr>
                <w:rFonts w:hint="default"/>
                <w:color w:val="auto"/>
                <w:szCs w:val="21"/>
              </w:rPr>
            </w:pPr>
            <w:bookmarkStart w:id="638" w:name="_Hlk71724171"/>
            <w:r>
              <w:rPr>
                <w:rFonts w:hint="default" w:hAnsi="宋体"/>
                <w:color w:val="auto"/>
                <w:szCs w:val="21"/>
              </w:rPr>
              <w:t>生活污水进入施工营地设置的污水池，施工结束后进行卫生处理，场地进行平整；钻井废水</w:t>
            </w:r>
            <w:bookmarkEnd w:id="638"/>
            <w:r>
              <w:rPr>
                <w:rFonts w:hint="eastAsia" w:hAnsi="宋体"/>
                <w:color w:val="auto"/>
              </w:rPr>
              <w:t>在井场进行固液分离处理。分离出的液相处理达标后循环利用，无法利用的，就近拉运至处理站集中处置。分离出的固相废弃物，就近拉运至大庆市采油八厂废弃钻井液集中处理站统一处理</w:t>
            </w:r>
            <w:r>
              <w:rPr>
                <w:rFonts w:hint="default"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94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固废处置</w:t>
            </w:r>
          </w:p>
        </w:tc>
        <w:tc>
          <w:tcPr>
            <w:tcW w:w="2310" w:type="dxa"/>
            <w:noWrap w:val="0"/>
            <w:vAlign w:val="center"/>
          </w:tcPr>
          <w:p>
            <w:pPr>
              <w:keepNext w:val="0"/>
              <w:keepLines w:val="0"/>
              <w:suppressLineNumbers w:val="0"/>
              <w:spacing w:before="0" w:beforeAutospacing="0" w:after="0" w:afterAutospacing="0" w:line="240" w:lineRule="exact"/>
              <w:ind w:left="0" w:right="0"/>
              <w:jc w:val="center"/>
              <w:rPr>
                <w:rFonts w:hint="default" w:eastAsia="宋体"/>
                <w:color w:val="auto"/>
                <w:kern w:val="0"/>
                <w:szCs w:val="21"/>
                <w:lang w:val="en-US" w:eastAsia="zh-CN"/>
              </w:rPr>
            </w:pPr>
            <w:r>
              <w:rPr>
                <w:rFonts w:hint="default" w:hAnsi="宋体"/>
                <w:color w:val="auto"/>
                <w:szCs w:val="21"/>
              </w:rPr>
              <w:t>废弃钻井液、岩屑处置</w:t>
            </w:r>
            <w:r>
              <w:rPr>
                <w:rFonts w:hint="eastAsia" w:hAnsi="宋体"/>
                <w:color w:val="auto"/>
                <w:szCs w:val="21"/>
                <w:lang w:eastAsia="zh-CN"/>
              </w:rPr>
              <w:t>、</w:t>
            </w:r>
            <w:r>
              <w:rPr>
                <w:rFonts w:hint="eastAsia" w:hAnsi="宋体"/>
                <w:color w:val="auto"/>
                <w:szCs w:val="21"/>
                <w:lang w:val="en-US" w:eastAsia="zh-CN"/>
              </w:rPr>
              <w:t>KOH包装袋</w:t>
            </w:r>
          </w:p>
        </w:tc>
        <w:tc>
          <w:tcPr>
            <w:tcW w:w="6029" w:type="dxa"/>
            <w:noWrap w:val="0"/>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hAnsi="宋体"/>
                <w:color w:val="auto"/>
                <w:kern w:val="0"/>
                <w:szCs w:val="21"/>
              </w:rPr>
              <w:t>废</w:t>
            </w:r>
            <w:r>
              <w:rPr>
                <w:rFonts w:hint="default" w:hAnsi="宋体"/>
                <w:color w:val="auto"/>
              </w:rPr>
              <w:t>弃</w:t>
            </w:r>
            <w:r>
              <w:rPr>
                <w:rFonts w:hint="eastAsia" w:hAnsi="宋体"/>
                <w:color w:val="auto"/>
                <w:lang w:val="en-US" w:eastAsia="zh-CN"/>
              </w:rPr>
              <w:t>水基</w:t>
            </w:r>
            <w:r>
              <w:rPr>
                <w:rFonts w:hint="default" w:hAnsi="宋体"/>
                <w:color w:val="auto"/>
              </w:rPr>
              <w:t>钻井液、钻井岩屑</w:t>
            </w:r>
            <w:r>
              <w:rPr>
                <w:rFonts w:hint="eastAsia" w:hAnsi="宋体"/>
                <w:color w:val="auto"/>
              </w:rPr>
              <w:t>在井场进行固液分离处理。分离出的液相处理达标后循环利用，无法利用的，就近拉运至处理站集中处置。分离出的固相废弃物，就近拉运至大庆市采油八厂废弃钻井液集中处理站统一处理，泥饼统一收集后转运至大庆油田采油八厂指定地点，作为油田铺路、铺垫井场等综合利用。不排入外环境</w:t>
            </w:r>
            <w:r>
              <w:rPr>
                <w:rFonts w:hint="default" w:hAnsi="宋体"/>
                <w:color w:val="auto"/>
                <w:kern w:val="0"/>
                <w:szCs w:val="21"/>
                <w:lang w:eastAsia="zh-TW"/>
              </w:rPr>
              <w:t>；</w:t>
            </w:r>
            <w:r>
              <w:rPr>
                <w:rFonts w:hint="eastAsia" w:hAnsi="宋体"/>
                <w:color w:val="auto"/>
                <w:kern w:val="0"/>
                <w:szCs w:val="21"/>
                <w:lang w:val="en-US" w:eastAsia="zh-CN"/>
              </w:rPr>
              <w:t>废弃油基钻井液、</w:t>
            </w:r>
            <w:r>
              <w:rPr>
                <w:rFonts w:hint="default" w:hAnsi="宋体"/>
                <w:color w:val="auto"/>
              </w:rPr>
              <w:t>钻井岩屑</w:t>
            </w:r>
            <w:r>
              <w:rPr>
                <w:rFonts w:hint="eastAsia" w:hAnsi="宋体"/>
                <w:color w:val="auto"/>
                <w:lang w:val="en-US" w:eastAsia="zh-CN"/>
              </w:rPr>
              <w:t>在井场收集后</w:t>
            </w:r>
            <w:r>
              <w:rPr>
                <w:rFonts w:hint="eastAsia" w:hAnsi="宋体"/>
                <w:color w:val="auto"/>
                <w:kern w:val="0"/>
                <w:szCs w:val="21"/>
                <w:lang w:val="en-US" w:eastAsia="zh-CN"/>
              </w:rPr>
              <w:t>由罐车拉运至大庆中林绿源生物环保有限公司处理，经热相分离工艺单元产生的渣土指标满足《油田含油污泥综合利用污染控制标准》（DB23/T1413-2010）中农用控制指标的要求，同时pH和含水率两项控制指标满足pH≥6，含水率≤40%后，用于铺设井场、通井路修路等用途。不排入外环境；</w:t>
            </w:r>
            <w:r>
              <w:rPr>
                <w:rFonts w:hint="default" w:hAnsi="宋体"/>
                <w:color w:val="auto"/>
                <w:kern w:val="0"/>
                <w:szCs w:val="21"/>
                <w:lang w:eastAsia="zh-TW"/>
              </w:rPr>
              <w:t>氢</w:t>
            </w:r>
            <w:r>
              <w:rPr>
                <w:rFonts w:hint="eastAsia" w:hAnsi="宋体"/>
                <w:color w:val="auto"/>
                <w:kern w:val="0"/>
                <w:szCs w:val="21"/>
                <w:lang w:val="en-US" w:eastAsia="zh-CN"/>
              </w:rPr>
              <w:t>氧</w:t>
            </w:r>
            <w:r>
              <w:rPr>
                <w:rFonts w:hint="default" w:hAnsi="宋体"/>
                <w:color w:val="auto"/>
                <w:kern w:val="0"/>
                <w:szCs w:val="21"/>
                <w:lang w:eastAsia="zh-TW"/>
              </w:rPr>
              <w:t>化钾包装袋送有资质的危废处理单位处理；其余材料的包装袋</w:t>
            </w:r>
            <w:r>
              <w:rPr>
                <w:rFonts w:hint="eastAsia" w:hAnsi="宋体"/>
                <w:color w:val="auto"/>
              </w:rPr>
              <w:t>送大庆市岗源环保科技有限责任公司</w:t>
            </w:r>
            <w:r>
              <w:rPr>
                <w:rFonts w:hint="default" w:hAnsi="宋体"/>
                <w:color w:val="auto"/>
              </w:rPr>
              <w:t>工业</w:t>
            </w:r>
            <w:r>
              <w:rPr>
                <w:rFonts w:hint="eastAsia" w:hAnsi="宋体"/>
                <w:color w:val="auto"/>
              </w:rPr>
              <w:t>废弃物处置中心</w:t>
            </w:r>
            <w:r>
              <w:rPr>
                <w:rFonts w:hint="default" w:hAnsi="宋体"/>
                <w:color w:val="auto"/>
              </w:rPr>
              <w:t>处置</w:t>
            </w:r>
            <w:r>
              <w:rPr>
                <w:rFonts w:hint="default" w:hAnsi="宋体"/>
                <w:color w:val="auto"/>
                <w:kern w:val="0"/>
                <w:szCs w:val="21"/>
                <w:lang w:eastAsia="zh-TW"/>
              </w:rPr>
              <w:t>；废弃防渗布</w:t>
            </w:r>
            <w:r>
              <w:rPr>
                <w:rFonts w:hint="eastAsia" w:hAnsi="宋体"/>
                <w:color w:val="auto"/>
              </w:rPr>
              <w:t>送</w:t>
            </w:r>
            <w:r>
              <w:rPr>
                <w:rFonts w:hint="eastAsia" w:hAnsi="宋体"/>
                <w:color w:val="auto"/>
                <w:kern w:val="0"/>
                <w:szCs w:val="21"/>
                <w:lang w:val="en-US" w:eastAsia="zh-CN"/>
              </w:rPr>
              <w:t>大庆中林绿源生物环保有限公司处理；</w:t>
            </w:r>
            <w:r>
              <w:rPr>
                <w:rFonts w:hint="default" w:hAnsi="宋体"/>
                <w:color w:val="auto"/>
                <w:kern w:val="0"/>
                <w:szCs w:val="21"/>
                <w:lang w:eastAsia="zh-TW"/>
              </w:rPr>
              <w:t>生活垃圾统一收集后交当地环卫部门处理。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4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废气治理</w:t>
            </w:r>
          </w:p>
        </w:tc>
        <w:tc>
          <w:tcPr>
            <w:tcW w:w="231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扬尘治理</w:t>
            </w:r>
          </w:p>
        </w:tc>
        <w:tc>
          <w:tcPr>
            <w:tcW w:w="6029" w:type="dxa"/>
            <w:noWrap w:val="0"/>
            <w:vAlign w:val="center"/>
          </w:tcPr>
          <w:p>
            <w:pPr>
              <w:keepNext w:val="0"/>
              <w:keepLines w:val="0"/>
              <w:suppressLineNumbers w:val="0"/>
              <w:spacing w:before="0" w:beforeAutospacing="0" w:after="0" w:afterAutospacing="0" w:line="240" w:lineRule="exact"/>
              <w:ind w:left="0" w:right="0"/>
              <w:rPr>
                <w:rFonts w:hint="default"/>
                <w:color w:val="auto"/>
                <w:kern w:val="0"/>
                <w:szCs w:val="21"/>
              </w:rPr>
            </w:pPr>
            <w:r>
              <w:rPr>
                <w:rFonts w:hint="default" w:hAnsi="宋体"/>
                <w:color w:val="auto"/>
                <w:kern w:val="0"/>
                <w:szCs w:val="21"/>
              </w:rPr>
              <w:t>场界扬尘浓度</w:t>
            </w:r>
            <w:r>
              <w:rPr>
                <w:rFonts w:hint="default" w:hAnsi="宋体"/>
                <w:color w:val="auto"/>
                <w:szCs w:val="21"/>
              </w:rPr>
              <w:t>满足《大气污染物综合排放标准》（</w:t>
            </w:r>
            <w:r>
              <w:rPr>
                <w:rFonts w:hint="default"/>
                <w:color w:val="auto"/>
                <w:szCs w:val="21"/>
              </w:rPr>
              <w:t>GB16297-1996</w:t>
            </w:r>
            <w:r>
              <w:rPr>
                <w:rFonts w:hint="default" w:hAnsi="宋体"/>
                <w:color w:val="auto"/>
                <w:szCs w:val="21"/>
              </w:rPr>
              <w:t>）</w:t>
            </w:r>
            <w:r>
              <w:rPr>
                <w:rFonts w:hint="default" w:hAnsi="宋体"/>
                <w:color w:val="auto"/>
                <w:kern w:val="0"/>
                <w:szCs w:val="21"/>
                <w:lang w:eastAsia="zh-TW"/>
              </w:rPr>
              <w:t>中表</w:t>
            </w:r>
            <w:r>
              <w:rPr>
                <w:rFonts w:hint="default"/>
                <w:color w:val="auto"/>
                <w:kern w:val="0"/>
                <w:szCs w:val="21"/>
                <w:lang w:eastAsia="zh-TW"/>
              </w:rPr>
              <w:t>2</w:t>
            </w:r>
            <w:r>
              <w:rPr>
                <w:rFonts w:hint="default" w:hAnsi="宋体"/>
                <w:color w:val="auto"/>
                <w:kern w:val="0"/>
                <w:szCs w:val="21"/>
                <w:lang w:eastAsia="zh-TW"/>
              </w:rPr>
              <w:t>无组织排放监控浓度限值</w:t>
            </w:r>
            <w:r>
              <w:rPr>
                <w:rFonts w:hint="default"/>
                <w:color w:val="auto"/>
                <w:kern w:val="0"/>
                <w:szCs w:val="21"/>
              </w:rPr>
              <w:t>1.0mg/m</w:t>
            </w:r>
            <w:r>
              <w:rPr>
                <w:rFonts w:hint="default"/>
                <w:color w:val="auto"/>
                <w:kern w:val="0"/>
                <w:szCs w:val="21"/>
                <w:vertAlign w:val="superscript"/>
              </w:rPr>
              <w:t>3</w:t>
            </w:r>
            <w:r>
              <w:rPr>
                <w:rFonts w:hint="default" w:hAnsi="宋体"/>
                <w:color w:val="auto"/>
                <w:kern w:val="0"/>
                <w:szCs w:val="21"/>
                <w:lang w:eastAsia="zh-TW"/>
              </w:rPr>
              <w:t>要求</w:t>
            </w:r>
            <w:r>
              <w:rPr>
                <w:rFonts w:hint="default"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48"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噪声治理</w:t>
            </w:r>
          </w:p>
        </w:tc>
        <w:tc>
          <w:tcPr>
            <w:tcW w:w="2310" w:type="dxa"/>
            <w:noWrap w:val="0"/>
            <w:vAlign w:val="center"/>
          </w:tcPr>
          <w:p>
            <w:pPr>
              <w:keepNext w:val="0"/>
              <w:keepLines w:val="0"/>
              <w:suppressLineNumbers w:val="0"/>
              <w:adjustRightInd w:val="0"/>
              <w:snapToGrid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场界噪声治理</w:t>
            </w:r>
          </w:p>
        </w:tc>
        <w:tc>
          <w:tcPr>
            <w:tcW w:w="6029" w:type="dxa"/>
            <w:noWrap w:val="0"/>
            <w:vAlign w:val="center"/>
          </w:tcPr>
          <w:p>
            <w:pPr>
              <w:keepNext w:val="0"/>
              <w:keepLines w:val="0"/>
              <w:suppressLineNumbers w:val="0"/>
              <w:spacing w:before="0" w:beforeAutospacing="0" w:after="0" w:afterAutospacing="0" w:line="240" w:lineRule="exact"/>
              <w:ind w:left="0" w:right="0"/>
              <w:rPr>
                <w:rFonts w:hint="default"/>
                <w:color w:val="auto"/>
                <w:kern w:val="0"/>
                <w:szCs w:val="21"/>
              </w:rPr>
            </w:pPr>
            <w:r>
              <w:rPr>
                <w:rFonts w:hint="default" w:hAnsi="宋体"/>
                <w:color w:val="auto"/>
                <w:szCs w:val="21"/>
              </w:rPr>
              <w:t>场界噪声满足《建筑施工场界环境噪声排放标准》（</w:t>
            </w:r>
            <w:r>
              <w:rPr>
                <w:rFonts w:hint="default"/>
                <w:color w:val="auto"/>
                <w:szCs w:val="21"/>
              </w:rPr>
              <w:t>GB12523-2011</w:t>
            </w:r>
            <w:r>
              <w:rPr>
                <w:rFonts w:hint="default" w:hAnsi="宋体"/>
                <w:color w:val="auto"/>
                <w:szCs w:val="21"/>
              </w:rPr>
              <w:t>）昼间</w:t>
            </w:r>
            <w:r>
              <w:rPr>
                <w:rFonts w:hint="default"/>
                <w:color w:val="auto"/>
                <w:szCs w:val="21"/>
              </w:rPr>
              <w:t>&lt;70dB(A)</w:t>
            </w:r>
            <w:r>
              <w:rPr>
                <w:rFonts w:hint="default" w:hAnsi="宋体"/>
                <w:color w:val="auto"/>
                <w:szCs w:val="21"/>
              </w:rPr>
              <w:t>、夜间</w:t>
            </w:r>
            <w:r>
              <w:rPr>
                <w:rFonts w:hint="default"/>
                <w:color w:val="auto"/>
                <w:szCs w:val="21"/>
              </w:rPr>
              <w:t>&lt;5[dB(A)</w:t>
            </w:r>
            <w:r>
              <w:rPr>
                <w:rFonts w:hint="default" w:hAnsi="宋体"/>
                <w:color w:val="auto"/>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948"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hAnsi="宋体"/>
                <w:color w:val="auto"/>
                <w:kern w:val="0"/>
                <w:szCs w:val="21"/>
              </w:rPr>
              <w:t>地下水保护</w:t>
            </w:r>
          </w:p>
        </w:tc>
        <w:tc>
          <w:tcPr>
            <w:tcW w:w="2310" w:type="dxa"/>
            <w:noWrap w:val="0"/>
            <w:vAlign w:val="center"/>
          </w:tcPr>
          <w:p>
            <w:pPr>
              <w:keepNext w:val="0"/>
              <w:keepLines w:val="0"/>
              <w:suppressLineNumbers w:val="0"/>
              <w:spacing w:before="0" w:beforeAutospacing="0" w:after="0" w:afterAutospacing="0" w:line="240" w:lineRule="exact"/>
              <w:ind w:left="0" w:right="0"/>
              <w:jc w:val="center"/>
              <w:rPr>
                <w:rFonts w:hint="eastAsia" w:eastAsia="宋体"/>
                <w:color w:val="auto"/>
                <w:kern w:val="0"/>
                <w:szCs w:val="21"/>
                <w:lang w:eastAsia="zh-CN"/>
              </w:rPr>
            </w:pPr>
            <w:r>
              <w:rPr>
                <w:rFonts w:hint="default" w:hAnsi="宋体"/>
                <w:color w:val="auto"/>
              </w:rPr>
              <w:t>生活污水池</w:t>
            </w:r>
            <w:r>
              <w:rPr>
                <w:rFonts w:hint="eastAsia" w:hAnsi="宋体"/>
                <w:color w:val="auto"/>
              </w:rPr>
              <w:t>、</w:t>
            </w:r>
            <w:r>
              <w:rPr>
                <w:rFonts w:hint="default"/>
                <w:color w:val="auto"/>
                <w:szCs w:val="21"/>
              </w:rPr>
              <w:t>钢制泥浆槽、</w:t>
            </w:r>
            <w:r>
              <w:rPr>
                <w:rFonts w:hint="eastAsia"/>
                <w:color w:val="auto"/>
                <w:szCs w:val="21"/>
              </w:rPr>
              <w:t>材料房、机修房、</w:t>
            </w:r>
            <w:r>
              <w:rPr>
                <w:rFonts w:hint="eastAsia"/>
                <w:color w:val="auto"/>
              </w:rPr>
              <w:t>计量池、储液罐</w:t>
            </w:r>
            <w:r>
              <w:rPr>
                <w:rFonts w:hint="eastAsia"/>
                <w:color w:val="auto"/>
                <w:lang w:eastAsia="zh-CN"/>
              </w:rPr>
              <w:t>区</w:t>
            </w:r>
          </w:p>
        </w:tc>
        <w:tc>
          <w:tcPr>
            <w:tcW w:w="6029" w:type="dxa"/>
            <w:noWrap w:val="0"/>
            <w:vAlign w:val="center"/>
          </w:tcPr>
          <w:p>
            <w:pPr>
              <w:keepNext w:val="0"/>
              <w:keepLines w:val="0"/>
              <w:suppressLineNumbers w:val="0"/>
              <w:spacing w:before="0" w:beforeAutospacing="0" w:after="0" w:afterAutospacing="0" w:line="240" w:lineRule="exact"/>
              <w:ind w:left="0" w:right="0"/>
              <w:rPr>
                <w:rFonts w:hint="default"/>
                <w:color w:val="auto"/>
                <w:kern w:val="0"/>
                <w:szCs w:val="21"/>
              </w:rPr>
            </w:pPr>
            <w:r>
              <w:rPr>
                <w:rFonts w:hint="default" w:hAnsi="宋体"/>
                <w:color w:val="auto"/>
                <w:szCs w:val="21"/>
              </w:rPr>
              <w:t>采用单层高密度聚乙烯（</w:t>
            </w:r>
            <w:r>
              <w:rPr>
                <w:rFonts w:hint="default"/>
                <w:color w:val="auto"/>
                <w:szCs w:val="21"/>
              </w:rPr>
              <w:t>HDPE</w:t>
            </w:r>
            <w:r>
              <w:rPr>
                <w:rFonts w:hint="default" w:hAnsi="宋体"/>
                <w:color w:val="auto"/>
                <w:szCs w:val="21"/>
              </w:rPr>
              <w:t>）土工膜（膜厚</w:t>
            </w:r>
            <w:r>
              <w:rPr>
                <w:rFonts w:hint="eastAsia"/>
                <w:color w:val="auto"/>
                <w:szCs w:val="21"/>
                <w:lang w:val="en-US" w:eastAsia="zh-CN"/>
              </w:rPr>
              <w:t>2</w:t>
            </w:r>
            <w:r>
              <w:rPr>
                <w:rFonts w:hint="default"/>
                <w:color w:val="auto"/>
                <w:szCs w:val="21"/>
              </w:rPr>
              <w:t>mm</w:t>
            </w:r>
            <w:r>
              <w:rPr>
                <w:rFonts w:hint="default" w:hAnsi="宋体"/>
                <w:color w:val="auto"/>
                <w:szCs w:val="21"/>
              </w:rPr>
              <w:t>）构筑防渗层，防渗性能等效黏土防渗层</w:t>
            </w:r>
            <w:r>
              <w:rPr>
                <w:rFonts w:hint="default"/>
                <w:color w:val="auto"/>
                <w:szCs w:val="21"/>
              </w:rPr>
              <w:t>Mb≥1.5</w:t>
            </w:r>
            <w:r>
              <w:rPr>
                <w:rFonts w:hint="default" w:hAnsi="宋体"/>
                <w:color w:val="auto"/>
                <w:szCs w:val="21"/>
              </w:rPr>
              <w:t>、</w:t>
            </w:r>
            <w:r>
              <w:rPr>
                <w:rFonts w:hint="default"/>
                <w:color w:val="auto"/>
                <w:szCs w:val="21"/>
              </w:rPr>
              <w:t>K≤1.0×10</w:t>
            </w:r>
            <w:r>
              <w:rPr>
                <w:rFonts w:hint="default"/>
                <w:color w:val="auto"/>
                <w:szCs w:val="21"/>
                <w:vertAlign w:val="superscript"/>
              </w:rPr>
              <w:t>-7</w:t>
            </w:r>
            <w:r>
              <w:rPr>
                <w:rFonts w:hint="default"/>
                <w:color w:val="auto"/>
                <w:szCs w:val="21"/>
              </w:rPr>
              <w:t>cm/s</w:t>
            </w:r>
            <w:r>
              <w:rPr>
                <w:rFonts w:hint="default" w:hAnsi="宋体"/>
                <w:color w:val="auto"/>
                <w:szCs w:val="21"/>
              </w:rPr>
              <w:t>，满足</w:t>
            </w:r>
            <w:r>
              <w:rPr>
                <w:rFonts w:hint="default" w:hAnsi="宋体"/>
                <w:bCs/>
                <w:color w:val="auto"/>
                <w:szCs w:val="21"/>
              </w:rPr>
              <w:t>《环境影响评价技术导则</w:t>
            </w:r>
            <w:r>
              <w:rPr>
                <w:rFonts w:hint="default"/>
                <w:bCs/>
                <w:color w:val="auto"/>
                <w:szCs w:val="21"/>
              </w:rPr>
              <w:t xml:space="preserve"> </w:t>
            </w:r>
            <w:r>
              <w:rPr>
                <w:rFonts w:hint="default" w:hAnsi="宋体"/>
                <w:bCs/>
                <w:color w:val="auto"/>
                <w:szCs w:val="21"/>
              </w:rPr>
              <w:t>地下水环境》（</w:t>
            </w:r>
            <w:r>
              <w:rPr>
                <w:rFonts w:hint="default"/>
                <w:bCs/>
                <w:color w:val="auto"/>
                <w:szCs w:val="21"/>
              </w:rPr>
              <w:t>HJ610-2016</w:t>
            </w:r>
            <w:r>
              <w:rPr>
                <w:rFonts w:hint="default" w:hAnsi="宋体"/>
                <w:bCs/>
                <w:color w:val="auto"/>
                <w:szCs w:val="21"/>
              </w:rPr>
              <w:t>）</w:t>
            </w:r>
            <w:r>
              <w:rPr>
                <w:rFonts w:hint="default" w:hAnsi="宋体"/>
                <w:color w:val="auto"/>
                <w:szCs w:val="21"/>
              </w:rPr>
              <w:t>防渗分区要求，在防渗工程施工时留存影像资料。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48" w:type="dxa"/>
            <w:vMerge w:val="continue"/>
            <w:noWrap w:val="0"/>
            <w:vAlign w:val="center"/>
          </w:tcPr>
          <w:p>
            <w:pPr>
              <w:keepNext w:val="0"/>
              <w:keepLines w:val="0"/>
              <w:suppressLineNumbers w:val="0"/>
              <w:spacing w:before="0" w:beforeAutospacing="0" w:after="0" w:afterAutospacing="0" w:line="240" w:lineRule="exact"/>
              <w:ind w:left="0" w:right="0"/>
              <w:jc w:val="left"/>
              <w:rPr>
                <w:rFonts w:hint="default"/>
                <w:color w:val="auto"/>
                <w:kern w:val="0"/>
                <w:szCs w:val="21"/>
              </w:rPr>
            </w:pPr>
          </w:p>
        </w:tc>
        <w:tc>
          <w:tcPr>
            <w:tcW w:w="2310"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Cs w:val="21"/>
              </w:rPr>
            </w:pPr>
            <w:r>
              <w:rPr>
                <w:rFonts w:hint="default" w:hAnsi="宋体"/>
                <w:color w:val="auto"/>
              </w:rPr>
              <w:t>柴油罐区</w:t>
            </w:r>
            <w:r>
              <w:rPr>
                <w:rFonts w:hint="eastAsia" w:hAnsi="宋体"/>
                <w:color w:val="auto"/>
              </w:rPr>
              <w:t>、</w:t>
            </w:r>
            <w:r>
              <w:rPr>
                <w:rFonts w:hint="eastAsia" w:ascii="宋体" w:cs="宋体"/>
                <w:color w:val="auto"/>
                <w:kern w:val="0"/>
                <w:szCs w:val="21"/>
              </w:rPr>
              <w:t>放喷池</w:t>
            </w:r>
            <w:r>
              <w:rPr>
                <w:rFonts w:hint="default" w:hAnsi="宋体"/>
                <w:color w:val="auto"/>
                <w:szCs w:val="21"/>
              </w:rPr>
              <w:t>防渗</w:t>
            </w:r>
          </w:p>
        </w:tc>
        <w:tc>
          <w:tcPr>
            <w:tcW w:w="6029" w:type="dxa"/>
            <w:noWrap w:val="0"/>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hAnsi="宋体"/>
                <w:color w:val="auto"/>
                <w:szCs w:val="21"/>
              </w:rPr>
              <w:t>采用双层高密度聚乙烯（</w:t>
            </w:r>
            <w:r>
              <w:rPr>
                <w:rFonts w:hint="default"/>
                <w:color w:val="auto"/>
                <w:szCs w:val="21"/>
              </w:rPr>
              <w:t>HDPE</w:t>
            </w:r>
            <w:r>
              <w:rPr>
                <w:rFonts w:hint="default" w:hAnsi="宋体"/>
                <w:color w:val="auto"/>
                <w:szCs w:val="21"/>
              </w:rPr>
              <w:t>）土工膜（膜厚</w:t>
            </w:r>
            <w:r>
              <w:rPr>
                <w:rFonts w:hint="eastAsia"/>
                <w:color w:val="auto"/>
                <w:szCs w:val="21"/>
                <w:lang w:val="en-US" w:eastAsia="zh-CN"/>
              </w:rPr>
              <w:t>2</w:t>
            </w:r>
            <w:r>
              <w:rPr>
                <w:rFonts w:hint="default"/>
                <w:color w:val="auto"/>
                <w:szCs w:val="21"/>
              </w:rPr>
              <w:t>mm</w:t>
            </w:r>
            <w:r>
              <w:rPr>
                <w:rFonts w:hint="default" w:hAnsi="宋体"/>
                <w:color w:val="auto"/>
                <w:szCs w:val="21"/>
              </w:rPr>
              <w:t>）构筑防渗层，防渗性能等效黏土防渗层</w:t>
            </w:r>
            <w:r>
              <w:rPr>
                <w:rFonts w:hint="default"/>
                <w:color w:val="auto"/>
                <w:szCs w:val="21"/>
              </w:rPr>
              <w:t>Mb≥6.0m</w:t>
            </w:r>
            <w:r>
              <w:rPr>
                <w:rFonts w:hint="default" w:hAnsi="宋体"/>
                <w:color w:val="auto"/>
                <w:szCs w:val="21"/>
              </w:rPr>
              <w:t>、</w:t>
            </w:r>
            <w:r>
              <w:rPr>
                <w:rFonts w:hint="default"/>
                <w:color w:val="auto"/>
                <w:szCs w:val="21"/>
              </w:rPr>
              <w:t>K≤1.0×10-</w:t>
            </w:r>
            <w:r>
              <w:rPr>
                <w:rFonts w:hint="default"/>
                <w:color w:val="auto"/>
                <w:szCs w:val="21"/>
                <w:vertAlign w:val="superscript"/>
              </w:rPr>
              <w:t>7</w:t>
            </w:r>
            <w:r>
              <w:rPr>
                <w:rFonts w:hint="default"/>
                <w:color w:val="auto"/>
                <w:szCs w:val="21"/>
              </w:rPr>
              <w:t>cm/s</w:t>
            </w:r>
            <w:r>
              <w:rPr>
                <w:rFonts w:hint="default" w:hAnsi="宋体"/>
                <w:color w:val="auto"/>
                <w:szCs w:val="21"/>
              </w:rPr>
              <w:t>，满足</w:t>
            </w:r>
            <w:r>
              <w:rPr>
                <w:rFonts w:hint="default" w:hAnsi="宋体"/>
                <w:bCs/>
                <w:color w:val="auto"/>
                <w:szCs w:val="21"/>
              </w:rPr>
              <w:t>《环境影响评价技术导则</w:t>
            </w:r>
            <w:r>
              <w:rPr>
                <w:rFonts w:hint="default"/>
                <w:bCs/>
                <w:color w:val="auto"/>
                <w:szCs w:val="21"/>
              </w:rPr>
              <w:t xml:space="preserve"> </w:t>
            </w:r>
            <w:r>
              <w:rPr>
                <w:rFonts w:hint="default" w:hAnsi="宋体"/>
                <w:bCs/>
                <w:color w:val="auto"/>
                <w:szCs w:val="21"/>
              </w:rPr>
              <w:t>地下水环境》（</w:t>
            </w:r>
            <w:r>
              <w:rPr>
                <w:rFonts w:hint="default"/>
                <w:bCs/>
                <w:color w:val="auto"/>
                <w:szCs w:val="21"/>
              </w:rPr>
              <w:t>HJ610-2016</w:t>
            </w:r>
            <w:r>
              <w:rPr>
                <w:rFonts w:hint="default" w:hAnsi="宋体"/>
                <w:bCs/>
                <w:color w:val="auto"/>
                <w:szCs w:val="21"/>
              </w:rPr>
              <w:t>）</w:t>
            </w:r>
            <w:r>
              <w:rPr>
                <w:rFonts w:hint="default" w:hAnsi="宋体"/>
                <w:color w:val="auto"/>
                <w:szCs w:val="21"/>
              </w:rPr>
              <w:t>防渗分区要求，在防渗工程施工时留存影像资料。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48"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hAnsi="宋体"/>
                <w:color w:val="auto"/>
                <w:kern w:val="0"/>
                <w:szCs w:val="21"/>
              </w:rPr>
              <w:t>生态保护</w:t>
            </w:r>
          </w:p>
        </w:tc>
        <w:tc>
          <w:tcPr>
            <w:tcW w:w="2310"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临时占地恢复</w:t>
            </w:r>
          </w:p>
        </w:tc>
        <w:tc>
          <w:tcPr>
            <w:tcW w:w="6029" w:type="dxa"/>
            <w:noWrap w:val="0"/>
            <w:vAlign w:val="center"/>
          </w:tcPr>
          <w:p>
            <w:pPr>
              <w:keepNext w:val="0"/>
              <w:keepLines w:val="0"/>
              <w:suppressLineNumbers w:val="0"/>
              <w:spacing w:before="0" w:beforeAutospacing="0" w:after="0" w:afterAutospacing="0" w:line="240" w:lineRule="exact"/>
              <w:ind w:left="0" w:right="0"/>
              <w:rPr>
                <w:rFonts w:hint="default"/>
                <w:color w:val="auto"/>
              </w:rPr>
            </w:pPr>
            <w:r>
              <w:rPr>
                <w:rFonts w:hint="default" w:hAnsi="宋体"/>
                <w:color w:val="auto"/>
                <w:kern w:val="0"/>
                <w:szCs w:val="21"/>
              </w:rPr>
              <w:t>对临时占地进行表土留存，分层回填，整平翻松，耕地复垦。</w:t>
            </w:r>
            <w:r>
              <w:rPr>
                <w:rFonts w:hint="default" w:hAnsi="宋体"/>
                <w:color w:val="auto"/>
                <w:szCs w:val="21"/>
              </w:rPr>
              <w:t>临时占地的生态恢复需要留有恢复前后对比的影像资料。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48" w:type="dxa"/>
            <w:vMerge w:val="continue"/>
            <w:noWrap w:val="0"/>
            <w:vAlign w:val="center"/>
          </w:tcPr>
          <w:p>
            <w:pPr>
              <w:keepNext w:val="0"/>
              <w:keepLines w:val="0"/>
              <w:suppressLineNumbers w:val="0"/>
              <w:spacing w:before="0" w:beforeAutospacing="0" w:after="0" w:afterAutospacing="0" w:line="240" w:lineRule="exact"/>
              <w:ind w:left="0" w:right="0"/>
              <w:jc w:val="left"/>
              <w:rPr>
                <w:rFonts w:hint="default"/>
                <w:color w:val="auto"/>
                <w:kern w:val="0"/>
                <w:szCs w:val="21"/>
              </w:rPr>
            </w:pPr>
          </w:p>
        </w:tc>
        <w:tc>
          <w:tcPr>
            <w:tcW w:w="2310"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永久占地补偿</w:t>
            </w:r>
          </w:p>
        </w:tc>
        <w:tc>
          <w:tcPr>
            <w:tcW w:w="6029" w:type="dxa"/>
            <w:noWrap w:val="0"/>
            <w:vAlign w:val="center"/>
          </w:tcPr>
          <w:p>
            <w:pPr>
              <w:keepNext w:val="0"/>
              <w:keepLines w:val="0"/>
              <w:suppressLineNumbers w:val="0"/>
              <w:spacing w:before="0" w:beforeAutospacing="0" w:after="0" w:afterAutospacing="0" w:line="240" w:lineRule="exact"/>
              <w:ind w:left="0" w:right="0"/>
              <w:rPr>
                <w:rFonts w:hint="default"/>
                <w:color w:val="auto"/>
                <w:kern w:val="0"/>
                <w:szCs w:val="21"/>
              </w:rPr>
            </w:pPr>
            <w:r>
              <w:rPr>
                <w:rFonts w:hint="default" w:hAnsi="宋体"/>
                <w:color w:val="auto"/>
                <w:szCs w:val="21"/>
              </w:rPr>
              <w:t>对永久占用的耕地进行补偿，专款用于开垦新的耕地。</w:t>
            </w:r>
          </w:p>
        </w:tc>
      </w:tr>
    </w:tbl>
    <w:p>
      <w:pPr>
        <w:pStyle w:val="7"/>
        <w:numPr>
          <w:ilvl w:val="4"/>
          <w:numId w:val="4"/>
        </w:numPr>
        <w:bidi w:val="0"/>
        <w:rPr>
          <w:snapToGrid w:val="0"/>
          <w:color w:val="auto"/>
          <w:kern w:val="0"/>
          <w:sz w:val="28"/>
          <w:szCs w:val="28"/>
        </w:rPr>
      </w:pPr>
      <w:r>
        <w:rPr>
          <w:rFonts w:hAnsi="宋体"/>
          <w:snapToGrid w:val="0"/>
          <w:color w:val="auto"/>
          <w:kern w:val="0"/>
          <w:sz w:val="28"/>
          <w:szCs w:val="28"/>
        </w:rPr>
        <w:t>竣工验收监测与调查主要内容</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17"/>
        <w:gridCol w:w="67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noWrap w:val="0"/>
            <w:vAlign w:val="center"/>
          </w:tcPr>
          <w:p>
            <w:pPr>
              <w:keepNext w:val="0"/>
              <w:keepLines w:val="0"/>
              <w:suppressLineNumbers w:val="0"/>
              <w:adjustRightInd w:val="0"/>
              <w:snapToGrid w:val="0"/>
              <w:spacing w:before="0" w:beforeAutospacing="0" w:after="0" w:afterAutospacing="0" w:line="240" w:lineRule="atLeast"/>
              <w:ind w:left="0" w:right="0" w:firstLine="422"/>
              <w:jc w:val="center"/>
              <w:rPr>
                <w:rFonts w:hint="default"/>
                <w:snapToGrid w:val="0"/>
                <w:color w:val="auto"/>
                <w:kern w:val="0"/>
                <w:szCs w:val="21"/>
              </w:rPr>
            </w:pPr>
            <w:r>
              <w:rPr>
                <w:rFonts w:hint="default" w:hAnsi="宋体"/>
                <w:snapToGrid w:val="0"/>
                <w:color w:val="auto"/>
                <w:kern w:val="0"/>
                <w:szCs w:val="21"/>
              </w:rPr>
              <w:t>项目</w:t>
            </w: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firstLine="422"/>
              <w:jc w:val="center"/>
              <w:rPr>
                <w:rFonts w:hint="default"/>
                <w:snapToGrid w:val="0"/>
                <w:color w:val="auto"/>
                <w:kern w:val="0"/>
                <w:szCs w:val="21"/>
              </w:rPr>
            </w:pPr>
            <w:r>
              <w:rPr>
                <w:rFonts w:hint="default" w:hAnsi="宋体"/>
                <w:snapToGrid w:val="0"/>
                <w:color w:val="auto"/>
                <w:kern w:val="0"/>
                <w:szCs w:val="21"/>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restart"/>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环境保护管理检查</w:t>
            </w: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项目各阶段环境保护法律、法规、规章制度的执行情况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环境保护审批手续及环境保护档案资料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环保组织机构及规章管理制度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eastAsia" w:hAnsi="宋体"/>
                <w:snapToGrid w:val="0"/>
                <w:color w:val="auto"/>
                <w:kern w:val="0"/>
                <w:szCs w:val="21"/>
              </w:rPr>
              <w:t>本工程占地</w:t>
            </w:r>
            <w:r>
              <w:rPr>
                <w:rFonts w:hint="default" w:hAnsi="宋体"/>
                <w:snapToGrid w:val="0"/>
                <w:color w:val="auto"/>
                <w:kern w:val="0"/>
                <w:szCs w:val="21"/>
              </w:rPr>
              <w:t>生态恢复、占地补偿等措施的落实情况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本项目环评报告及其批复提出的环保措施落实情况及其效果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本项目事故风险的环保应急计划，包括物质配备、防范措施，应急处置等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施工期扰民现象的调查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spacing w:before="0" w:beforeAutospacing="0" w:after="0" w:afterAutospacing="0" w:line="240" w:lineRule="exact"/>
              <w:ind w:left="0" w:right="0"/>
              <w:rPr>
                <w:rFonts w:hint="default"/>
                <w:snapToGrid w:val="0"/>
                <w:color w:val="auto"/>
                <w:kern w:val="0"/>
                <w:szCs w:val="21"/>
              </w:rPr>
            </w:pPr>
            <w:r>
              <w:rPr>
                <w:rFonts w:hint="default" w:hAnsi="宋体"/>
                <w:snapToGrid w:val="0"/>
                <w:color w:val="auto"/>
                <w:kern w:val="0"/>
                <w:szCs w:val="21"/>
              </w:rPr>
              <w:t>固体废物种类、产生量、处理处置情况、综合利用情况；危险废物</w:t>
            </w:r>
            <w:r>
              <w:rPr>
                <w:rFonts w:hint="default" w:hAnsi="宋体"/>
                <w:color w:val="auto"/>
                <w:szCs w:val="21"/>
              </w:rPr>
              <w:t>转移和处置的管理情况，执行危险废物转移联单制度情况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restart"/>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污染物达标排放监测</w:t>
            </w: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施工场界扬尘达标排放监测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2"/>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施工场界噪声达标排放监测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环境保护敏感点环境质量监测</w:t>
            </w:r>
          </w:p>
        </w:tc>
        <w:tc>
          <w:tcPr>
            <w:tcW w:w="6770" w:type="dxa"/>
            <w:noWrap w:val="0"/>
            <w:vAlign w:val="center"/>
          </w:tcPr>
          <w:p>
            <w:pPr>
              <w:keepNext w:val="0"/>
              <w:keepLines w:val="0"/>
              <w:suppressLineNumbers w:val="0"/>
              <w:spacing w:before="0" w:beforeAutospacing="0" w:after="0" w:afterAutospacing="0"/>
              <w:ind w:left="0" w:right="0"/>
              <w:rPr>
                <w:rFonts w:hint="default"/>
                <w:color w:val="auto"/>
              </w:rPr>
            </w:pPr>
            <w:r>
              <w:rPr>
                <w:rFonts w:hint="default" w:hAnsi="宋体"/>
                <w:color w:val="auto"/>
                <w:kern w:val="0"/>
                <w:szCs w:val="21"/>
              </w:rPr>
              <w:t>油田开发区内的地下水、土壤及生态质量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517" w:type="dxa"/>
            <w:vMerge w:val="restart"/>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生态调查主要内容</w:t>
            </w: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项目在施工期落实环境影响评价、工程</w:t>
            </w:r>
            <w:r>
              <w:rPr>
                <w:rFonts w:hint="default" w:hAnsi="宋体"/>
                <w:color w:val="auto"/>
                <w:szCs w:val="21"/>
              </w:rPr>
              <w:t>设</w:t>
            </w:r>
            <w:r>
              <w:rPr>
                <w:rFonts w:hint="default" w:hAnsi="宋体"/>
                <w:snapToGrid w:val="0"/>
                <w:color w:val="auto"/>
                <w:kern w:val="0"/>
                <w:szCs w:val="21"/>
              </w:rPr>
              <w:t>计文件以及各级环境保护行政主管部门批复文件中生态保护措施的情况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永久占地补偿</w:t>
            </w:r>
            <w:r>
              <w:rPr>
                <w:rFonts w:hint="eastAsia"/>
                <w:snapToGrid w:val="0"/>
                <w:color w:val="auto"/>
                <w:kern w:val="0"/>
                <w:szCs w:val="21"/>
                <w:lang w:val="en-US" w:eastAsia="zh-CN"/>
              </w:rPr>
              <w:t>1.6</w:t>
            </w:r>
            <w:r>
              <w:rPr>
                <w:rFonts w:hint="default"/>
                <w:snapToGrid w:val="0"/>
                <w:color w:val="auto"/>
                <w:kern w:val="0"/>
                <w:szCs w:val="21"/>
              </w:rPr>
              <w:t>hm</w:t>
            </w:r>
            <w:r>
              <w:rPr>
                <w:rFonts w:hint="default"/>
                <w:snapToGrid w:val="0"/>
                <w:color w:val="auto"/>
                <w:kern w:val="0"/>
                <w:szCs w:val="21"/>
                <w:vertAlign w:val="superscript"/>
              </w:rPr>
              <w:t>2</w:t>
            </w:r>
            <w:r>
              <w:rPr>
                <w:rFonts w:hint="default" w:hAnsi="宋体"/>
                <w:snapToGrid w:val="0"/>
                <w:color w:val="auto"/>
                <w:kern w:val="0"/>
                <w:szCs w:val="21"/>
              </w:rPr>
              <w:t>、临时占地恢复</w:t>
            </w:r>
            <w:r>
              <w:rPr>
                <w:rFonts w:hint="eastAsia" w:hAnsi="宋体"/>
                <w:snapToGrid w:val="0"/>
                <w:color w:val="auto"/>
                <w:kern w:val="0"/>
                <w:szCs w:val="21"/>
                <w:lang w:val="en-US" w:eastAsia="zh-CN"/>
              </w:rPr>
              <w:t>11.84</w:t>
            </w:r>
            <w:r>
              <w:rPr>
                <w:rFonts w:hint="default"/>
                <w:snapToGrid w:val="0"/>
                <w:color w:val="auto"/>
                <w:kern w:val="0"/>
                <w:szCs w:val="21"/>
              </w:rPr>
              <w:t>hm</w:t>
            </w:r>
            <w:r>
              <w:rPr>
                <w:rFonts w:hint="default"/>
                <w:snapToGrid w:val="0"/>
                <w:color w:val="auto"/>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517" w:type="dxa"/>
            <w:vMerge w:val="continue"/>
            <w:noWrap w:val="0"/>
            <w:vAlign w:val="center"/>
          </w:tcPr>
          <w:p>
            <w:pPr>
              <w:keepNext w:val="0"/>
              <w:keepLines w:val="0"/>
              <w:suppressLineNumbers w:val="0"/>
              <w:adjustRightInd w:val="0"/>
              <w:snapToGrid w:val="0"/>
              <w:spacing w:before="0" w:beforeAutospacing="0" w:after="0" w:afterAutospacing="0" w:line="240" w:lineRule="atLeast"/>
              <w:ind w:left="0" w:right="0" w:firstLine="420"/>
              <w:rPr>
                <w:rFonts w:hint="default"/>
                <w:snapToGrid w:val="0"/>
                <w:color w:val="auto"/>
                <w:kern w:val="0"/>
                <w:szCs w:val="21"/>
              </w:rPr>
            </w:pPr>
          </w:p>
        </w:tc>
        <w:tc>
          <w:tcPr>
            <w:tcW w:w="6770" w:type="dxa"/>
            <w:noWrap w:val="0"/>
            <w:vAlign w:val="center"/>
          </w:tcPr>
          <w:p>
            <w:pPr>
              <w:keepNext w:val="0"/>
              <w:keepLines w:val="0"/>
              <w:suppressLineNumbers w:val="0"/>
              <w:adjustRightInd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针对环境破坏或潜在环境影响提出补救措施的落实情况</w:t>
            </w:r>
          </w:p>
        </w:tc>
      </w:tr>
      <w:bookmarkEnd w:id="634"/>
      <w:bookmarkEnd w:id="635"/>
      <w:bookmarkEnd w:id="636"/>
    </w:tbl>
    <w:p>
      <w:pPr>
        <w:pStyle w:val="4"/>
        <w:numPr>
          <w:ilvl w:val="1"/>
          <w:numId w:val="4"/>
        </w:numPr>
        <w:bidi w:val="0"/>
        <w:rPr>
          <w:color w:val="auto"/>
        </w:rPr>
      </w:pPr>
      <w:bookmarkStart w:id="639" w:name="_Toc189535454"/>
      <w:bookmarkStart w:id="640" w:name="_Toc196215845"/>
      <w:bookmarkStart w:id="641" w:name="_Toc327946721"/>
      <w:bookmarkStart w:id="642" w:name="_Toc96083879"/>
      <w:bookmarkStart w:id="643" w:name="_Toc468372261"/>
      <w:bookmarkStart w:id="644" w:name="_Toc11163"/>
      <w:bookmarkStart w:id="645" w:name="_Toc189535441"/>
      <w:bookmarkStart w:id="646" w:name="_Toc196215822"/>
      <w:r>
        <w:rPr>
          <w:color w:val="auto"/>
        </w:rPr>
        <w:t>环保投资估算</w:t>
      </w:r>
      <w:bookmarkEnd w:id="639"/>
      <w:bookmarkEnd w:id="640"/>
      <w:bookmarkEnd w:id="641"/>
      <w:bookmarkEnd w:id="642"/>
      <w:bookmarkEnd w:id="643"/>
      <w:bookmarkEnd w:id="644"/>
    </w:p>
    <w:p>
      <w:pPr>
        <w:snapToGrid w:val="0"/>
        <w:spacing w:line="480" w:lineRule="exact"/>
        <w:ind w:firstLine="560" w:firstLineChars="200"/>
        <w:rPr>
          <w:snapToGrid w:val="0"/>
          <w:color w:val="auto"/>
          <w:kern w:val="0"/>
          <w:sz w:val="28"/>
          <w:szCs w:val="28"/>
        </w:rPr>
      </w:pPr>
      <w:r>
        <w:rPr>
          <w:rFonts w:hint="eastAsia" w:hAnsi="宋体"/>
          <w:snapToGrid w:val="0"/>
          <w:color w:val="auto"/>
          <w:kern w:val="0"/>
          <w:sz w:val="28"/>
          <w:szCs w:val="28"/>
        </w:rPr>
        <w:t>本工程总投资252726万元，其中环保投资</w:t>
      </w:r>
      <w:r>
        <w:rPr>
          <w:rFonts w:hint="eastAsia" w:hAnsi="宋体"/>
          <w:snapToGrid w:val="0"/>
          <w:color w:val="auto"/>
          <w:kern w:val="0"/>
          <w:sz w:val="28"/>
          <w:szCs w:val="28"/>
          <w:lang w:val="en-US" w:eastAsia="zh-CN"/>
        </w:rPr>
        <w:t>1655.06</w:t>
      </w:r>
      <w:r>
        <w:rPr>
          <w:rFonts w:hint="eastAsia" w:hAnsi="宋体"/>
          <w:snapToGrid w:val="0"/>
          <w:color w:val="auto"/>
          <w:kern w:val="0"/>
          <w:sz w:val="28"/>
          <w:szCs w:val="28"/>
        </w:rPr>
        <w:t>万元，环保投资占总投资的0.</w:t>
      </w:r>
      <w:r>
        <w:rPr>
          <w:rFonts w:hint="eastAsia" w:hAnsi="宋体"/>
          <w:snapToGrid w:val="0"/>
          <w:color w:val="auto"/>
          <w:kern w:val="0"/>
          <w:sz w:val="28"/>
          <w:szCs w:val="28"/>
          <w:lang w:val="en-US" w:eastAsia="zh-CN"/>
        </w:rPr>
        <w:t>65</w:t>
      </w:r>
      <w:r>
        <w:rPr>
          <w:rFonts w:hAnsi="宋体"/>
          <w:snapToGrid w:val="0"/>
          <w:color w:val="auto"/>
          <w:kern w:val="0"/>
          <w:sz w:val="28"/>
          <w:szCs w:val="28"/>
        </w:rPr>
        <w:t>%</w:t>
      </w:r>
      <w:r>
        <w:rPr>
          <w:rFonts w:hint="eastAsia" w:hAnsi="宋体"/>
          <w:snapToGrid w:val="0"/>
          <w:color w:val="auto"/>
          <w:kern w:val="0"/>
          <w:sz w:val="28"/>
          <w:szCs w:val="28"/>
        </w:rPr>
        <w:t>；工程环保投资主要用于钻井作业期间废水回收、固废处理、井场防渗及作业结束后的场地恢复工作，</w:t>
      </w:r>
      <w:r>
        <w:rPr>
          <w:rFonts w:hAnsi="宋体"/>
          <w:snapToGrid w:val="0"/>
          <w:color w:val="auto"/>
          <w:kern w:val="0"/>
          <w:sz w:val="28"/>
          <w:szCs w:val="28"/>
        </w:rPr>
        <w:t>本工程环保投资情况详见表</w:t>
      </w:r>
      <w:r>
        <w:rPr>
          <w:rFonts w:hint="eastAsia"/>
          <w:bCs/>
          <w:snapToGrid w:val="0"/>
          <w:color w:val="auto"/>
          <w:kern w:val="0"/>
          <w:sz w:val="28"/>
          <w:szCs w:val="28"/>
        </w:rPr>
        <w:t>6</w:t>
      </w:r>
      <w:r>
        <w:rPr>
          <w:bCs/>
          <w:snapToGrid w:val="0"/>
          <w:color w:val="auto"/>
          <w:kern w:val="0"/>
          <w:sz w:val="28"/>
          <w:szCs w:val="28"/>
        </w:rPr>
        <w:t>.3</w:t>
      </w:r>
      <w:r>
        <w:rPr>
          <w:snapToGrid w:val="0"/>
          <w:color w:val="auto"/>
          <w:kern w:val="0"/>
          <w:sz w:val="28"/>
          <w:szCs w:val="28"/>
        </w:rPr>
        <w:t>-1</w:t>
      </w:r>
      <w:r>
        <w:rPr>
          <w:rFonts w:hAnsi="宋体"/>
          <w:snapToGrid w:val="0"/>
          <w:color w:val="auto"/>
          <w:kern w:val="0"/>
          <w:sz w:val="28"/>
          <w:szCs w:val="28"/>
        </w:rPr>
        <w:t>。</w:t>
      </w:r>
    </w:p>
    <w:p>
      <w:pPr>
        <w:pStyle w:val="7"/>
        <w:numPr>
          <w:ilvl w:val="4"/>
          <w:numId w:val="4"/>
        </w:numPr>
        <w:bidi w:val="0"/>
        <w:rPr>
          <w:snapToGrid w:val="0"/>
          <w:color w:val="auto"/>
          <w:kern w:val="0"/>
          <w:sz w:val="28"/>
          <w:szCs w:val="28"/>
        </w:rPr>
      </w:pPr>
      <w:r>
        <w:rPr>
          <w:rFonts w:hAnsi="宋体"/>
          <w:snapToGrid w:val="0"/>
          <w:color w:val="auto"/>
          <w:kern w:val="0"/>
          <w:sz w:val="28"/>
          <w:szCs w:val="28"/>
        </w:rPr>
        <w:t>环保工程投资估算情况</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69"/>
        <w:gridCol w:w="1155"/>
        <w:gridCol w:w="5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kern w:val="0"/>
                <w:sz w:val="21"/>
                <w:szCs w:val="21"/>
              </w:rPr>
              <w:t>序号</w:t>
            </w:r>
          </w:p>
        </w:tc>
        <w:tc>
          <w:tcPr>
            <w:tcW w:w="1669"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kern w:val="0"/>
                <w:sz w:val="21"/>
                <w:szCs w:val="21"/>
              </w:rPr>
              <w:t>环保措施</w:t>
            </w:r>
          </w:p>
        </w:tc>
        <w:tc>
          <w:tcPr>
            <w:tcW w:w="1155"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kern w:val="0"/>
                <w:sz w:val="21"/>
                <w:szCs w:val="21"/>
              </w:rPr>
              <w:t>投资估算（万元）</w:t>
            </w:r>
          </w:p>
        </w:tc>
        <w:tc>
          <w:tcPr>
            <w:tcW w:w="5571"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3" w:hRule="exac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1</w:t>
            </w:r>
          </w:p>
        </w:tc>
        <w:tc>
          <w:tcPr>
            <w:tcW w:w="1669"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sz w:val="21"/>
                <w:szCs w:val="21"/>
              </w:rPr>
            </w:pPr>
            <w:r>
              <w:rPr>
                <w:rFonts w:hint="default" w:ascii="Times New Roman" w:hAnsi="Times New Roman"/>
                <w:color w:val="auto"/>
                <w:sz w:val="21"/>
                <w:szCs w:val="21"/>
              </w:rPr>
              <w:t>固废处置</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1500</w:t>
            </w:r>
          </w:p>
        </w:tc>
        <w:tc>
          <w:tcPr>
            <w:tcW w:w="5571" w:type="dxa"/>
            <w:noWrap w:val="0"/>
            <w:vAlign w:val="center"/>
          </w:tcPr>
          <w:p>
            <w:pPr>
              <w:keepNext w:val="0"/>
              <w:keepLines w:val="0"/>
              <w:suppressLineNumbers w:val="0"/>
              <w:spacing w:before="0" w:beforeAutospacing="0" w:after="0" w:afterAutospacing="0" w:line="240" w:lineRule="exact"/>
              <w:ind w:left="0" w:right="0"/>
              <w:rPr>
                <w:rFonts w:hint="default" w:ascii="Times New Roman"/>
                <w:color w:val="auto"/>
                <w:sz w:val="21"/>
                <w:szCs w:val="21"/>
              </w:rPr>
            </w:pPr>
            <w:r>
              <w:rPr>
                <w:rFonts w:hint="default" w:ascii="Times New Roman"/>
                <w:color w:val="auto"/>
                <w:sz w:val="21"/>
                <w:szCs w:val="21"/>
              </w:rPr>
              <w:t>废弃钻井液、钻井岩屑</w:t>
            </w:r>
            <w:r>
              <w:rPr>
                <w:rFonts w:hint="eastAsia" w:ascii="Times New Roman"/>
                <w:color w:val="auto"/>
                <w:sz w:val="21"/>
                <w:szCs w:val="21"/>
              </w:rPr>
              <w:t>在井场进行固液分离处理。分离出的液相处理达标后循环利用，无法利用的，就近拉运至处理站集中处置。分离出的固相废弃物，就近拉运至大庆市采油八厂废弃钻井液集中处理站统一处理，泥饼统一收集后转运至大庆油田采油八厂指定地点，作为油田铺路、铺垫井场等综合利用。不排入外环境</w:t>
            </w:r>
            <w:r>
              <w:rPr>
                <w:rFonts w:hint="default" w:ascii="Times New Roman"/>
                <w:color w:val="auto"/>
                <w:sz w:val="21"/>
                <w:szCs w:val="21"/>
              </w:rPr>
              <w:t>；氢氮化钾包装袋送有资质的危废处理单位处理；其余材料的包装袋和废弃防渗布送大庆市岗源环保科技有限责任公司工业废弃物处置中心处置；生活垃圾统一收集后交当地环卫部门处理。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2</w:t>
            </w:r>
          </w:p>
        </w:tc>
        <w:tc>
          <w:tcPr>
            <w:tcW w:w="1669"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kern w:val="0"/>
                <w:sz w:val="21"/>
                <w:szCs w:val="21"/>
              </w:rPr>
            </w:pPr>
            <w:r>
              <w:rPr>
                <w:rFonts w:hint="default" w:ascii="Times New Roman"/>
                <w:color w:val="auto"/>
                <w:kern w:val="0"/>
                <w:sz w:val="21"/>
                <w:szCs w:val="21"/>
              </w:rPr>
              <w:t>生活污水池</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5571"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default"/>
                <w:color w:val="auto"/>
                <w:kern w:val="0"/>
                <w:szCs w:val="21"/>
              </w:rPr>
            </w:pPr>
            <w:r>
              <w:rPr>
                <w:rFonts w:hint="default"/>
                <w:color w:val="auto"/>
                <w:kern w:val="0"/>
                <w:szCs w:val="21"/>
              </w:rPr>
              <w:t>建设一座生活污水池，用于生活污水的收集。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3</w:t>
            </w:r>
          </w:p>
        </w:tc>
        <w:tc>
          <w:tcPr>
            <w:tcW w:w="1669"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sz w:val="21"/>
                <w:szCs w:val="21"/>
              </w:rPr>
            </w:pPr>
            <w:r>
              <w:rPr>
                <w:rFonts w:hint="default" w:ascii="Times New Roman"/>
                <w:color w:val="auto"/>
                <w:kern w:val="0"/>
                <w:sz w:val="21"/>
                <w:szCs w:val="21"/>
              </w:rPr>
              <w:t>放喷池</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5571"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default"/>
                <w:color w:val="auto"/>
                <w:kern w:val="0"/>
                <w:szCs w:val="21"/>
              </w:rPr>
            </w:pPr>
            <w:r>
              <w:rPr>
                <w:rFonts w:hint="default"/>
                <w:color w:val="auto"/>
                <w:kern w:val="0"/>
                <w:szCs w:val="21"/>
              </w:rPr>
              <w:t>建设一座放喷池，用于</w:t>
            </w:r>
            <w:r>
              <w:rPr>
                <w:rFonts w:hint="eastAsia"/>
                <w:color w:val="auto"/>
                <w:kern w:val="0"/>
                <w:szCs w:val="21"/>
              </w:rPr>
              <w:t>井喷时</w:t>
            </w:r>
            <w:r>
              <w:rPr>
                <w:rFonts w:hint="default"/>
                <w:color w:val="auto"/>
                <w:kern w:val="0"/>
                <w:szCs w:val="21"/>
              </w:rPr>
              <w:t>放空废气燃烧使用。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4</w:t>
            </w:r>
          </w:p>
        </w:tc>
        <w:tc>
          <w:tcPr>
            <w:tcW w:w="1669"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kern w:val="0"/>
                <w:sz w:val="21"/>
                <w:szCs w:val="21"/>
              </w:rPr>
            </w:pPr>
            <w:r>
              <w:rPr>
                <w:rFonts w:hint="default" w:ascii="Times New Roman"/>
                <w:color w:val="auto"/>
                <w:kern w:val="0"/>
                <w:sz w:val="21"/>
                <w:szCs w:val="21"/>
              </w:rPr>
              <w:t>减振设施</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5571"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default"/>
                <w:color w:val="auto"/>
                <w:kern w:val="0"/>
                <w:szCs w:val="21"/>
              </w:rPr>
            </w:pPr>
            <w:r>
              <w:rPr>
                <w:rFonts w:hint="default" w:hAnsi="宋体"/>
                <w:color w:val="auto"/>
                <w:kern w:val="0"/>
                <w:szCs w:val="21"/>
              </w:rPr>
              <w:t>钻机、柴油机等设备设置减震基座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5</w:t>
            </w:r>
          </w:p>
        </w:tc>
        <w:tc>
          <w:tcPr>
            <w:tcW w:w="1669"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color w:val="auto"/>
                <w:sz w:val="21"/>
                <w:szCs w:val="21"/>
              </w:rPr>
            </w:pPr>
            <w:r>
              <w:rPr>
                <w:rFonts w:hint="default" w:ascii="Times New Roman"/>
                <w:color w:val="auto"/>
                <w:sz w:val="21"/>
                <w:szCs w:val="21"/>
              </w:rPr>
              <w:t>扬尘控制</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5571" w:type="dxa"/>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default"/>
                <w:color w:val="auto"/>
                <w:kern w:val="0"/>
                <w:szCs w:val="21"/>
              </w:rPr>
            </w:pPr>
            <w:r>
              <w:rPr>
                <w:rFonts w:hint="default"/>
                <w:color w:val="auto"/>
                <w:kern w:val="0"/>
                <w:szCs w:val="21"/>
              </w:rPr>
              <w:t>洒水抑尘。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6</w:t>
            </w:r>
          </w:p>
        </w:tc>
        <w:tc>
          <w:tcPr>
            <w:tcW w:w="1669"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sz w:val="21"/>
                <w:szCs w:val="21"/>
              </w:rPr>
            </w:pPr>
            <w:r>
              <w:rPr>
                <w:rFonts w:hint="default" w:ascii="Times New Roman" w:hAnsi="Times New Roman"/>
                <w:color w:val="auto"/>
                <w:kern w:val="0"/>
                <w:sz w:val="21"/>
                <w:szCs w:val="21"/>
              </w:rPr>
              <w:t>地下水分区防渗</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5571" w:type="dxa"/>
            <w:noWrap w:val="0"/>
            <w:vAlign w:val="center"/>
          </w:tcPr>
          <w:p>
            <w:pPr>
              <w:keepNext w:val="0"/>
              <w:keepLines w:val="0"/>
              <w:suppressLineNumbers w:val="0"/>
              <w:spacing w:before="0" w:beforeAutospacing="0" w:after="0" w:afterAutospacing="0" w:line="240" w:lineRule="exact"/>
              <w:ind w:left="0" w:right="0"/>
              <w:rPr>
                <w:rFonts w:hint="default" w:ascii="Times New Roman"/>
                <w:color w:val="auto"/>
                <w:sz w:val="21"/>
                <w:szCs w:val="21"/>
              </w:rPr>
            </w:pPr>
            <w:r>
              <w:rPr>
                <w:rFonts w:hint="default" w:ascii="Times New Roman"/>
                <w:color w:val="auto"/>
                <w:sz w:val="21"/>
                <w:szCs w:val="21"/>
              </w:rPr>
              <w:t>井场地面进行平整压实，做简单防渗处理；钢制泥浆槽、生活污水池、材料房、机修房</w:t>
            </w:r>
            <w:r>
              <w:rPr>
                <w:rFonts w:hint="eastAsia"/>
                <w:color w:val="auto"/>
                <w:sz w:val="21"/>
                <w:szCs w:val="21"/>
              </w:rPr>
              <w:t>、计量池、储液罐</w:t>
            </w:r>
            <w:r>
              <w:rPr>
                <w:rFonts w:hint="default" w:ascii="Times New Roman"/>
                <w:color w:val="auto"/>
                <w:sz w:val="21"/>
                <w:szCs w:val="21"/>
              </w:rPr>
              <w:t>进行一般防渗，采用单层高密度聚乙烯（HDPE）土工膜（膜厚</w:t>
            </w:r>
            <w:r>
              <w:rPr>
                <w:rFonts w:hint="eastAsia"/>
                <w:color w:val="auto"/>
                <w:sz w:val="21"/>
                <w:szCs w:val="21"/>
                <w:lang w:val="en-US" w:eastAsia="zh-CN"/>
              </w:rPr>
              <w:t>2</w:t>
            </w:r>
            <w:r>
              <w:rPr>
                <w:rFonts w:hint="default" w:ascii="Times New Roman"/>
                <w:color w:val="auto"/>
                <w:sz w:val="21"/>
                <w:szCs w:val="21"/>
              </w:rPr>
              <w:t>mm，其渗透系数小于1.0×10</w:t>
            </w:r>
            <w:r>
              <w:rPr>
                <w:rFonts w:hint="default" w:ascii="Times New Roman"/>
                <w:color w:val="auto"/>
                <w:sz w:val="21"/>
                <w:szCs w:val="21"/>
                <w:vertAlign w:val="superscript"/>
              </w:rPr>
              <w:t>-1</w:t>
            </w:r>
            <w:r>
              <w:rPr>
                <w:rFonts w:hint="eastAsia"/>
                <w:color w:val="auto"/>
                <w:sz w:val="21"/>
                <w:szCs w:val="21"/>
                <w:vertAlign w:val="superscript"/>
                <w:lang w:val="en-US" w:eastAsia="zh-CN"/>
              </w:rPr>
              <w:t>0</w:t>
            </w:r>
            <w:r>
              <w:rPr>
                <w:rFonts w:hint="default" w:ascii="Times New Roman"/>
                <w:color w:val="auto"/>
                <w:sz w:val="21"/>
                <w:szCs w:val="21"/>
              </w:rPr>
              <w:t>cm/s）构筑防渗层，防渗性能等效黏土防渗层Mb≥ 1.5m，K≤ 1.0×10</w:t>
            </w:r>
            <w:r>
              <w:rPr>
                <w:rFonts w:hint="default" w:ascii="Times New Roman"/>
                <w:color w:val="auto"/>
                <w:sz w:val="21"/>
                <w:szCs w:val="21"/>
                <w:vertAlign w:val="superscript"/>
              </w:rPr>
              <w:t>-7</w:t>
            </w:r>
            <w:r>
              <w:rPr>
                <w:rFonts w:hint="default" w:ascii="Times New Roman"/>
                <w:color w:val="auto"/>
                <w:sz w:val="21"/>
                <w:szCs w:val="21"/>
              </w:rPr>
              <w:t>cm/s的防渗性能；</w:t>
            </w:r>
          </w:p>
          <w:p>
            <w:pPr>
              <w:keepNext w:val="0"/>
              <w:keepLines w:val="0"/>
              <w:suppressLineNumbers w:val="0"/>
              <w:spacing w:before="0" w:beforeAutospacing="0" w:after="0" w:afterAutospacing="0" w:line="240" w:lineRule="exact"/>
              <w:ind w:left="0" w:right="0"/>
              <w:rPr>
                <w:rFonts w:hint="default" w:ascii="Times New Roman"/>
                <w:color w:val="auto"/>
                <w:sz w:val="21"/>
                <w:szCs w:val="21"/>
              </w:rPr>
            </w:pPr>
            <w:r>
              <w:rPr>
                <w:rFonts w:hint="default" w:ascii="Times New Roman"/>
                <w:color w:val="auto"/>
                <w:sz w:val="21"/>
                <w:szCs w:val="21"/>
              </w:rPr>
              <w:t>柴油罐区、放喷池进行重点防渗，采用双层高密度聚乙烯（HDPE）土工膜（膜厚</w:t>
            </w:r>
            <w:r>
              <w:rPr>
                <w:rFonts w:hint="eastAsia"/>
                <w:color w:val="auto"/>
                <w:sz w:val="21"/>
                <w:szCs w:val="21"/>
                <w:lang w:val="en-US" w:eastAsia="zh-CN"/>
              </w:rPr>
              <w:t>2</w:t>
            </w:r>
            <w:r>
              <w:rPr>
                <w:rFonts w:hint="default" w:ascii="Times New Roman"/>
                <w:color w:val="auto"/>
                <w:sz w:val="21"/>
                <w:szCs w:val="21"/>
              </w:rPr>
              <w:t>mm，其渗透系数小于1.0×10</w:t>
            </w:r>
            <w:r>
              <w:rPr>
                <w:rFonts w:hint="default" w:ascii="Times New Roman"/>
                <w:color w:val="auto"/>
                <w:sz w:val="21"/>
                <w:szCs w:val="21"/>
                <w:vertAlign w:val="superscript"/>
              </w:rPr>
              <w:t>-1</w:t>
            </w:r>
            <w:r>
              <w:rPr>
                <w:rFonts w:hint="eastAsia" w:ascii="Times New Roman"/>
                <w:color w:val="auto"/>
                <w:sz w:val="21"/>
                <w:szCs w:val="21"/>
                <w:vertAlign w:val="superscript"/>
              </w:rPr>
              <w:t>3</w:t>
            </w:r>
            <w:r>
              <w:rPr>
                <w:rFonts w:hint="default" w:ascii="Times New Roman"/>
                <w:color w:val="auto"/>
                <w:sz w:val="21"/>
                <w:szCs w:val="21"/>
              </w:rPr>
              <w:t>cm/s）构筑防渗层，防渗性能等效黏土防渗层Mb≥ 6.0m，K≤ 1.0×10</w:t>
            </w:r>
            <w:r>
              <w:rPr>
                <w:rFonts w:hint="default" w:ascii="Times New Roman"/>
                <w:color w:val="auto"/>
                <w:sz w:val="21"/>
                <w:szCs w:val="21"/>
                <w:vertAlign w:val="superscript"/>
              </w:rPr>
              <w:t>-7</w:t>
            </w:r>
            <w:r>
              <w:rPr>
                <w:rFonts w:hint="default" w:ascii="Times New Roman"/>
                <w:color w:val="auto"/>
                <w:sz w:val="21"/>
                <w:szCs w:val="21"/>
              </w:rPr>
              <w:t>cm/s的防渗性能。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7</w:t>
            </w:r>
          </w:p>
        </w:tc>
        <w:tc>
          <w:tcPr>
            <w:tcW w:w="1669"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sz w:val="21"/>
                <w:szCs w:val="21"/>
              </w:rPr>
            </w:pPr>
            <w:r>
              <w:rPr>
                <w:rFonts w:hint="default" w:ascii="Times New Roman" w:hAnsi="Times New Roman"/>
                <w:color w:val="auto"/>
                <w:sz w:val="21"/>
                <w:szCs w:val="21"/>
              </w:rPr>
              <w:t>临时占地恢复</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91.7</w:t>
            </w:r>
          </w:p>
        </w:tc>
        <w:tc>
          <w:tcPr>
            <w:tcW w:w="5571" w:type="dxa"/>
            <w:noWrap w:val="0"/>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snapToGrid w:val="0"/>
                <w:color w:val="auto"/>
                <w:kern w:val="0"/>
                <w:szCs w:val="21"/>
              </w:rPr>
              <w:t>临时占地恢复</w:t>
            </w:r>
            <w:r>
              <w:rPr>
                <w:rFonts w:hint="eastAsia"/>
                <w:snapToGrid w:val="0"/>
                <w:color w:val="auto"/>
                <w:kern w:val="0"/>
                <w:szCs w:val="21"/>
                <w:lang w:val="en-US" w:eastAsia="zh-CN"/>
              </w:rPr>
              <w:t>11.84</w:t>
            </w:r>
            <w:r>
              <w:rPr>
                <w:rFonts w:hint="default"/>
                <w:snapToGrid w:val="0"/>
                <w:color w:val="auto"/>
                <w:kern w:val="0"/>
                <w:szCs w:val="21"/>
              </w:rPr>
              <w:t>hm</w:t>
            </w:r>
            <w:r>
              <w:rPr>
                <w:rFonts w:hint="default"/>
                <w:snapToGrid w:val="0"/>
                <w:color w:val="auto"/>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6" w:type="dxa"/>
            <w:noWrap w:val="0"/>
            <w:vAlign w:val="center"/>
          </w:tcPr>
          <w:p>
            <w:pPr>
              <w:pStyle w:val="20"/>
              <w:keepNext w:val="0"/>
              <w:keepLines w:val="0"/>
              <w:suppressLineNumbers w:val="0"/>
              <w:spacing w:before="0" w:beforeAutospacing="0" w:after="0" w:afterAutospacing="0" w:line="240" w:lineRule="exact"/>
              <w:ind w:left="0" w:right="0"/>
              <w:jc w:val="center"/>
              <w:rPr>
                <w:rFonts w:hint="default" w:ascii="Times New Roman" w:hAnsi="Times New Roman"/>
                <w:color w:val="auto"/>
                <w:sz w:val="21"/>
                <w:szCs w:val="21"/>
              </w:rPr>
            </w:pPr>
            <w:r>
              <w:rPr>
                <w:rFonts w:hint="default" w:ascii="Times New Roman" w:hAnsi="Times New Roman"/>
                <w:color w:val="auto"/>
                <w:sz w:val="21"/>
                <w:szCs w:val="21"/>
              </w:rPr>
              <w:t>8</w:t>
            </w:r>
          </w:p>
        </w:tc>
        <w:tc>
          <w:tcPr>
            <w:tcW w:w="1669"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sz w:val="21"/>
                <w:szCs w:val="21"/>
              </w:rPr>
            </w:pPr>
            <w:r>
              <w:rPr>
                <w:rFonts w:hint="default" w:ascii="Times New Roman" w:hAnsi="Times New Roman"/>
                <w:color w:val="auto"/>
                <w:sz w:val="21"/>
                <w:szCs w:val="21"/>
              </w:rPr>
              <w:t>永久占地补偿</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3.36</w:t>
            </w:r>
          </w:p>
        </w:tc>
        <w:tc>
          <w:tcPr>
            <w:tcW w:w="5571" w:type="dxa"/>
            <w:noWrap w:val="0"/>
            <w:vAlign w:val="center"/>
          </w:tcPr>
          <w:p>
            <w:pPr>
              <w:keepNext w:val="0"/>
              <w:keepLines w:val="0"/>
              <w:suppressLineNumbers w:val="0"/>
              <w:spacing w:before="0" w:beforeAutospacing="0" w:after="0" w:afterAutospacing="0" w:line="240" w:lineRule="exact"/>
              <w:ind w:left="0" w:right="0"/>
              <w:rPr>
                <w:rFonts w:hint="default"/>
                <w:color w:val="auto"/>
                <w:szCs w:val="21"/>
              </w:rPr>
            </w:pPr>
            <w:r>
              <w:rPr>
                <w:rFonts w:hint="default"/>
                <w:snapToGrid w:val="0"/>
                <w:color w:val="auto"/>
                <w:kern w:val="0"/>
                <w:szCs w:val="21"/>
              </w:rPr>
              <w:t>永久占地补偿0.1</w:t>
            </w:r>
            <w:r>
              <w:rPr>
                <w:rFonts w:hint="eastAsia"/>
                <w:snapToGrid w:val="0"/>
                <w:color w:val="auto"/>
                <w:kern w:val="0"/>
                <w:szCs w:val="21"/>
              </w:rPr>
              <w:t>6</w:t>
            </w:r>
            <w:r>
              <w:rPr>
                <w:rFonts w:hint="default"/>
                <w:snapToGrid w:val="0"/>
                <w:color w:val="auto"/>
                <w:kern w:val="0"/>
                <w:szCs w:val="21"/>
              </w:rPr>
              <w:t>hm</w:t>
            </w:r>
            <w:r>
              <w:rPr>
                <w:rFonts w:hint="default"/>
                <w:snapToGrid w:val="0"/>
                <w:color w:val="auto"/>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6"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sz w:val="21"/>
                <w:szCs w:val="21"/>
              </w:rPr>
            </w:pPr>
          </w:p>
        </w:tc>
        <w:tc>
          <w:tcPr>
            <w:tcW w:w="1669"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sz w:val="21"/>
                <w:szCs w:val="21"/>
              </w:rPr>
            </w:pPr>
            <w:r>
              <w:rPr>
                <w:rFonts w:hint="default" w:ascii="Times New Roman" w:hAnsi="Times New Roman"/>
                <w:color w:val="auto"/>
                <w:sz w:val="21"/>
                <w:szCs w:val="21"/>
              </w:rPr>
              <w:t>合计</w:t>
            </w:r>
          </w:p>
        </w:tc>
        <w:tc>
          <w:tcPr>
            <w:tcW w:w="1155" w:type="dxa"/>
            <w:noWrap w:val="0"/>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1665.06</w:t>
            </w:r>
          </w:p>
        </w:tc>
        <w:tc>
          <w:tcPr>
            <w:tcW w:w="5571" w:type="dxa"/>
            <w:noWrap w:val="0"/>
            <w:vAlign w:val="center"/>
          </w:tcPr>
          <w:p>
            <w:pPr>
              <w:pStyle w:val="15"/>
              <w:keepNext w:val="0"/>
              <w:keepLines w:val="0"/>
              <w:suppressLineNumbers w:val="0"/>
              <w:spacing w:before="0" w:beforeAutospacing="0" w:after="0" w:afterAutospacing="0" w:line="240" w:lineRule="exact"/>
              <w:ind w:left="0" w:right="0"/>
              <w:rPr>
                <w:rFonts w:hint="default" w:ascii="Times New Roman" w:hAnsi="Times New Roman"/>
                <w:color w:val="auto"/>
                <w:sz w:val="21"/>
                <w:szCs w:val="21"/>
              </w:rPr>
            </w:pPr>
            <w:r>
              <w:rPr>
                <w:rFonts w:hint="default" w:ascii="Times New Roman" w:hAnsi="Times New Roman"/>
                <w:color w:val="auto"/>
                <w:sz w:val="21"/>
                <w:szCs w:val="21"/>
              </w:rPr>
              <w:t>占工程总投资的0.</w:t>
            </w:r>
            <w:r>
              <w:rPr>
                <w:rFonts w:hint="eastAsia" w:ascii="Times New Roman" w:hAnsi="Times New Roman"/>
                <w:color w:val="auto"/>
                <w:sz w:val="21"/>
                <w:szCs w:val="21"/>
                <w:lang w:val="en-US" w:eastAsia="zh-CN"/>
              </w:rPr>
              <w:t>65</w:t>
            </w:r>
            <w:r>
              <w:rPr>
                <w:rFonts w:hint="default" w:ascii="Times New Roman" w:hAnsi="Times New Roman"/>
                <w:color w:val="auto"/>
                <w:sz w:val="21"/>
                <w:szCs w:val="21"/>
              </w:rPr>
              <w:t>%</w:t>
            </w:r>
          </w:p>
        </w:tc>
      </w:tr>
    </w:tbl>
    <w:p>
      <w:pPr>
        <w:spacing w:line="480" w:lineRule="exact"/>
        <w:ind w:firstLine="560" w:firstLineChars="200"/>
        <w:jc w:val="center"/>
        <w:rPr>
          <w:snapToGrid w:val="0"/>
          <w:color w:val="auto"/>
          <w:kern w:val="0"/>
          <w:sz w:val="28"/>
          <w:szCs w:val="28"/>
        </w:rPr>
        <w:sectPr>
          <w:headerReference r:id="rId9" w:type="default"/>
          <w:footerReference r:id="rId10" w:type="default"/>
          <w:pgSz w:w="11907" w:h="16840"/>
          <w:pgMar w:top="1418" w:right="1418" w:bottom="1418" w:left="1418" w:header="851" w:footer="992" w:gutter="0"/>
          <w:cols w:space="720" w:num="1"/>
          <w:docGrid w:type="lines" w:linePitch="319" w:charSpace="0"/>
        </w:sectPr>
      </w:pPr>
    </w:p>
    <w:p>
      <w:pPr>
        <w:pStyle w:val="3"/>
        <w:numPr>
          <w:ilvl w:val="0"/>
          <w:numId w:val="4"/>
        </w:numPr>
        <w:bidi w:val="0"/>
        <w:rPr>
          <w:color w:val="auto"/>
        </w:rPr>
      </w:pPr>
      <w:bookmarkStart w:id="647" w:name="_Toc196215842"/>
      <w:bookmarkStart w:id="648" w:name="_Toc189535451"/>
      <w:bookmarkStart w:id="649" w:name="_Toc96083880"/>
      <w:bookmarkStart w:id="650" w:name="_Toc30048"/>
      <w:r>
        <w:rPr>
          <w:color w:val="auto"/>
        </w:rPr>
        <w:t>环境影响经济损益分析</w:t>
      </w:r>
      <w:bookmarkEnd w:id="647"/>
      <w:bookmarkEnd w:id="648"/>
      <w:bookmarkEnd w:id="649"/>
      <w:bookmarkEnd w:id="650"/>
    </w:p>
    <w:p>
      <w:pPr>
        <w:pStyle w:val="27"/>
        <w:snapToGrid w:val="0"/>
        <w:spacing w:after="0" w:line="500" w:lineRule="exact"/>
        <w:ind w:left="0" w:leftChars="0" w:firstLine="560" w:firstLineChars="200"/>
        <w:rPr>
          <w:snapToGrid w:val="0"/>
          <w:color w:val="auto"/>
          <w:kern w:val="0"/>
          <w:sz w:val="28"/>
          <w:szCs w:val="28"/>
        </w:rPr>
      </w:pPr>
      <w:r>
        <w:rPr>
          <w:rFonts w:hAnsi="宋体"/>
          <w:snapToGrid w:val="0"/>
          <w:color w:val="auto"/>
          <w:kern w:val="0"/>
          <w:sz w:val="28"/>
          <w:szCs w:val="28"/>
        </w:rPr>
        <w:t>衡量一个建设项目的效益，除经济效益外，还有社会效益和环境效益。经济效益比较直观，可以用货币形式直接计算出来，而社会效益和环境效益则很难用货币的形式表现出来。环境经济损益分析主要是评价建设项目实施后对环境造成的损失费用和采取各种环保治理措施所能收到的环保效果及其带来的经济效益、社会效益和环境效益，实现社会效益、经济效益、环境效益的三统一，为项目行政管理部门的决策提供依据。</w:t>
      </w:r>
    </w:p>
    <w:p>
      <w:pPr>
        <w:pStyle w:val="4"/>
        <w:numPr>
          <w:ilvl w:val="1"/>
          <w:numId w:val="4"/>
        </w:numPr>
        <w:bidi w:val="0"/>
        <w:rPr>
          <w:color w:val="auto"/>
        </w:rPr>
      </w:pPr>
      <w:bookmarkStart w:id="651" w:name="_Toc15668"/>
      <w:bookmarkStart w:id="652" w:name="_Toc468372259"/>
      <w:bookmarkStart w:id="653" w:name="_Toc189535452"/>
      <w:bookmarkStart w:id="654" w:name="_Toc196215843"/>
      <w:bookmarkStart w:id="655" w:name="_Toc96083881"/>
      <w:bookmarkStart w:id="656" w:name="_Toc327946719"/>
      <w:r>
        <w:rPr>
          <w:color w:val="auto"/>
        </w:rPr>
        <w:t>经济效益分析</w:t>
      </w:r>
      <w:bookmarkEnd w:id="651"/>
      <w:bookmarkEnd w:id="652"/>
      <w:bookmarkEnd w:id="653"/>
      <w:bookmarkEnd w:id="654"/>
      <w:bookmarkEnd w:id="655"/>
      <w:bookmarkEnd w:id="656"/>
    </w:p>
    <w:p>
      <w:pPr>
        <w:pStyle w:val="27"/>
        <w:snapToGrid w:val="0"/>
        <w:spacing w:after="0" w:line="480" w:lineRule="exact"/>
        <w:ind w:left="0" w:leftChars="0" w:firstLine="560" w:firstLineChars="200"/>
        <w:rPr>
          <w:snapToGrid w:val="0"/>
          <w:color w:val="auto"/>
          <w:kern w:val="0"/>
          <w:sz w:val="28"/>
          <w:szCs w:val="28"/>
        </w:rPr>
      </w:pPr>
      <w:bookmarkStart w:id="657" w:name="_Toc327946720"/>
      <w:bookmarkStart w:id="658" w:name="_Toc196215844"/>
      <w:bookmarkStart w:id="659" w:name="_Toc189535453"/>
      <w:r>
        <w:rPr>
          <w:rFonts w:hAnsi="宋体"/>
          <w:snapToGrid w:val="0"/>
          <w:color w:val="auto"/>
          <w:kern w:val="0"/>
          <w:sz w:val="28"/>
          <w:szCs w:val="28"/>
        </w:rPr>
        <w:t>本工程为钻井工程，属于油田产能项目的前期工程，总投资为</w:t>
      </w:r>
      <w:r>
        <w:rPr>
          <w:rFonts w:hint="eastAsia"/>
          <w:snapToGrid w:val="0"/>
          <w:color w:val="auto"/>
          <w:kern w:val="0"/>
          <w:sz w:val="28"/>
          <w:szCs w:val="28"/>
        </w:rPr>
        <w:t>252726</w:t>
      </w:r>
      <w:r>
        <w:rPr>
          <w:rFonts w:hAnsi="宋体"/>
          <w:snapToGrid w:val="0"/>
          <w:color w:val="auto"/>
          <w:kern w:val="0"/>
          <w:sz w:val="28"/>
          <w:szCs w:val="28"/>
        </w:rPr>
        <w:t>万元，其经济效益包含在后续的地面建设工程内。</w:t>
      </w:r>
    </w:p>
    <w:p>
      <w:pPr>
        <w:pStyle w:val="4"/>
        <w:numPr>
          <w:ilvl w:val="1"/>
          <w:numId w:val="4"/>
        </w:numPr>
        <w:bidi w:val="0"/>
        <w:rPr>
          <w:color w:val="auto"/>
        </w:rPr>
      </w:pPr>
      <w:bookmarkStart w:id="660" w:name="_Toc468372260"/>
      <w:bookmarkStart w:id="661" w:name="_Toc96083882"/>
      <w:bookmarkStart w:id="662" w:name="_Toc17660"/>
      <w:r>
        <w:rPr>
          <w:color w:val="auto"/>
        </w:rPr>
        <w:t>环境损失费估算</w:t>
      </w:r>
      <w:bookmarkEnd w:id="657"/>
      <w:bookmarkEnd w:id="658"/>
      <w:bookmarkEnd w:id="659"/>
      <w:bookmarkEnd w:id="660"/>
      <w:bookmarkEnd w:id="661"/>
      <w:bookmarkEnd w:id="662"/>
    </w:p>
    <w:p>
      <w:pPr>
        <w:pStyle w:val="27"/>
        <w:snapToGrid w:val="0"/>
        <w:spacing w:after="0" w:line="480" w:lineRule="exact"/>
        <w:ind w:left="0" w:leftChars="0" w:firstLine="560" w:firstLineChars="200"/>
        <w:rPr>
          <w:rFonts w:hint="eastAsia" w:eastAsia="宋体"/>
          <w:snapToGrid w:val="0"/>
          <w:color w:val="auto"/>
          <w:kern w:val="0"/>
          <w:sz w:val="28"/>
          <w:szCs w:val="28"/>
          <w:lang w:eastAsia="zh-CN"/>
        </w:rPr>
      </w:pPr>
      <w:r>
        <w:rPr>
          <w:rFonts w:hAnsi="宋体"/>
          <w:snapToGrid w:val="0"/>
          <w:color w:val="auto"/>
          <w:kern w:val="0"/>
          <w:sz w:val="28"/>
          <w:szCs w:val="28"/>
        </w:rPr>
        <w:t>本工程由于施工作业需要占用大面积土地，而且由此产生的污染物对周围环境也会造成一定污染，因此引起的环境损失费往往很难直接用经济价值来计算，因此，我们仅用植被损失费来估算。该项目植被损失主要为占用耕地造成的农作物损失，根据生态影响分析，该项目投产后临时占地与永久占地造成的粮食损失如果以玉米计，玉米按</w:t>
      </w:r>
      <w:r>
        <w:rPr>
          <w:rFonts w:hint="eastAsia"/>
          <w:snapToGrid w:val="0"/>
          <w:color w:val="auto"/>
          <w:kern w:val="0"/>
          <w:sz w:val="28"/>
          <w:szCs w:val="28"/>
        </w:rPr>
        <w:t>2200</w:t>
      </w:r>
      <w:r>
        <w:rPr>
          <w:rFonts w:hAnsi="宋体"/>
          <w:snapToGrid w:val="0"/>
          <w:color w:val="auto"/>
          <w:kern w:val="0"/>
          <w:sz w:val="28"/>
          <w:szCs w:val="28"/>
        </w:rPr>
        <w:t>元</w:t>
      </w:r>
      <w:r>
        <w:rPr>
          <w:snapToGrid w:val="0"/>
          <w:color w:val="auto"/>
          <w:kern w:val="0"/>
          <w:sz w:val="28"/>
          <w:szCs w:val="28"/>
        </w:rPr>
        <w:t>/</w:t>
      </w:r>
      <w:r>
        <w:rPr>
          <w:rFonts w:hAnsi="宋体"/>
          <w:snapToGrid w:val="0"/>
          <w:color w:val="auto"/>
          <w:kern w:val="0"/>
          <w:sz w:val="28"/>
          <w:szCs w:val="28"/>
        </w:rPr>
        <w:t>吨计，则投产十年间耕地损失</w:t>
      </w:r>
      <w:r>
        <w:rPr>
          <w:rFonts w:hint="eastAsia"/>
          <w:snapToGrid w:val="0"/>
          <w:color w:val="auto"/>
          <w:kern w:val="0"/>
          <w:sz w:val="28"/>
          <w:szCs w:val="28"/>
          <w:lang w:val="en-US" w:eastAsia="zh-CN"/>
        </w:rPr>
        <w:t>34.32</w:t>
      </w:r>
      <w:r>
        <w:rPr>
          <w:rFonts w:hAnsi="宋体"/>
          <w:snapToGrid w:val="0"/>
          <w:color w:val="auto"/>
          <w:kern w:val="0"/>
          <w:sz w:val="28"/>
          <w:szCs w:val="28"/>
        </w:rPr>
        <w:t>万元</w:t>
      </w:r>
      <w:r>
        <w:rPr>
          <w:rFonts w:hint="eastAsia" w:hAnsi="宋体"/>
          <w:snapToGrid w:val="0"/>
          <w:color w:val="auto"/>
          <w:kern w:val="0"/>
          <w:sz w:val="28"/>
          <w:szCs w:val="28"/>
          <w:lang w:eastAsia="zh-CN"/>
        </w:rPr>
        <w:t>。</w:t>
      </w:r>
    </w:p>
    <w:p>
      <w:pPr>
        <w:pStyle w:val="4"/>
        <w:numPr>
          <w:ilvl w:val="1"/>
          <w:numId w:val="4"/>
        </w:numPr>
        <w:bidi w:val="0"/>
        <w:rPr>
          <w:color w:val="auto"/>
        </w:rPr>
      </w:pPr>
      <w:bookmarkStart w:id="663" w:name="_Toc327946722"/>
      <w:bookmarkStart w:id="664" w:name="_Toc196215848"/>
      <w:bookmarkStart w:id="665" w:name="_Toc189535455"/>
      <w:bookmarkStart w:id="666" w:name="_Toc468372262"/>
      <w:bookmarkStart w:id="667" w:name="_Toc96083883"/>
      <w:bookmarkStart w:id="668" w:name="_Toc25544"/>
      <w:r>
        <w:rPr>
          <w:color w:val="auto"/>
        </w:rPr>
        <w:t>社会效益分析</w:t>
      </w:r>
      <w:bookmarkEnd w:id="663"/>
      <w:bookmarkEnd w:id="664"/>
      <w:bookmarkEnd w:id="665"/>
      <w:bookmarkEnd w:id="666"/>
      <w:bookmarkEnd w:id="667"/>
      <w:bookmarkEnd w:id="668"/>
    </w:p>
    <w:p>
      <w:pPr>
        <w:snapToGrid w:val="0"/>
        <w:spacing w:line="460" w:lineRule="exact"/>
        <w:ind w:firstLine="560" w:firstLineChars="200"/>
        <w:rPr>
          <w:snapToGrid w:val="0"/>
          <w:color w:val="auto"/>
          <w:kern w:val="0"/>
          <w:sz w:val="24"/>
        </w:rPr>
      </w:pPr>
      <w:r>
        <w:rPr>
          <w:rFonts w:hAnsi="宋体"/>
          <w:snapToGrid w:val="0"/>
          <w:color w:val="auto"/>
          <w:kern w:val="0"/>
          <w:sz w:val="28"/>
          <w:szCs w:val="28"/>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社会经济环境的协调发展。</w:t>
      </w:r>
    </w:p>
    <w:p>
      <w:pPr>
        <w:pStyle w:val="4"/>
        <w:numPr>
          <w:ilvl w:val="1"/>
          <w:numId w:val="4"/>
        </w:numPr>
        <w:bidi w:val="0"/>
        <w:rPr>
          <w:color w:val="auto"/>
        </w:rPr>
      </w:pPr>
      <w:bookmarkStart w:id="669" w:name="_Toc327946723"/>
      <w:bookmarkStart w:id="670" w:name="_Toc96083884"/>
      <w:bookmarkStart w:id="671" w:name="_Toc189535456"/>
      <w:bookmarkStart w:id="672" w:name="_Toc468372263"/>
      <w:bookmarkStart w:id="673" w:name="_Toc10538"/>
      <w:bookmarkStart w:id="674" w:name="_Toc196215849"/>
      <w:r>
        <w:rPr>
          <w:color w:val="auto"/>
        </w:rPr>
        <w:t>分析结论</w:t>
      </w:r>
      <w:bookmarkEnd w:id="669"/>
      <w:bookmarkEnd w:id="670"/>
      <w:bookmarkEnd w:id="671"/>
      <w:bookmarkEnd w:id="672"/>
      <w:bookmarkEnd w:id="673"/>
      <w:bookmarkEnd w:id="674"/>
    </w:p>
    <w:p>
      <w:pPr>
        <w:pStyle w:val="83"/>
        <w:bidi w:val="0"/>
        <w:rPr>
          <w:color w:val="auto"/>
        </w:rPr>
      </w:pPr>
      <w:r>
        <w:rPr>
          <w:color w:val="auto"/>
        </w:rPr>
        <w:t>本工程的建设不仅具有较好的经济效益和较强的抗风险能力，而且对当地的经济和社会发展也有良好的促进作用，在采取有效的环保措施后，不会对工程所在区域内的环境产生太大的影响，能够使本工程的建设做到经济效益、环境效益与社会效益的统一。</w:t>
      </w:r>
    </w:p>
    <w:p>
      <w:pPr>
        <w:pStyle w:val="3"/>
        <w:spacing w:before="319" w:beforeLines="100" w:after="319" w:afterLines="100" w:line="480" w:lineRule="auto"/>
        <w:jc w:val="center"/>
        <w:rPr>
          <w:snapToGrid w:val="0"/>
          <w:color w:val="auto"/>
          <w:kern w:val="0"/>
          <w:sz w:val="24"/>
        </w:rPr>
        <w:sectPr>
          <w:headerReference r:id="rId11" w:type="default"/>
          <w:pgSz w:w="11907" w:h="16840"/>
          <w:pgMar w:top="1418" w:right="1418" w:bottom="1418" w:left="1418" w:header="851" w:footer="992" w:gutter="0"/>
          <w:cols w:space="720" w:num="1"/>
          <w:docGrid w:type="lines" w:linePitch="319" w:charSpace="0"/>
        </w:sectPr>
      </w:pPr>
    </w:p>
    <w:bookmarkEnd w:id="618"/>
    <w:bookmarkEnd w:id="619"/>
    <w:bookmarkEnd w:id="645"/>
    <w:bookmarkEnd w:id="646"/>
    <w:p>
      <w:pPr>
        <w:pStyle w:val="3"/>
        <w:numPr>
          <w:ilvl w:val="0"/>
          <w:numId w:val="4"/>
        </w:numPr>
        <w:bidi w:val="0"/>
        <w:rPr>
          <w:color w:val="auto"/>
        </w:rPr>
      </w:pPr>
      <w:bookmarkStart w:id="675" w:name="_Toc189535447"/>
      <w:bookmarkStart w:id="676" w:name="_Toc196215828"/>
      <w:bookmarkStart w:id="677" w:name="_Toc96083885"/>
      <w:bookmarkStart w:id="678" w:name="_Toc26768"/>
      <w:r>
        <w:rPr>
          <w:color w:val="auto"/>
        </w:rPr>
        <w:t>环境管理</w:t>
      </w:r>
      <w:bookmarkEnd w:id="675"/>
      <w:bookmarkEnd w:id="676"/>
      <w:r>
        <w:rPr>
          <w:color w:val="auto"/>
        </w:rPr>
        <w:t>与监测计划</w:t>
      </w:r>
      <w:bookmarkEnd w:id="677"/>
      <w:bookmarkEnd w:id="678"/>
    </w:p>
    <w:p>
      <w:pPr>
        <w:pStyle w:val="4"/>
        <w:numPr>
          <w:ilvl w:val="1"/>
          <w:numId w:val="4"/>
        </w:numPr>
        <w:bidi w:val="0"/>
        <w:rPr>
          <w:rFonts w:ascii="Times New Roman" w:hAnsi="Times New Roman" w:eastAsia="宋体"/>
          <w:b w:val="0"/>
          <w:snapToGrid w:val="0"/>
          <w:color w:val="auto"/>
          <w:kern w:val="0"/>
          <w:sz w:val="30"/>
          <w:szCs w:val="30"/>
        </w:rPr>
      </w:pPr>
      <w:bookmarkStart w:id="679" w:name="_Toc189535448"/>
      <w:bookmarkStart w:id="680" w:name="_Toc196215829"/>
      <w:bookmarkStart w:id="681" w:name="_Toc96083886"/>
      <w:r>
        <w:rPr>
          <w:rFonts w:ascii="Times New Roman" w:hAnsi="Times New Roman" w:eastAsia="宋体"/>
          <w:b w:val="0"/>
          <w:snapToGrid w:val="0"/>
          <w:color w:val="auto"/>
          <w:kern w:val="0"/>
          <w:sz w:val="30"/>
          <w:szCs w:val="30"/>
        </w:rPr>
        <w:t xml:space="preserve"> </w:t>
      </w:r>
      <w:bookmarkStart w:id="682" w:name="_Toc16691"/>
      <w:r>
        <w:rPr>
          <w:rFonts w:hint="eastAsia" w:ascii="Times New Roman" w:hAnsi="Times New Roman" w:eastAsia="宋体"/>
          <w:b w:val="0"/>
          <w:snapToGrid w:val="0"/>
          <w:color w:val="auto"/>
          <w:kern w:val="0"/>
          <w:sz w:val="30"/>
          <w:szCs w:val="30"/>
        </w:rPr>
        <w:t>环境</w:t>
      </w:r>
      <w:r>
        <w:rPr>
          <w:rFonts w:ascii="Times New Roman" w:hAnsi="宋体" w:eastAsia="宋体"/>
          <w:b w:val="0"/>
          <w:snapToGrid w:val="0"/>
          <w:color w:val="auto"/>
          <w:kern w:val="0"/>
          <w:sz w:val="30"/>
          <w:szCs w:val="30"/>
        </w:rPr>
        <w:t>管理</w:t>
      </w:r>
      <w:bookmarkEnd w:id="679"/>
      <w:bookmarkEnd w:id="680"/>
      <w:bookmarkEnd w:id="681"/>
      <w:bookmarkEnd w:id="682"/>
    </w:p>
    <w:p>
      <w:pPr>
        <w:pStyle w:val="27"/>
        <w:snapToGrid w:val="0"/>
        <w:spacing w:after="0" w:line="500" w:lineRule="exact"/>
        <w:ind w:left="0" w:leftChars="0" w:firstLine="560" w:firstLineChars="200"/>
        <w:rPr>
          <w:snapToGrid w:val="0"/>
          <w:color w:val="auto"/>
          <w:kern w:val="0"/>
          <w:sz w:val="28"/>
          <w:szCs w:val="28"/>
        </w:rPr>
      </w:pPr>
      <w:r>
        <w:rPr>
          <w:rFonts w:hAnsi="宋体"/>
          <w:snapToGrid w:val="0"/>
          <w:color w:val="auto"/>
          <w:kern w:val="0"/>
          <w:sz w:val="28"/>
          <w:szCs w:val="28"/>
        </w:rPr>
        <w:t>本项目应依据</w:t>
      </w:r>
      <w:bookmarkStart w:id="683" w:name="OLE_LINK4"/>
      <w:bookmarkStart w:id="684" w:name="OLE_LINK2"/>
      <w:r>
        <w:rPr>
          <w:rFonts w:hAnsi="宋体"/>
          <w:snapToGrid w:val="0"/>
          <w:color w:val="auto"/>
          <w:kern w:val="0"/>
          <w:sz w:val="28"/>
          <w:szCs w:val="28"/>
        </w:rPr>
        <w:t>《石油天然气工业健康、安全与环境管理体系》</w:t>
      </w:r>
      <w:bookmarkEnd w:id="683"/>
      <w:bookmarkEnd w:id="684"/>
      <w:r>
        <w:rPr>
          <w:rFonts w:hAnsi="宋体"/>
          <w:snapToGrid w:val="0"/>
          <w:color w:val="auto"/>
          <w:kern w:val="0"/>
          <w:sz w:val="28"/>
          <w:szCs w:val="28"/>
        </w:rPr>
        <w:t>（</w:t>
      </w:r>
      <w:r>
        <w:rPr>
          <w:snapToGrid w:val="0"/>
          <w:color w:val="auto"/>
          <w:kern w:val="0"/>
          <w:sz w:val="28"/>
          <w:szCs w:val="28"/>
        </w:rPr>
        <w:t>SY/T6276-2014</w:t>
      </w:r>
      <w:r>
        <w:rPr>
          <w:rFonts w:hAnsi="宋体"/>
          <w:snapToGrid w:val="0"/>
          <w:color w:val="auto"/>
          <w:kern w:val="0"/>
          <w:sz w:val="28"/>
          <w:szCs w:val="28"/>
        </w:rPr>
        <w:t>）的要求，结合《安全生产法》，在项目各个阶段建立和实施</w:t>
      </w:r>
      <w:r>
        <w:rPr>
          <w:snapToGrid w:val="0"/>
          <w:color w:val="auto"/>
          <w:kern w:val="0"/>
          <w:sz w:val="28"/>
          <w:szCs w:val="28"/>
        </w:rPr>
        <w:t>HSE</w:t>
      </w:r>
      <w:r>
        <w:rPr>
          <w:rFonts w:hAnsi="宋体"/>
          <w:snapToGrid w:val="0"/>
          <w:color w:val="auto"/>
          <w:kern w:val="0"/>
          <w:sz w:val="28"/>
          <w:szCs w:val="28"/>
        </w:rPr>
        <w:t>管理体系。其中环境管理的内容应符合</w:t>
      </w:r>
      <w:r>
        <w:rPr>
          <w:snapToGrid w:val="0"/>
          <w:color w:val="auto"/>
          <w:kern w:val="0"/>
          <w:sz w:val="28"/>
          <w:szCs w:val="28"/>
        </w:rPr>
        <w:t>ISO14000</w:t>
      </w:r>
      <w:r>
        <w:rPr>
          <w:rFonts w:hAnsi="宋体"/>
          <w:snapToGrid w:val="0"/>
          <w:color w:val="auto"/>
          <w:kern w:val="0"/>
          <w:sz w:val="28"/>
          <w:szCs w:val="28"/>
        </w:rPr>
        <w:t>系列标准规定的环境管理体系原则以及石油天然气开采等有关标准的要求，健康管理体系符合</w:t>
      </w:r>
      <w:r>
        <w:rPr>
          <w:snapToGrid w:val="0"/>
          <w:color w:val="auto"/>
          <w:kern w:val="0"/>
          <w:sz w:val="28"/>
          <w:szCs w:val="28"/>
        </w:rPr>
        <w:t>OHS18000</w:t>
      </w:r>
      <w:r>
        <w:rPr>
          <w:rFonts w:hAnsi="宋体"/>
          <w:snapToGrid w:val="0"/>
          <w:color w:val="auto"/>
          <w:kern w:val="0"/>
          <w:sz w:val="28"/>
          <w:szCs w:val="28"/>
        </w:rPr>
        <w:t>《职业安全卫生管理体系》的有关要求。</w:t>
      </w:r>
    </w:p>
    <w:p>
      <w:pPr>
        <w:pStyle w:val="27"/>
        <w:snapToGrid w:val="0"/>
        <w:spacing w:after="0" w:line="500" w:lineRule="exact"/>
        <w:ind w:left="0" w:leftChars="0" w:firstLine="560" w:firstLineChars="200"/>
        <w:rPr>
          <w:snapToGrid w:val="0"/>
          <w:color w:val="auto"/>
          <w:kern w:val="0"/>
          <w:sz w:val="28"/>
          <w:szCs w:val="28"/>
        </w:rPr>
      </w:pPr>
      <w:r>
        <w:rPr>
          <w:rFonts w:hAnsi="宋体"/>
          <w:snapToGrid w:val="0"/>
          <w:color w:val="auto"/>
          <w:kern w:val="0"/>
          <w:sz w:val="28"/>
          <w:szCs w:val="28"/>
        </w:rPr>
        <w:t>在项目钻井工程设计中应对各个阶段可能产生的健康、安全与环境影响进行论述，对危害的预防进行设计，并对安全和环保措施进行专项投资概算，有效降低工程建设和运营中的健康、安全与环境危害。这些内容应纳入</w:t>
      </w:r>
      <w:r>
        <w:rPr>
          <w:snapToGrid w:val="0"/>
          <w:color w:val="auto"/>
          <w:kern w:val="0"/>
          <w:sz w:val="28"/>
          <w:szCs w:val="28"/>
        </w:rPr>
        <w:t>HSE</w:t>
      </w:r>
      <w:r>
        <w:rPr>
          <w:rFonts w:hAnsi="宋体"/>
          <w:snapToGrid w:val="0"/>
          <w:color w:val="auto"/>
          <w:kern w:val="0"/>
          <w:sz w:val="28"/>
          <w:szCs w:val="28"/>
        </w:rPr>
        <w:t>文件。</w:t>
      </w:r>
    </w:p>
    <w:p>
      <w:pPr>
        <w:pStyle w:val="4"/>
        <w:numPr>
          <w:ilvl w:val="1"/>
          <w:numId w:val="4"/>
        </w:numPr>
        <w:bidi w:val="0"/>
        <w:rPr>
          <w:color w:val="auto"/>
        </w:rPr>
      </w:pPr>
      <w:bookmarkStart w:id="685" w:name="_Toc196215830"/>
      <w:bookmarkStart w:id="686" w:name="_Toc77144396"/>
      <w:bookmarkStart w:id="687" w:name="_Toc78775239"/>
      <w:bookmarkStart w:id="688" w:name="_Toc77923972"/>
      <w:bookmarkStart w:id="689" w:name="_Toc13240"/>
      <w:r>
        <w:rPr>
          <w:color w:val="auto"/>
        </w:rPr>
        <w:t>组织结构</w:t>
      </w:r>
      <w:bookmarkEnd w:id="685"/>
      <w:bookmarkEnd w:id="686"/>
      <w:bookmarkEnd w:id="687"/>
      <w:bookmarkEnd w:id="688"/>
      <w:bookmarkEnd w:id="689"/>
    </w:p>
    <w:p>
      <w:pPr>
        <w:snapToGrid w:val="0"/>
        <w:spacing w:line="500" w:lineRule="exact"/>
        <w:ind w:firstLine="560" w:firstLineChars="200"/>
        <w:rPr>
          <w:snapToGrid w:val="0"/>
          <w:color w:val="auto"/>
          <w:kern w:val="0"/>
          <w:sz w:val="28"/>
          <w:szCs w:val="28"/>
        </w:rPr>
      </w:pPr>
      <w:r>
        <w:rPr>
          <w:rFonts w:hint="eastAsia" w:hAnsi="宋体"/>
          <w:snapToGrid w:val="0"/>
          <w:color w:val="auto"/>
          <w:kern w:val="0"/>
          <w:sz w:val="28"/>
          <w:szCs w:val="28"/>
        </w:rPr>
        <w:t>本项目严格实施HSE环境管理体系，本工程环境管理归大庆油田有限责任公司第七采油厂管理，逐级落实岗位责任制；设专职环保员一名为HSE管理体系的第一负责人，对单位日常生产过程中的相关环境工作进行管理</w:t>
      </w:r>
      <w:r>
        <w:rPr>
          <w:rFonts w:hAnsi="宋体"/>
          <w:snapToGrid w:val="0"/>
          <w:color w:val="auto"/>
          <w:kern w:val="0"/>
          <w:sz w:val="28"/>
          <w:szCs w:val="28"/>
        </w:rPr>
        <w:t>。</w:t>
      </w:r>
    </w:p>
    <w:p>
      <w:pPr>
        <w:pStyle w:val="5"/>
        <w:numPr>
          <w:ilvl w:val="2"/>
          <w:numId w:val="4"/>
        </w:numPr>
        <w:bidi w:val="0"/>
        <w:rPr>
          <w:color w:val="auto"/>
        </w:rPr>
      </w:pPr>
      <w:bookmarkStart w:id="690" w:name="_Toc77923973"/>
      <w:bookmarkStart w:id="691" w:name="_Toc196215831"/>
      <w:bookmarkStart w:id="692" w:name="_Toc78775240"/>
      <w:bookmarkStart w:id="693" w:name="_Toc77144397"/>
      <w:r>
        <w:rPr>
          <w:color w:val="auto"/>
        </w:rPr>
        <w:t>规章制度</w:t>
      </w:r>
      <w:bookmarkEnd w:id="690"/>
      <w:bookmarkEnd w:id="691"/>
      <w:bookmarkEnd w:id="692"/>
      <w:bookmarkEnd w:id="693"/>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环保工作必须严格执行国家、省（自治区）市的环保法律法规，同时还应制定相应的环境管理规章制度，环保法规及各种环境管理规章制度应下发到相应人员，并组织有关人员学习和贯彻执行，以确保环境管理工作的顺利进行。相关法规和规章制度详见表</w:t>
      </w:r>
      <w:r>
        <w:rPr>
          <w:bCs/>
          <w:snapToGrid w:val="0"/>
          <w:color w:val="auto"/>
          <w:kern w:val="0"/>
          <w:sz w:val="28"/>
          <w:szCs w:val="28"/>
        </w:rPr>
        <w:t>8.</w:t>
      </w:r>
      <w:r>
        <w:rPr>
          <w:rFonts w:hint="eastAsia"/>
          <w:bCs/>
          <w:snapToGrid w:val="0"/>
          <w:color w:val="auto"/>
          <w:kern w:val="0"/>
          <w:sz w:val="28"/>
          <w:szCs w:val="28"/>
          <w:lang w:val="en-US" w:eastAsia="zh-CN"/>
        </w:rPr>
        <w:t>2</w:t>
      </w:r>
      <w:r>
        <w:rPr>
          <w:snapToGrid w:val="0"/>
          <w:color w:val="auto"/>
          <w:kern w:val="0"/>
          <w:sz w:val="28"/>
          <w:szCs w:val="28"/>
        </w:rPr>
        <w:t>-1</w:t>
      </w:r>
      <w:r>
        <w:rPr>
          <w:rFonts w:hAnsi="宋体"/>
          <w:snapToGrid w:val="0"/>
          <w:color w:val="auto"/>
          <w:kern w:val="0"/>
          <w:sz w:val="28"/>
          <w:szCs w:val="28"/>
        </w:rPr>
        <w:t>。</w:t>
      </w:r>
    </w:p>
    <w:p>
      <w:pPr>
        <w:pStyle w:val="7"/>
        <w:numPr>
          <w:ilvl w:val="4"/>
          <w:numId w:val="4"/>
        </w:numPr>
        <w:bidi w:val="0"/>
        <w:rPr>
          <w:snapToGrid w:val="0"/>
          <w:color w:val="auto"/>
          <w:kern w:val="0"/>
          <w:sz w:val="28"/>
          <w:szCs w:val="28"/>
        </w:rPr>
      </w:pPr>
      <w:r>
        <w:rPr>
          <w:rFonts w:hAnsi="宋体"/>
          <w:snapToGrid w:val="0"/>
          <w:color w:val="auto"/>
          <w:kern w:val="0"/>
          <w:sz w:val="28"/>
          <w:szCs w:val="28"/>
        </w:rPr>
        <w:t>环保法规和规章制度一览表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2004"/>
        <w:gridCol w:w="6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blHeader/>
          <w:jc w:val="center"/>
        </w:trPr>
        <w:tc>
          <w:tcPr>
            <w:tcW w:w="839"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序号</w:t>
            </w:r>
          </w:p>
        </w:tc>
        <w:tc>
          <w:tcPr>
            <w:tcW w:w="200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规章名称</w:t>
            </w:r>
          </w:p>
        </w:tc>
        <w:tc>
          <w:tcPr>
            <w:tcW w:w="644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snapToGrid w:val="0"/>
                <w:color w:val="auto"/>
                <w:kern w:val="0"/>
                <w:szCs w:val="21"/>
              </w:rPr>
              <w:t>1</w:t>
            </w:r>
          </w:p>
        </w:tc>
        <w:tc>
          <w:tcPr>
            <w:tcW w:w="200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国家、省市级的相关环保法律法规</w:t>
            </w:r>
          </w:p>
        </w:tc>
        <w:tc>
          <w:tcPr>
            <w:tcW w:w="644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国家、省市颁发的环境保护法律、法规。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snapToGrid w:val="0"/>
                <w:color w:val="auto"/>
                <w:kern w:val="0"/>
                <w:szCs w:val="21"/>
              </w:rPr>
              <w:t>2</w:t>
            </w:r>
          </w:p>
        </w:tc>
        <w:tc>
          <w:tcPr>
            <w:tcW w:w="200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油田公司制定的相关环保法律法规</w:t>
            </w:r>
          </w:p>
        </w:tc>
        <w:tc>
          <w:tcPr>
            <w:tcW w:w="644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油田公司的环境管理规定及环境管理规章制度（或环境保护条例及事故预案）。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exact"/>
          <w:jc w:val="center"/>
        </w:trPr>
        <w:tc>
          <w:tcPr>
            <w:tcW w:w="839"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snapToGrid w:val="0"/>
                <w:color w:val="auto"/>
                <w:kern w:val="0"/>
                <w:szCs w:val="21"/>
              </w:rPr>
              <w:t>3</w:t>
            </w:r>
          </w:p>
        </w:tc>
        <w:tc>
          <w:tcPr>
            <w:tcW w:w="200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环保技术规程及标准</w:t>
            </w:r>
          </w:p>
        </w:tc>
        <w:tc>
          <w:tcPr>
            <w:tcW w:w="6444" w:type="dxa"/>
            <w:noWrap w:val="0"/>
            <w:tcMar>
              <w:top w:w="28" w:type="dxa"/>
              <w:bottom w:w="28" w:type="dxa"/>
            </w:tcMar>
            <w:vAlign w:val="center"/>
          </w:tcPr>
          <w:p>
            <w:pPr>
              <w:pStyle w:val="30"/>
              <w:keepNext w:val="0"/>
              <w:keepLines w:val="0"/>
              <w:suppressLineNumbers w:val="0"/>
              <w:snapToGrid w:val="0"/>
              <w:spacing w:before="0" w:beforeAutospacing="0" w:after="0" w:afterAutospacing="0" w:line="240" w:lineRule="atLeast"/>
              <w:ind w:left="0" w:right="0"/>
              <w:rPr>
                <w:rFonts w:hint="default" w:ascii="Times New Roman" w:hAnsi="Times New Roman"/>
                <w:snapToGrid w:val="0"/>
                <w:color w:val="auto"/>
                <w:kern w:val="0"/>
                <w:szCs w:val="21"/>
              </w:rPr>
            </w:pPr>
            <w:r>
              <w:rPr>
                <w:rFonts w:hint="default" w:ascii="Times New Roman"/>
                <w:snapToGrid w:val="0"/>
                <w:color w:val="auto"/>
                <w:kern w:val="0"/>
                <w:szCs w:val="21"/>
              </w:rPr>
              <w:t>各级有关环境管理的技术规程、标准，主要包括：国家及省市颁布的相关污染物排放控制标准；油田公司及厂矿（作业区）等各级单位制定的生产工艺、设备的环境技术管理规程，环境保护设备的操作规程。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9"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snapToGrid w:val="0"/>
                <w:color w:val="auto"/>
                <w:kern w:val="0"/>
                <w:szCs w:val="21"/>
              </w:rPr>
              <w:t>4</w:t>
            </w:r>
          </w:p>
        </w:tc>
        <w:tc>
          <w:tcPr>
            <w:tcW w:w="200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环境保护责任制</w:t>
            </w:r>
          </w:p>
        </w:tc>
        <w:tc>
          <w:tcPr>
            <w:tcW w:w="644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公司各类人员环境保护工作范围，应负的责任以及相应的权力。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9"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snapToGrid w:val="0"/>
                <w:color w:val="auto"/>
                <w:kern w:val="0"/>
                <w:szCs w:val="21"/>
              </w:rPr>
              <w:t>5</w:t>
            </w:r>
          </w:p>
        </w:tc>
        <w:tc>
          <w:tcPr>
            <w:tcW w:w="200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三废管理制度</w:t>
            </w:r>
          </w:p>
        </w:tc>
        <w:tc>
          <w:tcPr>
            <w:tcW w:w="644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包括各个阶段废水、废气、废渣及噪声等方面的管理制度。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39"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snapToGrid w:val="0"/>
                <w:color w:val="auto"/>
                <w:kern w:val="0"/>
                <w:szCs w:val="21"/>
              </w:rPr>
              <w:t>6</w:t>
            </w:r>
          </w:p>
        </w:tc>
        <w:tc>
          <w:tcPr>
            <w:tcW w:w="200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生态保护管理制度</w:t>
            </w:r>
          </w:p>
        </w:tc>
        <w:tc>
          <w:tcPr>
            <w:tcW w:w="6444" w:type="dxa"/>
            <w:noWrap w:val="0"/>
            <w:tcMar>
              <w:top w:w="28" w:type="dxa"/>
              <w:bottom w:w="28" w:type="dxa"/>
            </w:tcMar>
            <w:vAlign w:val="center"/>
          </w:tcPr>
          <w:p>
            <w:pPr>
              <w:pStyle w:val="30"/>
              <w:keepNext w:val="0"/>
              <w:keepLines w:val="0"/>
              <w:suppressLineNumbers w:val="0"/>
              <w:snapToGrid w:val="0"/>
              <w:spacing w:before="0" w:beforeAutospacing="0" w:after="0" w:afterAutospacing="0" w:line="240" w:lineRule="atLeast"/>
              <w:ind w:left="0" w:right="0"/>
              <w:rPr>
                <w:rFonts w:hint="default" w:ascii="Times New Roman" w:hAnsi="Times New Roman"/>
                <w:snapToGrid w:val="0"/>
                <w:color w:val="auto"/>
                <w:kern w:val="0"/>
                <w:szCs w:val="21"/>
              </w:rPr>
            </w:pPr>
            <w:r>
              <w:rPr>
                <w:rFonts w:hint="default" w:ascii="Times New Roman"/>
                <w:snapToGrid w:val="0"/>
                <w:color w:val="auto"/>
                <w:kern w:val="0"/>
                <w:szCs w:val="21"/>
              </w:rPr>
              <w:t>主要包括工程建设过程对区域内生态产生的影响后所做出的恢复计划及生态补偿措施等，同时包括一些突发事故可能对周围生态产生的影响而制定的生态恢复计划和补偿措施等内容。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39"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snapToGrid w:val="0"/>
                <w:color w:val="auto"/>
                <w:kern w:val="0"/>
                <w:szCs w:val="21"/>
              </w:rPr>
              <w:t>7</w:t>
            </w:r>
          </w:p>
        </w:tc>
        <w:tc>
          <w:tcPr>
            <w:tcW w:w="200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Cs w:val="21"/>
              </w:rPr>
            </w:pPr>
            <w:r>
              <w:rPr>
                <w:rFonts w:hint="default" w:hAnsi="宋体"/>
                <w:snapToGrid w:val="0"/>
                <w:color w:val="auto"/>
                <w:kern w:val="0"/>
                <w:szCs w:val="21"/>
              </w:rPr>
              <w:t>事故管理预案</w:t>
            </w:r>
          </w:p>
        </w:tc>
        <w:tc>
          <w:tcPr>
            <w:tcW w:w="6444" w:type="dxa"/>
            <w:noWrap w:val="0"/>
            <w:tcMar>
              <w:top w:w="28" w:type="dxa"/>
              <w:bottom w:w="28" w:type="dxa"/>
            </w:tcMar>
            <w:vAlign w:val="center"/>
          </w:tcPr>
          <w:p>
            <w:pPr>
              <w:keepNext w:val="0"/>
              <w:keepLines w:val="0"/>
              <w:suppressLineNumbers w:val="0"/>
              <w:snapToGrid w:val="0"/>
              <w:spacing w:before="0" w:beforeAutospacing="0" w:after="0" w:afterAutospacing="0" w:line="240" w:lineRule="atLeast"/>
              <w:ind w:left="0" w:right="0"/>
              <w:rPr>
                <w:rFonts w:hint="default"/>
                <w:snapToGrid w:val="0"/>
                <w:color w:val="auto"/>
                <w:kern w:val="0"/>
                <w:szCs w:val="21"/>
              </w:rPr>
            </w:pPr>
            <w:r>
              <w:rPr>
                <w:rFonts w:hint="default" w:hAnsi="宋体"/>
                <w:snapToGrid w:val="0"/>
                <w:color w:val="auto"/>
                <w:kern w:val="0"/>
                <w:szCs w:val="21"/>
              </w:rPr>
              <w:t>明确工程各阶段可能存在的突发事故的预防管理措施。</w:t>
            </w:r>
          </w:p>
        </w:tc>
      </w:tr>
    </w:tbl>
    <w:p>
      <w:pPr>
        <w:pStyle w:val="5"/>
        <w:numPr>
          <w:ilvl w:val="2"/>
          <w:numId w:val="4"/>
        </w:numPr>
        <w:bidi w:val="0"/>
        <w:rPr>
          <w:color w:val="auto"/>
        </w:rPr>
      </w:pPr>
      <w:bookmarkStart w:id="694" w:name="_Toc196215832"/>
      <w:bookmarkStart w:id="695" w:name="_Toc77144398"/>
      <w:bookmarkStart w:id="696" w:name="_Toc77923974"/>
      <w:bookmarkStart w:id="697" w:name="_Toc78775241"/>
      <w:r>
        <w:rPr>
          <w:color w:val="auto"/>
        </w:rPr>
        <w:t>管理措施</w:t>
      </w:r>
      <w:bookmarkEnd w:id="694"/>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1</w:t>
      </w:r>
      <w:r>
        <w:rPr>
          <w:rFonts w:hAnsi="宋体"/>
          <w:snapToGrid w:val="0"/>
          <w:color w:val="auto"/>
          <w:kern w:val="0"/>
          <w:sz w:val="28"/>
          <w:szCs w:val="28"/>
        </w:rPr>
        <w:t>）最高领导层将</w:t>
      </w:r>
      <w:r>
        <w:rPr>
          <w:snapToGrid w:val="0"/>
          <w:color w:val="auto"/>
          <w:kern w:val="0"/>
          <w:sz w:val="28"/>
          <w:szCs w:val="28"/>
        </w:rPr>
        <w:t>HSE</w:t>
      </w:r>
      <w:r>
        <w:rPr>
          <w:rFonts w:hAnsi="宋体"/>
          <w:snapToGrid w:val="0"/>
          <w:color w:val="auto"/>
          <w:kern w:val="0"/>
          <w:sz w:val="28"/>
          <w:szCs w:val="28"/>
        </w:rPr>
        <w:t>管理放在与企业生产和经营管理同等重要的位置上；</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2</w:t>
      </w:r>
      <w:r>
        <w:rPr>
          <w:rFonts w:hAnsi="宋体"/>
          <w:snapToGrid w:val="0"/>
          <w:color w:val="auto"/>
          <w:kern w:val="0"/>
          <w:sz w:val="28"/>
          <w:szCs w:val="28"/>
        </w:rPr>
        <w:t>）公司员工时刻将</w:t>
      </w:r>
      <w:r>
        <w:rPr>
          <w:snapToGrid w:val="0"/>
          <w:color w:val="auto"/>
          <w:kern w:val="0"/>
          <w:sz w:val="28"/>
          <w:szCs w:val="28"/>
        </w:rPr>
        <w:t>HSE</w:t>
      </w:r>
      <w:r>
        <w:rPr>
          <w:rFonts w:hAnsi="宋体"/>
          <w:snapToGrid w:val="0"/>
          <w:color w:val="auto"/>
          <w:kern w:val="0"/>
          <w:sz w:val="28"/>
          <w:szCs w:val="28"/>
        </w:rPr>
        <w:t>责任放在心中；</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3</w:t>
      </w:r>
      <w:r>
        <w:rPr>
          <w:rFonts w:hAnsi="宋体"/>
          <w:snapToGrid w:val="0"/>
          <w:color w:val="auto"/>
          <w:kern w:val="0"/>
          <w:sz w:val="28"/>
          <w:szCs w:val="28"/>
        </w:rPr>
        <w:t>）制定和落实一岗一责制；</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4</w:t>
      </w:r>
      <w:r>
        <w:rPr>
          <w:rFonts w:hAnsi="宋体"/>
          <w:snapToGrid w:val="0"/>
          <w:color w:val="auto"/>
          <w:kern w:val="0"/>
          <w:sz w:val="28"/>
          <w:szCs w:val="28"/>
        </w:rPr>
        <w:t>）加强生产技术及</w:t>
      </w:r>
      <w:r>
        <w:rPr>
          <w:snapToGrid w:val="0"/>
          <w:color w:val="auto"/>
          <w:kern w:val="0"/>
          <w:sz w:val="28"/>
          <w:szCs w:val="28"/>
        </w:rPr>
        <w:t>HSE</w:t>
      </w:r>
      <w:r>
        <w:rPr>
          <w:rFonts w:hAnsi="宋体"/>
          <w:snapToGrid w:val="0"/>
          <w:color w:val="auto"/>
          <w:kern w:val="0"/>
          <w:sz w:val="28"/>
          <w:szCs w:val="28"/>
        </w:rPr>
        <w:t>教育和培训；</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5</w:t>
      </w:r>
      <w:r>
        <w:rPr>
          <w:rFonts w:hAnsi="宋体"/>
          <w:snapToGrid w:val="0"/>
          <w:color w:val="auto"/>
          <w:kern w:val="0"/>
          <w:sz w:val="28"/>
          <w:szCs w:val="28"/>
        </w:rPr>
        <w:t>）做好现场审核和整改；</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6</w:t>
      </w:r>
      <w:r>
        <w:rPr>
          <w:rFonts w:hAnsi="宋体"/>
          <w:snapToGrid w:val="0"/>
          <w:color w:val="auto"/>
          <w:kern w:val="0"/>
          <w:sz w:val="28"/>
          <w:szCs w:val="28"/>
        </w:rPr>
        <w:t>）奖优罚劣，持续改进</w:t>
      </w:r>
      <w:r>
        <w:rPr>
          <w:snapToGrid w:val="0"/>
          <w:color w:val="auto"/>
          <w:kern w:val="0"/>
          <w:sz w:val="28"/>
          <w:szCs w:val="28"/>
        </w:rPr>
        <w:t>HSE</w:t>
      </w:r>
      <w:r>
        <w:rPr>
          <w:rFonts w:hAnsi="宋体"/>
          <w:snapToGrid w:val="0"/>
          <w:color w:val="auto"/>
          <w:kern w:val="0"/>
          <w:sz w:val="28"/>
          <w:szCs w:val="28"/>
        </w:rPr>
        <w:t>表现。</w:t>
      </w:r>
    </w:p>
    <w:p>
      <w:pPr>
        <w:pStyle w:val="4"/>
        <w:numPr>
          <w:ilvl w:val="1"/>
          <w:numId w:val="4"/>
        </w:numPr>
        <w:bidi w:val="0"/>
        <w:rPr>
          <w:color w:val="auto"/>
        </w:rPr>
      </w:pPr>
      <w:bookmarkStart w:id="698" w:name="_Toc27980"/>
      <w:bookmarkStart w:id="699" w:name="_Toc196215833"/>
      <w:bookmarkStart w:id="700" w:name="_Toc189535449"/>
      <w:bookmarkStart w:id="701" w:name="_Toc96083887"/>
      <w:r>
        <w:rPr>
          <w:color w:val="auto"/>
        </w:rPr>
        <w:t>环境监控</w:t>
      </w:r>
      <w:bookmarkEnd w:id="695"/>
      <w:bookmarkEnd w:id="696"/>
      <w:bookmarkEnd w:id="697"/>
      <w:bookmarkEnd w:id="698"/>
      <w:bookmarkEnd w:id="699"/>
      <w:bookmarkEnd w:id="700"/>
      <w:bookmarkEnd w:id="701"/>
    </w:p>
    <w:p>
      <w:pPr>
        <w:pStyle w:val="5"/>
        <w:numPr>
          <w:ilvl w:val="2"/>
          <w:numId w:val="4"/>
        </w:numPr>
        <w:bidi w:val="0"/>
        <w:rPr>
          <w:color w:val="auto"/>
        </w:rPr>
      </w:pPr>
      <w:bookmarkStart w:id="702" w:name="_Toc196215834"/>
      <w:r>
        <w:rPr>
          <w:color w:val="auto"/>
        </w:rPr>
        <w:t>环境监控实施计划</w:t>
      </w:r>
      <w:bookmarkEnd w:id="702"/>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由大庆油田有限责任公司</w:t>
      </w:r>
      <w:r>
        <w:rPr>
          <w:rFonts w:hint="eastAsia" w:hAnsi="宋体"/>
          <w:snapToGrid w:val="0"/>
          <w:color w:val="auto"/>
          <w:kern w:val="0"/>
          <w:sz w:val="28"/>
          <w:szCs w:val="28"/>
          <w:lang w:eastAsia="zh-CN"/>
        </w:rPr>
        <w:t>采气分公司（储气库分公司）</w:t>
      </w:r>
      <w:r>
        <w:rPr>
          <w:rFonts w:hAnsi="宋体"/>
          <w:snapToGrid w:val="0"/>
          <w:color w:val="auto"/>
          <w:kern w:val="0"/>
          <w:sz w:val="28"/>
          <w:szCs w:val="28"/>
        </w:rPr>
        <w:t>质量安全环保部对本工程建设环境保护工作进行全过程监控，对环境保护措施强制推行，以加强设计和各个阶段的环境管理，控制环境污染和生态破坏，在工程建设期间，除设置专职环保员一名外，还应根据现场实际情况，建立健全相应的二级</w:t>
      </w:r>
      <w:r>
        <w:rPr>
          <w:snapToGrid w:val="0"/>
          <w:color w:val="auto"/>
          <w:kern w:val="0"/>
          <w:sz w:val="28"/>
          <w:szCs w:val="28"/>
        </w:rPr>
        <w:t>HSE</w:t>
      </w:r>
      <w:r>
        <w:rPr>
          <w:rFonts w:hAnsi="宋体"/>
          <w:snapToGrid w:val="0"/>
          <w:color w:val="auto"/>
          <w:kern w:val="0"/>
          <w:sz w:val="28"/>
          <w:szCs w:val="28"/>
        </w:rPr>
        <w:t>管理网络，在公司已有</w:t>
      </w:r>
      <w:r>
        <w:rPr>
          <w:snapToGrid w:val="0"/>
          <w:color w:val="auto"/>
          <w:kern w:val="0"/>
          <w:sz w:val="28"/>
          <w:szCs w:val="28"/>
        </w:rPr>
        <w:t>HSE</w:t>
      </w:r>
      <w:r>
        <w:rPr>
          <w:rFonts w:hAnsi="宋体"/>
          <w:snapToGrid w:val="0"/>
          <w:color w:val="auto"/>
          <w:kern w:val="0"/>
          <w:sz w:val="28"/>
          <w:szCs w:val="28"/>
        </w:rPr>
        <w:t>指挥部的基础上，分别配备数名</w:t>
      </w:r>
      <w:r>
        <w:rPr>
          <w:snapToGrid w:val="0"/>
          <w:color w:val="auto"/>
          <w:kern w:val="0"/>
          <w:sz w:val="28"/>
          <w:szCs w:val="28"/>
        </w:rPr>
        <w:t>HSE</w:t>
      </w:r>
      <w:r>
        <w:rPr>
          <w:rFonts w:hAnsi="宋体"/>
          <w:snapToGrid w:val="0"/>
          <w:color w:val="auto"/>
          <w:kern w:val="0"/>
          <w:sz w:val="28"/>
          <w:szCs w:val="28"/>
        </w:rPr>
        <w:t>现场监督人员。分别配备协调员，实行逐级负责制。</w:t>
      </w:r>
    </w:p>
    <w:p>
      <w:pPr>
        <w:snapToGrid w:val="0"/>
        <w:spacing w:line="500" w:lineRule="exact"/>
        <w:ind w:firstLine="560" w:firstLineChars="200"/>
        <w:rPr>
          <w:snapToGrid w:val="0"/>
          <w:color w:val="auto"/>
          <w:kern w:val="0"/>
          <w:sz w:val="28"/>
          <w:szCs w:val="28"/>
        </w:rPr>
      </w:pPr>
      <w:r>
        <w:rPr>
          <w:snapToGrid w:val="0"/>
          <w:color w:val="auto"/>
          <w:kern w:val="0"/>
          <w:sz w:val="28"/>
          <w:szCs w:val="28"/>
        </w:rPr>
        <w:t>HSE</w:t>
      </w:r>
      <w:r>
        <w:rPr>
          <w:rFonts w:hAnsi="宋体"/>
          <w:snapToGrid w:val="0"/>
          <w:color w:val="auto"/>
          <w:kern w:val="0"/>
          <w:sz w:val="28"/>
          <w:szCs w:val="28"/>
        </w:rPr>
        <w:t>机构在环境管理上的主要任务包括；负责制定本工程施工作业的环境管理方案，制定发生事故的应急计划，监督各项环保措施的落实及环保工程的检查和预验收，负责协调与地方环保、水利、土地等部门的关系以及负责有关环保文件、技术资料的收集建档等。</w:t>
      </w:r>
    </w:p>
    <w:p>
      <w:pPr>
        <w:pStyle w:val="5"/>
        <w:numPr>
          <w:ilvl w:val="2"/>
          <w:numId w:val="4"/>
        </w:numPr>
        <w:bidi w:val="0"/>
        <w:rPr>
          <w:color w:val="auto"/>
        </w:rPr>
      </w:pPr>
      <w:bookmarkStart w:id="703" w:name="_Toc196215835"/>
      <w:r>
        <w:rPr>
          <w:color w:val="auto"/>
        </w:rPr>
        <w:t>环境管理工作的重点</w:t>
      </w:r>
      <w:bookmarkEnd w:id="703"/>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根据本工程特点，环境管理工作由大庆油田有限责任公司</w:t>
      </w:r>
      <w:r>
        <w:rPr>
          <w:rFonts w:hint="eastAsia" w:hAnsi="宋体"/>
          <w:snapToGrid w:val="0"/>
          <w:color w:val="auto"/>
          <w:kern w:val="0"/>
          <w:sz w:val="28"/>
          <w:szCs w:val="28"/>
          <w:lang w:eastAsia="zh-CN"/>
        </w:rPr>
        <w:t>采气分公司（储气库分公司）</w:t>
      </w:r>
      <w:r>
        <w:rPr>
          <w:rFonts w:hAnsi="宋体"/>
          <w:snapToGrid w:val="0"/>
          <w:color w:val="auto"/>
          <w:kern w:val="0"/>
          <w:sz w:val="28"/>
          <w:szCs w:val="28"/>
        </w:rPr>
        <w:t>质量安全环保部负责，除抓好各种环保措施的落实情况、环保设施的运行和维护、作业场所的平整清理、固体废弃物的运输以及作业工作交接等工作外，还应针对污染物产生情况，以及事故情况下的预防和处理，制定相应的事故预防措施、事故应急措施以及恢复补偿措施等。</w:t>
      </w:r>
    </w:p>
    <w:p>
      <w:pPr>
        <w:pStyle w:val="5"/>
        <w:numPr>
          <w:ilvl w:val="2"/>
          <w:numId w:val="4"/>
        </w:numPr>
        <w:bidi w:val="0"/>
        <w:rPr>
          <w:color w:val="auto"/>
        </w:rPr>
      </w:pPr>
      <w:bookmarkStart w:id="704" w:name="_Toc196215836"/>
      <w:r>
        <w:rPr>
          <w:color w:val="auto"/>
        </w:rPr>
        <w:t>环境管理人员的基本职责</w:t>
      </w:r>
      <w:bookmarkEnd w:id="704"/>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1</w:t>
      </w:r>
      <w:r>
        <w:rPr>
          <w:rFonts w:hAnsi="宋体"/>
          <w:snapToGrid w:val="0"/>
          <w:color w:val="auto"/>
          <w:kern w:val="0"/>
          <w:sz w:val="28"/>
          <w:szCs w:val="28"/>
        </w:rPr>
        <w:t>）协助有关环保部门进行环境保护设施的竣工验收工作；</w:t>
      </w:r>
    </w:p>
    <w:p>
      <w:pPr>
        <w:snapToGrid w:val="0"/>
        <w:spacing w:line="500" w:lineRule="exact"/>
        <w:ind w:firstLine="560" w:firstLineChars="200"/>
        <w:rPr>
          <w:snapToGrid w:val="0"/>
          <w:color w:val="auto"/>
          <w:kern w:val="0"/>
          <w:sz w:val="28"/>
          <w:szCs w:val="28"/>
        </w:rPr>
      </w:pPr>
      <w:bookmarkStart w:id="705" w:name="_Toc196215837"/>
      <w:bookmarkStart w:id="706" w:name="_Toc196133916"/>
      <w:r>
        <w:rPr>
          <w:rFonts w:hAnsi="宋体"/>
          <w:snapToGrid w:val="0"/>
          <w:color w:val="auto"/>
          <w:kern w:val="0"/>
          <w:sz w:val="28"/>
          <w:szCs w:val="28"/>
        </w:rPr>
        <w:t>（</w:t>
      </w:r>
      <w:r>
        <w:rPr>
          <w:snapToGrid w:val="0"/>
          <w:color w:val="auto"/>
          <w:kern w:val="0"/>
          <w:sz w:val="28"/>
          <w:szCs w:val="28"/>
        </w:rPr>
        <w:t>2</w:t>
      </w:r>
      <w:r>
        <w:rPr>
          <w:rFonts w:hAnsi="宋体"/>
          <w:snapToGrid w:val="0"/>
          <w:color w:val="auto"/>
          <w:kern w:val="0"/>
          <w:sz w:val="28"/>
          <w:szCs w:val="28"/>
        </w:rPr>
        <w:t>）定期进行环保安全检查和召开有关会议；</w:t>
      </w:r>
      <w:bookmarkEnd w:id="705"/>
      <w:bookmarkEnd w:id="706"/>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3</w:t>
      </w:r>
      <w:r>
        <w:rPr>
          <w:rFonts w:hAnsi="宋体"/>
          <w:snapToGrid w:val="0"/>
          <w:color w:val="auto"/>
          <w:kern w:val="0"/>
          <w:sz w:val="28"/>
          <w:szCs w:val="28"/>
        </w:rPr>
        <w:t>）对领导和职工特别是兼职环保人员进行环保安全方面的培训；</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4</w:t>
      </w:r>
      <w:r>
        <w:rPr>
          <w:rFonts w:hAnsi="宋体"/>
          <w:snapToGrid w:val="0"/>
          <w:color w:val="auto"/>
          <w:kern w:val="0"/>
          <w:sz w:val="28"/>
          <w:szCs w:val="28"/>
        </w:rPr>
        <w:t>）制定各种可能发生事故的应急计划，定期进行演练；配备各种必要的维护、抢修器材和设备，保证在发生事故时能及时到位；</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5</w:t>
      </w:r>
      <w:r>
        <w:rPr>
          <w:rFonts w:hAnsi="宋体"/>
          <w:snapToGrid w:val="0"/>
          <w:color w:val="auto"/>
          <w:kern w:val="0"/>
          <w:sz w:val="28"/>
          <w:szCs w:val="28"/>
        </w:rPr>
        <w:t>）主管环保的人员应参加生产调度和管理工作会议，针对生产运行中存在的环境问题，向公司领导和生产部门提出建议和技术处理措施。</w:t>
      </w:r>
    </w:p>
    <w:p>
      <w:pPr>
        <w:pStyle w:val="5"/>
        <w:numPr>
          <w:ilvl w:val="2"/>
          <w:numId w:val="4"/>
        </w:numPr>
        <w:bidi w:val="0"/>
        <w:rPr>
          <w:color w:val="auto"/>
        </w:rPr>
      </w:pPr>
      <w:bookmarkStart w:id="707" w:name="_Toc196215838"/>
      <w:r>
        <w:rPr>
          <w:color w:val="auto"/>
        </w:rPr>
        <w:t>环境监控基本内容</w:t>
      </w:r>
      <w:bookmarkEnd w:id="707"/>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为了本工程所在区域内环境的持续改进，对工程开发建设的各项活动进行全过程、全方位的监控。包括环保措施的落实情况、环保设施的运行和维护、作业场所的平整清理、固体废弃物的运输以及作业工作交接等工作，并形成必要文件存档以便查阅。</w:t>
      </w:r>
    </w:p>
    <w:p>
      <w:pPr>
        <w:pStyle w:val="5"/>
        <w:numPr>
          <w:ilvl w:val="2"/>
          <w:numId w:val="4"/>
        </w:numPr>
        <w:bidi w:val="0"/>
        <w:rPr>
          <w:color w:val="auto"/>
        </w:rPr>
      </w:pPr>
      <w:r>
        <w:rPr>
          <w:color w:val="auto"/>
        </w:rPr>
        <w:t>本工程污染源排放清单</w:t>
      </w:r>
    </w:p>
    <w:p>
      <w:pPr>
        <w:snapToGrid w:val="0"/>
        <w:spacing w:line="500" w:lineRule="exact"/>
        <w:ind w:firstLine="560" w:firstLineChars="200"/>
        <w:rPr>
          <w:snapToGrid w:val="0"/>
          <w:color w:val="auto"/>
          <w:kern w:val="0"/>
          <w:sz w:val="28"/>
          <w:szCs w:val="28"/>
        </w:rPr>
      </w:pPr>
      <w:r>
        <w:rPr>
          <w:rFonts w:hAnsi="宋体"/>
          <w:color w:val="auto"/>
          <w:sz w:val="28"/>
          <w:szCs w:val="28"/>
        </w:rPr>
        <w:t>本工程污染物排放清单见表</w:t>
      </w:r>
      <w:r>
        <w:rPr>
          <w:color w:val="auto"/>
          <w:sz w:val="28"/>
          <w:szCs w:val="28"/>
        </w:rPr>
        <w:t>8.</w:t>
      </w:r>
      <w:r>
        <w:rPr>
          <w:rFonts w:hint="eastAsia"/>
          <w:color w:val="auto"/>
          <w:sz w:val="28"/>
          <w:szCs w:val="28"/>
          <w:lang w:val="en-US" w:eastAsia="zh-CN"/>
        </w:rPr>
        <w:t>3</w:t>
      </w:r>
      <w:r>
        <w:rPr>
          <w:color w:val="auto"/>
          <w:sz w:val="28"/>
          <w:szCs w:val="28"/>
        </w:rPr>
        <w:t>-1</w:t>
      </w:r>
      <w:r>
        <w:rPr>
          <w:rFonts w:hAnsi="宋体"/>
          <w:color w:val="auto"/>
          <w:sz w:val="28"/>
          <w:szCs w:val="28"/>
        </w:rPr>
        <w:t>。</w:t>
      </w:r>
    </w:p>
    <w:p>
      <w:pPr>
        <w:snapToGrid w:val="0"/>
        <w:spacing w:line="500" w:lineRule="exact"/>
        <w:ind w:firstLine="560" w:firstLineChars="200"/>
        <w:jc w:val="center"/>
        <w:rPr>
          <w:snapToGrid w:val="0"/>
          <w:color w:val="auto"/>
          <w:kern w:val="0"/>
          <w:sz w:val="28"/>
          <w:szCs w:val="28"/>
        </w:rPr>
      </w:pPr>
    </w:p>
    <w:p>
      <w:pPr>
        <w:snapToGrid w:val="0"/>
        <w:spacing w:line="500" w:lineRule="exact"/>
        <w:ind w:firstLine="560" w:firstLineChars="200"/>
        <w:jc w:val="center"/>
        <w:rPr>
          <w:snapToGrid w:val="0"/>
          <w:color w:val="auto"/>
          <w:kern w:val="0"/>
          <w:sz w:val="28"/>
          <w:szCs w:val="28"/>
        </w:rPr>
      </w:pPr>
    </w:p>
    <w:p>
      <w:pPr>
        <w:snapToGrid w:val="0"/>
        <w:spacing w:line="500" w:lineRule="exact"/>
        <w:ind w:firstLine="560" w:firstLineChars="200"/>
        <w:jc w:val="center"/>
        <w:rPr>
          <w:snapToGrid w:val="0"/>
          <w:color w:val="auto"/>
          <w:kern w:val="0"/>
          <w:sz w:val="28"/>
          <w:szCs w:val="28"/>
        </w:rPr>
      </w:pPr>
    </w:p>
    <w:p>
      <w:pPr>
        <w:pStyle w:val="7"/>
        <w:numPr>
          <w:ilvl w:val="4"/>
          <w:numId w:val="4"/>
        </w:numPr>
        <w:bidi w:val="0"/>
        <w:rPr>
          <w:snapToGrid w:val="0"/>
          <w:color w:val="auto"/>
          <w:kern w:val="0"/>
          <w:sz w:val="28"/>
          <w:szCs w:val="28"/>
        </w:rPr>
      </w:pPr>
      <w:r>
        <w:rPr>
          <w:rFonts w:hAnsi="宋体"/>
          <w:snapToGrid w:val="0"/>
          <w:color w:val="auto"/>
          <w:kern w:val="0"/>
          <w:sz w:val="28"/>
          <w:szCs w:val="28"/>
        </w:rPr>
        <w:t>污染物排放清单</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18"/>
        <w:gridCol w:w="1167"/>
        <w:gridCol w:w="1229"/>
        <w:gridCol w:w="1453"/>
        <w:gridCol w:w="189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1"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序号</w:t>
            </w:r>
          </w:p>
        </w:tc>
        <w:tc>
          <w:tcPr>
            <w:tcW w:w="81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污染物种类</w:t>
            </w: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污染物名称</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主要污染因子</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排放量</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控制措施及去向</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排放管理要求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481"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1</w:t>
            </w:r>
          </w:p>
        </w:tc>
        <w:tc>
          <w:tcPr>
            <w:tcW w:w="818"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废气</w:t>
            </w: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扬尘</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颗粒物</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w:t>
            </w:r>
          </w:p>
        </w:tc>
        <w:tc>
          <w:tcPr>
            <w:tcW w:w="1890"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排入大气</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符合</w:t>
            </w:r>
            <w:r>
              <w:rPr>
                <w:rFonts w:hint="default" w:hAnsi="宋体"/>
                <w:snapToGrid w:val="0"/>
                <w:color w:val="auto"/>
                <w:sz w:val="18"/>
                <w:szCs w:val="18"/>
              </w:rPr>
              <w:t>（</w:t>
            </w:r>
            <w:r>
              <w:rPr>
                <w:rFonts w:hint="default"/>
                <w:snapToGrid w:val="0"/>
                <w:color w:val="auto"/>
                <w:sz w:val="18"/>
                <w:szCs w:val="18"/>
              </w:rPr>
              <w:t>GB16297-1996</w:t>
            </w:r>
            <w:r>
              <w:rPr>
                <w:rFonts w:hint="default" w:hAnsi="宋体"/>
                <w:snapToGrid w:val="0"/>
                <w:color w:val="auto"/>
                <w:sz w:val="18"/>
                <w:szCs w:val="18"/>
              </w:rPr>
              <w:t>）</w:t>
            </w:r>
            <w:r>
              <w:rPr>
                <w:rFonts w:hint="default" w:hAnsi="宋体"/>
                <w:color w:val="auto"/>
                <w:kern w:val="0"/>
                <w:sz w:val="18"/>
                <w:szCs w:val="18"/>
                <w:lang w:eastAsia="zh-TW"/>
              </w:rPr>
              <w:t>中表</w:t>
            </w:r>
            <w:r>
              <w:rPr>
                <w:rFonts w:hint="default"/>
                <w:color w:val="auto"/>
                <w:kern w:val="0"/>
                <w:sz w:val="18"/>
                <w:szCs w:val="18"/>
                <w:lang w:eastAsia="zh-TW"/>
              </w:rPr>
              <w:t>2</w:t>
            </w:r>
            <w:r>
              <w:rPr>
                <w:rFonts w:hint="default" w:hAnsi="宋体"/>
                <w:color w:val="auto"/>
                <w:kern w:val="0"/>
                <w:sz w:val="18"/>
                <w:szCs w:val="18"/>
                <w:lang w:eastAsia="zh-TW"/>
              </w:rPr>
              <w:t>无组织排放监控浓度限值</w:t>
            </w:r>
            <w:r>
              <w:rPr>
                <w:rFonts w:hint="default"/>
                <w:color w:val="auto"/>
                <w:kern w:val="0"/>
                <w:sz w:val="18"/>
                <w:szCs w:val="18"/>
              </w:rPr>
              <w:t>1.0mg/m</w:t>
            </w:r>
            <w:r>
              <w:rPr>
                <w:rFonts w:hint="default"/>
                <w:color w:val="auto"/>
                <w:kern w:val="0"/>
                <w:sz w:val="18"/>
                <w:szCs w:val="18"/>
                <w:vertAlign w:val="superscript"/>
              </w:rPr>
              <w:t>3</w:t>
            </w:r>
            <w:r>
              <w:rPr>
                <w:rFonts w:hint="default" w:hAnsi="宋体"/>
                <w:snapToGrid w:val="0"/>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snapToGrid w:val="0"/>
                <w:color w:val="auto"/>
                <w:kern w:val="0"/>
                <w:sz w:val="18"/>
                <w:szCs w:val="18"/>
              </w:rPr>
              <w:t>柴油机烟气</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颗粒物、</w:t>
            </w:r>
            <w:r>
              <w:rPr>
                <w:rFonts w:hint="default"/>
                <w:color w:val="auto"/>
                <w:sz w:val="18"/>
                <w:szCs w:val="18"/>
              </w:rPr>
              <w:t>NO</w:t>
            </w:r>
            <w:r>
              <w:rPr>
                <w:rFonts w:hint="default"/>
                <w:color w:val="auto"/>
                <w:sz w:val="18"/>
                <w:szCs w:val="18"/>
                <w:vertAlign w:val="subscript"/>
              </w:rPr>
              <w:t>X</w:t>
            </w:r>
            <w:r>
              <w:rPr>
                <w:rFonts w:hint="default" w:hAnsi="宋体"/>
                <w:color w:val="auto"/>
                <w:sz w:val="18"/>
                <w:szCs w:val="18"/>
              </w:rPr>
              <w:t>、</w:t>
            </w:r>
            <w:r>
              <w:rPr>
                <w:rFonts w:hint="default"/>
                <w:color w:val="auto"/>
                <w:sz w:val="18"/>
                <w:szCs w:val="18"/>
              </w:rPr>
              <w:t xml:space="preserve">HC </w:t>
            </w:r>
            <w:r>
              <w:rPr>
                <w:rFonts w:hint="default" w:hAnsi="宋体"/>
                <w:color w:val="auto"/>
                <w:sz w:val="18"/>
                <w:szCs w:val="18"/>
              </w:rPr>
              <w:t>、</w:t>
            </w:r>
            <w:r>
              <w:rPr>
                <w:rFonts w:hint="default"/>
                <w:color w:val="auto"/>
                <w:sz w:val="18"/>
                <w:szCs w:val="18"/>
              </w:rPr>
              <w:t>CO</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eastAsia"/>
                <w:color w:val="auto"/>
                <w:sz w:val="18"/>
                <w:szCs w:val="18"/>
              </w:rPr>
              <w:t>963.6</w:t>
            </w:r>
            <w:r>
              <w:rPr>
                <w:rFonts w:hint="default"/>
                <w:color w:val="auto"/>
                <w:sz w:val="18"/>
                <w:szCs w:val="18"/>
              </w:rPr>
              <w:t>×10</w:t>
            </w:r>
            <w:r>
              <w:rPr>
                <w:rFonts w:hint="default"/>
                <w:color w:val="auto"/>
                <w:sz w:val="18"/>
                <w:szCs w:val="18"/>
                <w:vertAlign w:val="superscript"/>
              </w:rPr>
              <w:t>4</w:t>
            </w:r>
            <w:r>
              <w:rPr>
                <w:rFonts w:hint="default"/>
                <w:color w:val="auto"/>
                <w:sz w:val="18"/>
                <w:szCs w:val="18"/>
              </w:rPr>
              <w:t>m</w:t>
            </w:r>
            <w:r>
              <w:rPr>
                <w:rFonts w:hint="default"/>
                <w:color w:val="auto"/>
                <w:sz w:val="18"/>
                <w:szCs w:val="18"/>
                <w:vertAlign w:val="superscript"/>
              </w:rPr>
              <w:t>3</w:t>
            </w:r>
          </w:p>
        </w:tc>
        <w:tc>
          <w:tcPr>
            <w:tcW w:w="1890"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snapToGrid w:val="0"/>
                <w:color w:val="auto"/>
                <w:sz w:val="18"/>
                <w:szCs w:val="18"/>
              </w:rPr>
              <w:t>符合（</w:t>
            </w:r>
            <w:r>
              <w:rPr>
                <w:rFonts w:hint="default"/>
                <w:snapToGrid w:val="0"/>
                <w:color w:val="auto"/>
                <w:sz w:val="18"/>
                <w:szCs w:val="18"/>
              </w:rPr>
              <w:t>GB 20891-2014</w:t>
            </w:r>
            <w:r>
              <w:rPr>
                <w:rFonts w:hint="default" w:hAnsi="宋体"/>
                <w:snapToGrid w:val="0"/>
                <w:color w:val="auto"/>
                <w:sz w:val="18"/>
                <w:szCs w:val="18"/>
              </w:rPr>
              <w:t>）规定的</w:t>
            </w:r>
            <w:r>
              <w:rPr>
                <w:rFonts w:hint="default"/>
                <w:snapToGrid w:val="0"/>
                <w:color w:val="auto"/>
                <w:sz w:val="18"/>
                <w:szCs w:val="18"/>
              </w:rPr>
              <w:t>PM</w:t>
            </w:r>
            <w:r>
              <w:rPr>
                <w:rFonts w:hint="default" w:hAnsi="宋体"/>
                <w:snapToGrid w:val="0"/>
                <w:color w:val="auto"/>
                <w:sz w:val="18"/>
                <w:szCs w:val="18"/>
              </w:rPr>
              <w:t>浓度</w:t>
            </w:r>
            <w:r>
              <w:rPr>
                <w:rFonts w:hint="default"/>
                <w:snapToGrid w:val="0"/>
                <w:color w:val="auto"/>
                <w:sz w:val="18"/>
                <w:szCs w:val="18"/>
              </w:rPr>
              <w:t>&lt;0.20g/kwh</w:t>
            </w:r>
            <w:r>
              <w:rPr>
                <w:rFonts w:hint="default" w:hAnsi="宋体"/>
                <w:snapToGrid w:val="0"/>
                <w:color w:val="auto"/>
                <w:sz w:val="18"/>
                <w:szCs w:val="18"/>
              </w:rPr>
              <w:t>、</w:t>
            </w:r>
            <w:r>
              <w:rPr>
                <w:rFonts w:hint="default"/>
                <w:snapToGrid w:val="0"/>
                <w:color w:val="auto"/>
                <w:sz w:val="18"/>
                <w:szCs w:val="18"/>
              </w:rPr>
              <w:t>HC+NOx</w:t>
            </w:r>
            <w:r>
              <w:rPr>
                <w:rFonts w:hint="default" w:hAnsi="宋体"/>
                <w:snapToGrid w:val="0"/>
                <w:color w:val="auto"/>
                <w:sz w:val="18"/>
                <w:szCs w:val="18"/>
              </w:rPr>
              <w:t>浓度</w:t>
            </w:r>
            <w:r>
              <w:rPr>
                <w:rFonts w:hint="default"/>
                <w:snapToGrid w:val="0"/>
                <w:color w:val="auto"/>
                <w:sz w:val="18"/>
                <w:szCs w:val="18"/>
              </w:rPr>
              <w:t>&lt;6.4g/kwh</w:t>
            </w:r>
            <w:r>
              <w:rPr>
                <w:rFonts w:hint="default" w:hAnsi="宋体"/>
                <w:snapToGrid w:val="0"/>
                <w:color w:val="auto"/>
                <w:sz w:val="18"/>
                <w:szCs w:val="18"/>
              </w:rPr>
              <w:t>和</w:t>
            </w:r>
            <w:r>
              <w:rPr>
                <w:rFonts w:hint="default"/>
                <w:snapToGrid w:val="0"/>
                <w:color w:val="auto"/>
                <w:sz w:val="18"/>
                <w:szCs w:val="18"/>
              </w:rPr>
              <w:t>CO</w:t>
            </w:r>
            <w:r>
              <w:rPr>
                <w:rFonts w:hint="default" w:hAnsi="宋体"/>
                <w:snapToGrid w:val="0"/>
                <w:color w:val="auto"/>
                <w:sz w:val="18"/>
                <w:szCs w:val="18"/>
              </w:rPr>
              <w:t>浓度</w:t>
            </w:r>
            <w:r>
              <w:rPr>
                <w:rFonts w:hint="default"/>
                <w:snapToGrid w:val="0"/>
                <w:color w:val="auto"/>
                <w:sz w:val="18"/>
                <w:szCs w:val="18"/>
              </w:rPr>
              <w:t>&lt;3.5 g/kwh</w:t>
            </w:r>
            <w:r>
              <w:rPr>
                <w:rFonts w:hint="default" w:hAnsi="宋体"/>
                <w:snapToGrid w:val="0"/>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snapToGrid w:val="0"/>
                <w:color w:val="auto"/>
                <w:kern w:val="0"/>
                <w:sz w:val="18"/>
                <w:szCs w:val="18"/>
              </w:rPr>
            </w:pPr>
            <w:r>
              <w:rPr>
                <w:rFonts w:hint="eastAsia" w:hAnsi="宋体"/>
                <w:snapToGrid w:val="0"/>
                <w:color w:val="auto"/>
                <w:kern w:val="0"/>
                <w:sz w:val="18"/>
                <w:szCs w:val="18"/>
              </w:rPr>
              <w:t>放空火炬燃烧废气</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sz w:val="18"/>
                <w:szCs w:val="18"/>
              </w:rPr>
            </w:pPr>
            <w:r>
              <w:rPr>
                <w:rFonts w:hint="default" w:hAnsi="宋体"/>
                <w:color w:val="auto"/>
                <w:sz w:val="18"/>
                <w:szCs w:val="18"/>
              </w:rPr>
              <w:t>SO</w:t>
            </w:r>
            <w:r>
              <w:rPr>
                <w:rFonts w:hint="default"/>
                <w:color w:val="auto"/>
                <w:sz w:val="18"/>
                <w:szCs w:val="18"/>
                <w:vertAlign w:val="subscript"/>
              </w:rPr>
              <w:t>2</w:t>
            </w:r>
            <w:r>
              <w:rPr>
                <w:rFonts w:hint="eastAsia" w:hAnsi="宋体"/>
                <w:color w:val="auto"/>
                <w:sz w:val="18"/>
                <w:szCs w:val="18"/>
              </w:rPr>
              <w:t>、</w:t>
            </w:r>
            <w:r>
              <w:rPr>
                <w:rFonts w:hint="default" w:hAnsi="宋体"/>
                <w:color w:val="auto"/>
                <w:sz w:val="18"/>
                <w:szCs w:val="18"/>
              </w:rPr>
              <w:t>NO</w:t>
            </w:r>
            <w:r>
              <w:rPr>
                <w:rFonts w:hint="default"/>
                <w:color w:val="auto"/>
                <w:sz w:val="18"/>
                <w:szCs w:val="18"/>
                <w:vertAlign w:val="subscript"/>
              </w:rPr>
              <w:t>x</w:t>
            </w:r>
            <w:r>
              <w:rPr>
                <w:rFonts w:hint="eastAsia" w:hAnsi="宋体"/>
                <w:color w:val="auto"/>
                <w:sz w:val="18"/>
                <w:szCs w:val="18"/>
              </w:rPr>
              <w:t>、</w:t>
            </w:r>
            <w:r>
              <w:rPr>
                <w:rFonts w:hint="default" w:hAnsi="宋体"/>
                <w:color w:val="auto"/>
                <w:sz w:val="18"/>
                <w:szCs w:val="18"/>
              </w:rPr>
              <w:t>颗粒物</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eastAsia"/>
                <w:color w:val="auto"/>
                <w:sz w:val="18"/>
                <w:szCs w:val="18"/>
              </w:rPr>
            </w:pPr>
            <w:r>
              <w:rPr>
                <w:rFonts w:hint="eastAsia"/>
                <w:color w:val="auto"/>
                <w:sz w:val="18"/>
                <w:szCs w:val="18"/>
              </w:rPr>
              <w:t>/</w:t>
            </w:r>
          </w:p>
        </w:tc>
        <w:tc>
          <w:tcPr>
            <w:tcW w:w="1890"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eastAsia" w:hAnsi="宋体"/>
                <w:snapToGrid w:val="0"/>
                <w:color w:val="auto"/>
                <w:sz w:val="18"/>
                <w:szCs w:val="18"/>
              </w:rPr>
            </w:pPr>
            <w:r>
              <w:rPr>
                <w:rFonts w:hint="eastAsia" w:hAnsi="宋体"/>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81"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2</w:t>
            </w:r>
          </w:p>
        </w:tc>
        <w:tc>
          <w:tcPr>
            <w:tcW w:w="818"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废水</w:t>
            </w: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生活污水</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COD</w:t>
            </w:r>
            <w:r>
              <w:rPr>
                <w:rFonts w:hint="default" w:hAnsi="宋体"/>
                <w:color w:val="auto"/>
                <w:sz w:val="18"/>
                <w:szCs w:val="18"/>
              </w:rPr>
              <w:t>、</w:t>
            </w:r>
            <w:r>
              <w:rPr>
                <w:rFonts w:hint="default"/>
                <w:color w:val="auto"/>
                <w:sz w:val="18"/>
                <w:szCs w:val="18"/>
              </w:rPr>
              <w:t>NH</w:t>
            </w:r>
            <w:r>
              <w:rPr>
                <w:rFonts w:hint="default"/>
                <w:color w:val="auto"/>
                <w:sz w:val="18"/>
                <w:szCs w:val="18"/>
                <w:vertAlign w:val="subscript"/>
              </w:rPr>
              <w:t>3</w:t>
            </w:r>
            <w:r>
              <w:rPr>
                <w:rFonts w:hint="default"/>
                <w:color w:val="auto"/>
                <w:sz w:val="18"/>
                <w:szCs w:val="18"/>
              </w:rPr>
              <w:t>-N</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eastAsia"/>
                <w:color w:val="auto"/>
                <w:sz w:val="18"/>
                <w:szCs w:val="18"/>
                <w:lang w:val="en-US" w:eastAsia="zh-CN"/>
              </w:rPr>
              <w:t>4723.2</w:t>
            </w:r>
            <w:r>
              <w:rPr>
                <w:rFonts w:hint="default"/>
                <w:color w:val="auto"/>
                <w:sz w:val="18"/>
                <w:szCs w:val="18"/>
              </w:rPr>
              <w:t>m</w:t>
            </w:r>
            <w:r>
              <w:rPr>
                <w:rFonts w:hint="default"/>
                <w:color w:val="auto"/>
                <w:sz w:val="18"/>
                <w:szCs w:val="18"/>
                <w:vertAlign w:val="superscript"/>
              </w:rPr>
              <w:t>3</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eastAsia"/>
                <w:snapToGrid w:val="0"/>
                <w:color w:val="auto"/>
                <w:sz w:val="18"/>
                <w:szCs w:val="18"/>
              </w:rPr>
            </w:pPr>
            <w:r>
              <w:rPr>
                <w:rFonts w:hint="default" w:hAnsi="宋体"/>
                <w:color w:val="auto"/>
                <w:sz w:val="18"/>
                <w:szCs w:val="18"/>
              </w:rPr>
              <w:t>进入施工营地设置的污水池，施工结束后进行卫生处理，场地进行平整</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exac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eastAsia" w:eastAsia="宋体"/>
                <w:color w:val="auto"/>
                <w:sz w:val="18"/>
                <w:szCs w:val="18"/>
                <w:lang w:eastAsia="zh-CN"/>
              </w:rPr>
            </w:pPr>
            <w:r>
              <w:rPr>
                <w:rFonts w:hint="eastAsia"/>
                <w:color w:val="auto"/>
                <w:sz w:val="18"/>
                <w:szCs w:val="18"/>
                <w:lang w:eastAsia="zh-CN"/>
              </w:rPr>
              <w:t>试气废水</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eastAsia"/>
                <w:snapToGrid w:val="0"/>
                <w:color w:val="auto"/>
                <w:sz w:val="18"/>
                <w:szCs w:val="18"/>
              </w:rPr>
              <w:t>试气产液经计量池计量后贮存于储液罐内，最终拉运至升一联气田污水预处理站处理后回注现役油层</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exac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eastAsia" w:hAnsi="宋体" w:eastAsia="宋体"/>
                <w:color w:val="auto"/>
                <w:sz w:val="18"/>
                <w:szCs w:val="18"/>
                <w:lang w:eastAsia="zh-CN"/>
              </w:rPr>
            </w:pPr>
            <w:r>
              <w:rPr>
                <w:rFonts w:hint="eastAsia" w:hAnsi="宋体"/>
                <w:color w:val="auto"/>
                <w:sz w:val="18"/>
                <w:szCs w:val="18"/>
                <w:lang w:val="en-US" w:eastAsia="zh-CN"/>
              </w:rPr>
              <w:t>水基</w:t>
            </w:r>
            <w:r>
              <w:rPr>
                <w:rFonts w:hint="default" w:hAnsi="宋体"/>
                <w:color w:val="auto"/>
                <w:sz w:val="18"/>
                <w:szCs w:val="18"/>
              </w:rPr>
              <w:t>钻井污水</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SS</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eastAsia"/>
                <w:color w:val="auto"/>
                <w:sz w:val="18"/>
                <w:szCs w:val="18"/>
              </w:rPr>
            </w:pPr>
            <w:r>
              <w:rPr>
                <w:rFonts w:hint="eastAsia"/>
                <w:color w:val="auto"/>
                <w:sz w:val="18"/>
                <w:szCs w:val="18"/>
                <w:lang w:val="en-US" w:eastAsia="zh-CN"/>
              </w:rPr>
              <w:t>1200</w:t>
            </w:r>
            <w:r>
              <w:rPr>
                <w:rFonts w:hint="default"/>
                <w:color w:val="auto"/>
                <w:sz w:val="18"/>
                <w:szCs w:val="18"/>
              </w:rPr>
              <w:t>m</w:t>
            </w:r>
            <w:r>
              <w:rPr>
                <w:rFonts w:hint="default"/>
                <w:color w:val="auto"/>
                <w:sz w:val="18"/>
                <w:szCs w:val="18"/>
                <w:vertAlign w:val="superscript"/>
              </w:rPr>
              <w:t>3</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eastAsia" w:hAnsi="宋体"/>
                <w:color w:val="auto"/>
                <w:sz w:val="18"/>
                <w:szCs w:val="18"/>
              </w:rPr>
              <w:t>废弃泥浆在井场进行固液分离处理。分离出的液相处理达标后循环利用，无法利用的，拉运至大庆市采油八厂废弃钻井液集中处理站统一处理。不排入外环境</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default" w:hAnsi="宋体" w:eastAsia="宋体"/>
                <w:color w:val="auto"/>
                <w:sz w:val="18"/>
                <w:szCs w:val="18"/>
                <w:lang w:val="en-US" w:eastAsia="zh-CN"/>
              </w:rPr>
            </w:pPr>
            <w:r>
              <w:rPr>
                <w:rFonts w:hint="eastAsia" w:hAnsi="宋体"/>
                <w:color w:val="auto"/>
                <w:sz w:val="18"/>
                <w:szCs w:val="18"/>
                <w:lang w:val="en-US" w:eastAsia="zh-CN"/>
              </w:rPr>
              <w:t>油基钻井</w:t>
            </w:r>
            <w:r>
              <w:rPr>
                <w:rFonts w:hint="default" w:hAnsi="宋体"/>
                <w:color w:val="auto"/>
                <w:sz w:val="18"/>
                <w:szCs w:val="18"/>
              </w:rPr>
              <w:t>污水</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SS</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lang w:val="en-US" w:eastAsia="zh-CN"/>
              </w:rPr>
            </w:pPr>
            <w:r>
              <w:rPr>
                <w:rFonts w:hint="eastAsia"/>
                <w:color w:val="auto"/>
                <w:sz w:val="18"/>
                <w:szCs w:val="18"/>
                <w:lang w:val="en-US" w:eastAsia="zh-CN"/>
              </w:rPr>
              <w:t>900.4</w:t>
            </w:r>
            <w:r>
              <w:rPr>
                <w:rFonts w:hint="default"/>
                <w:color w:val="auto"/>
                <w:sz w:val="18"/>
                <w:szCs w:val="18"/>
              </w:rPr>
              <w:t>m</w:t>
            </w:r>
            <w:r>
              <w:rPr>
                <w:rFonts w:hint="default"/>
                <w:color w:val="auto"/>
                <w:sz w:val="18"/>
                <w:szCs w:val="18"/>
                <w:vertAlign w:val="superscript"/>
              </w:rPr>
              <w:t>3</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eastAsia" w:hAnsi="宋体"/>
                <w:color w:val="auto"/>
                <w:sz w:val="18"/>
                <w:szCs w:val="18"/>
              </w:rPr>
            </w:pPr>
            <w:r>
              <w:rPr>
                <w:rFonts w:hint="eastAsia" w:hAnsi="宋体"/>
                <w:color w:val="auto"/>
                <w:sz w:val="18"/>
                <w:szCs w:val="18"/>
                <w:lang w:val="en-US" w:eastAsia="zh-CN"/>
              </w:rPr>
              <w:t>大庆中林绿源生物环保有限公司处理</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3</w:t>
            </w:r>
          </w:p>
        </w:tc>
        <w:tc>
          <w:tcPr>
            <w:tcW w:w="818"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固废</w:t>
            </w:r>
          </w:p>
        </w:tc>
        <w:tc>
          <w:tcPr>
            <w:tcW w:w="1167"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eastAsia" w:hAnsi="宋体"/>
                <w:snapToGrid w:val="0"/>
                <w:color w:val="auto"/>
                <w:kern w:val="0"/>
                <w:sz w:val="18"/>
                <w:szCs w:val="18"/>
                <w:lang w:val="en-US" w:eastAsia="zh-CN"/>
              </w:rPr>
              <w:t>水基</w:t>
            </w:r>
            <w:r>
              <w:rPr>
                <w:rFonts w:hint="default" w:hAnsi="宋体"/>
                <w:snapToGrid w:val="0"/>
                <w:color w:val="auto"/>
                <w:kern w:val="0"/>
                <w:sz w:val="18"/>
                <w:szCs w:val="18"/>
              </w:rPr>
              <w:t>钻井液</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snapToGrid w:val="0"/>
                <w:color w:val="auto"/>
                <w:sz w:val="18"/>
                <w:szCs w:val="18"/>
              </w:rPr>
              <w:t>/</w:t>
            </w:r>
          </w:p>
        </w:tc>
        <w:tc>
          <w:tcPr>
            <w:tcW w:w="1453"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 w:val="18"/>
                <w:szCs w:val="18"/>
              </w:rPr>
            </w:pPr>
            <w:r>
              <w:rPr>
                <w:rFonts w:hint="eastAsia"/>
                <w:color w:val="auto"/>
                <w:sz w:val="18"/>
                <w:szCs w:val="18"/>
                <w:lang w:val="en-US" w:eastAsia="zh-CN"/>
              </w:rPr>
              <w:t>24960</w:t>
            </w:r>
            <w:r>
              <w:rPr>
                <w:rFonts w:hint="default"/>
                <w:color w:val="auto"/>
                <w:sz w:val="18"/>
                <w:szCs w:val="18"/>
              </w:rPr>
              <w:t>m</w:t>
            </w:r>
            <w:r>
              <w:rPr>
                <w:rFonts w:hint="default"/>
                <w:color w:val="auto"/>
                <w:sz w:val="18"/>
                <w:szCs w:val="18"/>
                <w:vertAlign w:val="superscript"/>
              </w:rPr>
              <w:t>3</w:t>
            </w:r>
          </w:p>
        </w:tc>
        <w:tc>
          <w:tcPr>
            <w:tcW w:w="1890"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eastAsia" w:hAnsi="宋体"/>
                <w:color w:val="auto"/>
                <w:sz w:val="18"/>
                <w:szCs w:val="18"/>
              </w:rPr>
              <w:t>废弃泥浆在井场进行固液分离处理。分离出的液相处理达标后循环利用，无法利用的，拉运至大庆市采油八厂废弃钻井液集中处理站统一处理。不排入外环境</w:t>
            </w:r>
          </w:p>
        </w:tc>
        <w:tc>
          <w:tcPr>
            <w:tcW w:w="2249"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hAnsi="宋体"/>
                <w:color w:val="auto"/>
                <w:sz w:val="18"/>
                <w:szCs w:val="18"/>
              </w:rPr>
            </w:pPr>
          </w:p>
        </w:tc>
        <w:tc>
          <w:tcPr>
            <w:tcW w:w="1167"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hAnsi="宋体" w:eastAsia="宋体"/>
                <w:snapToGrid w:val="0"/>
                <w:color w:val="auto"/>
                <w:kern w:val="0"/>
                <w:sz w:val="18"/>
                <w:szCs w:val="18"/>
                <w:lang w:val="en-US" w:eastAsia="zh-CN"/>
              </w:rPr>
            </w:pPr>
            <w:r>
              <w:rPr>
                <w:rFonts w:hint="eastAsia" w:hAnsi="宋体"/>
                <w:snapToGrid w:val="0"/>
                <w:color w:val="auto"/>
                <w:kern w:val="0"/>
                <w:sz w:val="18"/>
                <w:szCs w:val="18"/>
                <w:lang w:val="en-US" w:eastAsia="zh-CN"/>
              </w:rPr>
              <w:t>不含油岩屑</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eastAsia="宋体"/>
                <w:snapToGrid w:val="0"/>
                <w:color w:val="auto"/>
                <w:sz w:val="18"/>
                <w:szCs w:val="18"/>
                <w:lang w:val="en-US" w:eastAsia="zh-CN"/>
              </w:rPr>
            </w:pPr>
            <w:r>
              <w:rPr>
                <w:rFonts w:hint="eastAsia"/>
                <w:snapToGrid w:val="0"/>
                <w:color w:val="auto"/>
                <w:sz w:val="18"/>
                <w:szCs w:val="18"/>
                <w:lang w:val="en-US" w:eastAsia="zh-CN"/>
              </w:rPr>
              <w:t>/</w:t>
            </w:r>
          </w:p>
        </w:tc>
        <w:tc>
          <w:tcPr>
            <w:tcW w:w="1453"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 w:val="18"/>
                <w:szCs w:val="18"/>
                <w:lang w:val="en-US" w:eastAsia="zh-CN"/>
              </w:rPr>
            </w:pPr>
            <w:r>
              <w:rPr>
                <w:rFonts w:hint="eastAsia"/>
                <w:color w:val="auto"/>
                <w:sz w:val="18"/>
                <w:szCs w:val="18"/>
                <w:lang w:val="en-US" w:eastAsia="zh-CN"/>
              </w:rPr>
              <w:t>1440.27</w:t>
            </w:r>
            <w:r>
              <w:rPr>
                <w:rFonts w:hint="default"/>
                <w:color w:val="auto"/>
                <w:sz w:val="18"/>
                <w:szCs w:val="18"/>
              </w:rPr>
              <w:t>m</w:t>
            </w:r>
            <w:r>
              <w:rPr>
                <w:rFonts w:hint="default"/>
                <w:color w:val="auto"/>
                <w:sz w:val="18"/>
                <w:szCs w:val="18"/>
                <w:vertAlign w:val="superscript"/>
              </w:rPr>
              <w:t>3</w:t>
            </w:r>
          </w:p>
        </w:tc>
        <w:tc>
          <w:tcPr>
            <w:tcW w:w="1890"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2249"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eastAsia" w:hAnsi="宋体"/>
                <w:snapToGrid w:val="0"/>
                <w:color w:val="auto"/>
                <w:kern w:val="0"/>
                <w:sz w:val="18"/>
                <w:szCs w:val="18"/>
                <w:lang w:val="en-US" w:eastAsia="zh-CN"/>
              </w:rPr>
              <w:t>含油</w:t>
            </w:r>
            <w:r>
              <w:rPr>
                <w:rFonts w:hint="default" w:hAnsi="宋体"/>
                <w:snapToGrid w:val="0"/>
                <w:color w:val="auto"/>
                <w:kern w:val="0"/>
                <w:sz w:val="18"/>
                <w:szCs w:val="18"/>
              </w:rPr>
              <w:t>岩屑</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w:t>
            </w:r>
          </w:p>
        </w:tc>
        <w:tc>
          <w:tcPr>
            <w:tcW w:w="1453"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kern w:val="0"/>
                <w:sz w:val="18"/>
                <w:szCs w:val="18"/>
              </w:rPr>
            </w:pPr>
            <w:r>
              <w:rPr>
                <w:rFonts w:hint="eastAsia"/>
                <w:color w:val="auto"/>
                <w:sz w:val="18"/>
                <w:szCs w:val="18"/>
                <w:lang w:val="en-US" w:eastAsia="zh-CN"/>
              </w:rPr>
              <w:t>1080.21</w:t>
            </w:r>
            <w:r>
              <w:rPr>
                <w:rFonts w:hint="default"/>
                <w:color w:val="auto"/>
                <w:sz w:val="18"/>
                <w:szCs w:val="18"/>
              </w:rPr>
              <w:t>m</w:t>
            </w:r>
            <w:r>
              <w:rPr>
                <w:rFonts w:hint="default"/>
                <w:color w:val="auto"/>
                <w:sz w:val="18"/>
                <w:szCs w:val="18"/>
                <w:vertAlign w:val="superscript"/>
              </w:rPr>
              <w:t>3</w:t>
            </w:r>
          </w:p>
        </w:tc>
        <w:tc>
          <w:tcPr>
            <w:tcW w:w="1890"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eastAsia" w:hAnsi="宋体"/>
                <w:color w:val="auto"/>
                <w:sz w:val="18"/>
                <w:szCs w:val="18"/>
                <w:lang w:val="en-US" w:eastAsia="zh-CN"/>
              </w:rPr>
              <w:t>大庆中林绿源生物环保有限公司处理</w:t>
            </w:r>
          </w:p>
        </w:tc>
        <w:tc>
          <w:tcPr>
            <w:tcW w:w="2249"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hAnsi="宋体" w:eastAsia="宋体"/>
                <w:snapToGrid w:val="0"/>
                <w:color w:val="auto"/>
                <w:kern w:val="0"/>
                <w:sz w:val="18"/>
                <w:szCs w:val="18"/>
                <w:lang w:val="en-US" w:eastAsia="zh-CN"/>
              </w:rPr>
            </w:pPr>
            <w:r>
              <w:rPr>
                <w:rFonts w:hint="eastAsia" w:hAnsi="宋体"/>
                <w:snapToGrid w:val="0"/>
                <w:color w:val="auto"/>
                <w:kern w:val="0"/>
                <w:sz w:val="18"/>
                <w:szCs w:val="18"/>
                <w:lang w:val="en-US" w:eastAsia="zh-CN"/>
              </w:rPr>
              <w:t>油基</w:t>
            </w:r>
            <w:r>
              <w:rPr>
                <w:rFonts w:hint="default" w:hAnsi="宋体"/>
                <w:snapToGrid w:val="0"/>
                <w:color w:val="auto"/>
                <w:kern w:val="0"/>
                <w:sz w:val="18"/>
                <w:szCs w:val="18"/>
              </w:rPr>
              <w:t>钻井液</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p>
        </w:tc>
        <w:tc>
          <w:tcPr>
            <w:tcW w:w="1453"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color w:val="auto"/>
                <w:sz w:val="18"/>
                <w:szCs w:val="18"/>
                <w:lang w:val="en-US" w:eastAsia="zh-CN"/>
              </w:rPr>
            </w:pPr>
            <w:r>
              <w:rPr>
                <w:rFonts w:hint="eastAsia"/>
                <w:color w:val="auto"/>
                <w:sz w:val="18"/>
                <w:szCs w:val="18"/>
                <w:lang w:val="en-US" w:eastAsia="zh-CN"/>
              </w:rPr>
              <w:t>25860</w:t>
            </w:r>
            <w:r>
              <w:rPr>
                <w:rFonts w:hint="default"/>
                <w:color w:val="auto"/>
                <w:sz w:val="18"/>
                <w:szCs w:val="18"/>
              </w:rPr>
              <w:t>m</w:t>
            </w:r>
            <w:r>
              <w:rPr>
                <w:rFonts w:hint="default"/>
                <w:color w:val="auto"/>
                <w:sz w:val="18"/>
                <w:szCs w:val="18"/>
                <w:vertAlign w:val="superscript"/>
              </w:rPr>
              <w:t>3</w:t>
            </w:r>
          </w:p>
        </w:tc>
        <w:tc>
          <w:tcPr>
            <w:tcW w:w="1890"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default" w:hAnsi="宋体"/>
                <w:snapToGrid w:val="0"/>
                <w:color w:val="auto"/>
                <w:kern w:val="0"/>
                <w:sz w:val="18"/>
                <w:szCs w:val="18"/>
              </w:rPr>
              <w:t>生活垃圾</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w:t>
            </w:r>
          </w:p>
        </w:tc>
        <w:tc>
          <w:tcPr>
            <w:tcW w:w="1453"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eastAsia"/>
                <w:snapToGrid w:val="0"/>
                <w:color w:val="auto"/>
                <w:kern w:val="0"/>
                <w:sz w:val="18"/>
                <w:szCs w:val="18"/>
                <w:lang w:val="en-US" w:eastAsia="zh-CN"/>
              </w:rPr>
              <w:t>36.9</w:t>
            </w:r>
            <w:r>
              <w:rPr>
                <w:rFonts w:hint="default"/>
                <w:snapToGrid w:val="0"/>
                <w:color w:val="auto"/>
                <w:kern w:val="0"/>
                <w:sz w:val="18"/>
                <w:szCs w:val="18"/>
              </w:rPr>
              <w:t>t</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color w:val="auto"/>
                <w:sz w:val="18"/>
                <w:szCs w:val="18"/>
              </w:rPr>
              <w:t>统一收集后交当地环卫部门处理</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default" w:hAnsi="宋体"/>
                <w:snapToGrid w:val="0"/>
                <w:color w:val="auto"/>
                <w:kern w:val="0"/>
                <w:sz w:val="18"/>
                <w:szCs w:val="18"/>
              </w:rPr>
              <w:t>防渗布</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w:t>
            </w:r>
          </w:p>
        </w:tc>
        <w:tc>
          <w:tcPr>
            <w:tcW w:w="1453"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eastAsia"/>
                <w:snapToGrid w:val="0"/>
                <w:color w:val="auto"/>
                <w:kern w:val="0"/>
                <w:sz w:val="18"/>
                <w:szCs w:val="18"/>
                <w:lang w:val="en-US" w:eastAsia="zh-CN"/>
              </w:rPr>
              <w:t>0.765</w:t>
            </w:r>
            <w:r>
              <w:rPr>
                <w:rFonts w:hint="default"/>
                <w:snapToGrid w:val="0"/>
                <w:color w:val="auto"/>
                <w:kern w:val="0"/>
                <w:sz w:val="18"/>
                <w:szCs w:val="18"/>
              </w:rPr>
              <w:t>t</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eastAsia" w:hAnsi="宋体"/>
                <w:snapToGrid w:val="0"/>
                <w:color w:val="auto"/>
                <w:kern w:val="0"/>
                <w:sz w:val="18"/>
                <w:szCs w:val="18"/>
              </w:rPr>
              <w:t>送大庆市岗源环保科技有限责任公司</w:t>
            </w:r>
            <w:r>
              <w:rPr>
                <w:rFonts w:hint="default" w:hAnsi="宋体"/>
                <w:snapToGrid w:val="0"/>
                <w:color w:val="auto"/>
                <w:kern w:val="0"/>
                <w:sz w:val="18"/>
                <w:szCs w:val="18"/>
              </w:rPr>
              <w:t>工业</w:t>
            </w:r>
            <w:r>
              <w:rPr>
                <w:rFonts w:hint="eastAsia" w:hAnsi="宋体"/>
                <w:snapToGrid w:val="0"/>
                <w:color w:val="auto"/>
                <w:kern w:val="0"/>
                <w:sz w:val="18"/>
                <w:szCs w:val="18"/>
              </w:rPr>
              <w:t>废弃物处置中心</w:t>
            </w:r>
            <w:r>
              <w:rPr>
                <w:rFonts w:hint="default" w:hAnsi="宋体"/>
                <w:snapToGrid w:val="0"/>
                <w:color w:val="auto"/>
                <w:kern w:val="0"/>
                <w:sz w:val="18"/>
                <w:szCs w:val="18"/>
              </w:rPr>
              <w:t>处置</w:t>
            </w:r>
          </w:p>
        </w:tc>
        <w:tc>
          <w:tcPr>
            <w:tcW w:w="2249" w:type="dxa"/>
            <w:vMerge w:val="restart"/>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default" w:hAnsi="宋体"/>
                <w:snapToGrid w:val="0"/>
                <w:color w:val="auto"/>
                <w:kern w:val="0"/>
                <w:sz w:val="18"/>
                <w:szCs w:val="18"/>
              </w:rPr>
              <w:t>一般包装袋</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w:t>
            </w:r>
          </w:p>
        </w:tc>
        <w:tc>
          <w:tcPr>
            <w:tcW w:w="1453"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eastAsia"/>
                <w:snapToGrid w:val="0"/>
                <w:color w:val="auto"/>
                <w:kern w:val="0"/>
                <w:sz w:val="18"/>
                <w:szCs w:val="18"/>
                <w:lang w:val="en-US" w:eastAsia="zh-CN"/>
              </w:rPr>
              <w:t>0.045</w:t>
            </w:r>
            <w:r>
              <w:rPr>
                <w:rFonts w:hint="default"/>
                <w:snapToGrid w:val="0"/>
                <w:color w:val="auto"/>
                <w:kern w:val="0"/>
                <w:sz w:val="18"/>
                <w:szCs w:val="18"/>
              </w:rPr>
              <w:t>t</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p>
        </w:tc>
        <w:tc>
          <w:tcPr>
            <w:tcW w:w="2249"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818"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kern w:val="0"/>
                <w:sz w:val="18"/>
                <w:szCs w:val="18"/>
              </w:rPr>
            </w:pPr>
            <w:r>
              <w:rPr>
                <w:rFonts w:hint="default" w:hAnsi="宋体"/>
                <w:color w:val="auto"/>
                <w:kern w:val="0"/>
                <w:sz w:val="18"/>
                <w:szCs w:val="18"/>
              </w:rPr>
              <w:t>氢氧化钾包装袋</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w:t>
            </w:r>
          </w:p>
        </w:tc>
        <w:tc>
          <w:tcPr>
            <w:tcW w:w="1453" w:type="dxa"/>
            <w:noWrap w:val="0"/>
            <w:vAlign w:val="center"/>
          </w:tcPr>
          <w:p>
            <w:pPr>
              <w:keepNext w:val="0"/>
              <w:keepLines w:val="0"/>
              <w:suppressLineNumbers w:val="0"/>
              <w:snapToGrid w:val="0"/>
              <w:spacing w:before="0" w:beforeAutospacing="0" w:after="0" w:afterAutospacing="0" w:line="240" w:lineRule="atLeast"/>
              <w:ind w:left="0" w:right="0"/>
              <w:jc w:val="center"/>
              <w:rPr>
                <w:rFonts w:hint="default"/>
                <w:snapToGrid w:val="0"/>
                <w:color w:val="auto"/>
                <w:kern w:val="0"/>
                <w:sz w:val="18"/>
                <w:szCs w:val="18"/>
              </w:rPr>
            </w:pPr>
            <w:r>
              <w:rPr>
                <w:rFonts w:hint="eastAsia"/>
                <w:snapToGrid w:val="0"/>
                <w:color w:val="auto"/>
                <w:kern w:val="0"/>
                <w:sz w:val="18"/>
                <w:szCs w:val="18"/>
                <w:lang w:val="en-US" w:eastAsia="zh-CN"/>
              </w:rPr>
              <w:t>0.03</w:t>
            </w:r>
            <w:r>
              <w:rPr>
                <w:rFonts w:hint="default"/>
                <w:snapToGrid w:val="0"/>
                <w:color w:val="auto"/>
                <w:kern w:val="0"/>
                <w:sz w:val="18"/>
                <w:szCs w:val="18"/>
              </w:rPr>
              <w:t>t</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kern w:val="0"/>
                <w:sz w:val="18"/>
                <w:szCs w:val="18"/>
              </w:rPr>
              <w:t>委托有资质的单位处理</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exact"/>
          <w:jc w:val="center"/>
        </w:trPr>
        <w:tc>
          <w:tcPr>
            <w:tcW w:w="481"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4</w:t>
            </w:r>
          </w:p>
        </w:tc>
        <w:tc>
          <w:tcPr>
            <w:tcW w:w="818"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噪声</w:t>
            </w:r>
          </w:p>
        </w:tc>
        <w:tc>
          <w:tcPr>
            <w:tcW w:w="1167"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hAnsi="宋体"/>
                <w:color w:val="auto"/>
                <w:sz w:val="18"/>
                <w:szCs w:val="18"/>
              </w:rPr>
              <w:t>机械噪声</w:t>
            </w:r>
          </w:p>
        </w:tc>
        <w:tc>
          <w:tcPr>
            <w:tcW w:w="122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hAnsi="宋体"/>
                <w:color w:val="auto"/>
                <w:sz w:val="18"/>
                <w:szCs w:val="18"/>
              </w:rPr>
              <w:t>噪声</w:t>
            </w:r>
          </w:p>
        </w:tc>
        <w:tc>
          <w:tcPr>
            <w:tcW w:w="1453" w:type="dxa"/>
            <w:noWrap w:val="0"/>
            <w:vAlign w:val="center"/>
          </w:tcPr>
          <w:p>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70</w:t>
            </w:r>
            <w:r>
              <w:rPr>
                <w:rFonts w:hint="default" w:hAnsi="宋体"/>
                <w:color w:val="auto"/>
                <w:sz w:val="18"/>
                <w:szCs w:val="18"/>
              </w:rPr>
              <w:t>～</w:t>
            </w:r>
            <w:r>
              <w:rPr>
                <w:rFonts w:hint="default"/>
                <w:color w:val="auto"/>
                <w:sz w:val="18"/>
                <w:szCs w:val="18"/>
              </w:rPr>
              <w:t>105</w:t>
            </w:r>
            <w:r>
              <w:rPr>
                <w:rFonts w:hint="default"/>
                <w:snapToGrid w:val="0"/>
                <w:color w:val="auto"/>
                <w:sz w:val="18"/>
                <w:szCs w:val="18"/>
              </w:rPr>
              <w:t>dB</w:t>
            </w:r>
            <w:r>
              <w:rPr>
                <w:rFonts w:hint="default" w:hAnsi="宋体"/>
                <w:snapToGrid w:val="0"/>
                <w:color w:val="auto"/>
                <w:sz w:val="18"/>
                <w:szCs w:val="18"/>
              </w:rPr>
              <w:t>（</w:t>
            </w:r>
            <w:r>
              <w:rPr>
                <w:rFonts w:hint="default"/>
                <w:snapToGrid w:val="0"/>
                <w:color w:val="auto"/>
                <w:sz w:val="18"/>
                <w:szCs w:val="18"/>
              </w:rPr>
              <w:t>A</w:t>
            </w:r>
            <w:r>
              <w:rPr>
                <w:rFonts w:hint="default" w:hAnsi="宋体"/>
                <w:snapToGrid w:val="0"/>
                <w:color w:val="auto"/>
                <w:sz w:val="18"/>
                <w:szCs w:val="18"/>
              </w:rPr>
              <w:t>）</w:t>
            </w:r>
          </w:p>
        </w:tc>
        <w:tc>
          <w:tcPr>
            <w:tcW w:w="1890"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排入周围环境</w:t>
            </w:r>
          </w:p>
        </w:tc>
        <w:tc>
          <w:tcPr>
            <w:tcW w:w="2249" w:type="dxa"/>
            <w:noWrap w:val="0"/>
            <w:vAlign w:val="center"/>
          </w:tcPr>
          <w:p>
            <w:pPr>
              <w:keepNext w:val="0"/>
              <w:keepLines w:val="0"/>
              <w:suppressLineNumbers w:val="0"/>
              <w:spacing w:before="0" w:beforeAutospacing="0" w:after="0" w:afterAutospacing="0" w:line="240" w:lineRule="exact"/>
              <w:ind w:left="0" w:right="0"/>
              <w:jc w:val="center"/>
              <w:rPr>
                <w:rFonts w:hint="default"/>
                <w:snapToGrid w:val="0"/>
                <w:color w:val="auto"/>
                <w:sz w:val="18"/>
                <w:szCs w:val="18"/>
              </w:rPr>
            </w:pPr>
            <w:r>
              <w:rPr>
                <w:rFonts w:hint="default" w:hAnsi="宋体"/>
                <w:color w:val="auto"/>
                <w:sz w:val="18"/>
                <w:szCs w:val="18"/>
              </w:rPr>
              <w:t>符合（</w:t>
            </w:r>
            <w:r>
              <w:rPr>
                <w:rFonts w:hint="default"/>
                <w:color w:val="auto"/>
                <w:sz w:val="18"/>
                <w:szCs w:val="18"/>
              </w:rPr>
              <w:t>GB 12523-2011</w:t>
            </w:r>
            <w:r>
              <w:rPr>
                <w:rFonts w:hint="default" w:hAnsi="宋体"/>
                <w:color w:val="auto"/>
                <w:sz w:val="18"/>
                <w:szCs w:val="18"/>
              </w:rPr>
              <w:t>）昼间</w:t>
            </w:r>
            <w:r>
              <w:rPr>
                <w:rFonts w:hint="default"/>
                <w:color w:val="auto"/>
                <w:sz w:val="18"/>
                <w:szCs w:val="18"/>
              </w:rPr>
              <w:t>&lt;70dB(A)</w:t>
            </w:r>
            <w:r>
              <w:rPr>
                <w:rFonts w:hint="default" w:hAnsi="宋体"/>
                <w:color w:val="auto"/>
                <w:sz w:val="18"/>
                <w:szCs w:val="18"/>
              </w:rPr>
              <w:t>、夜间</w:t>
            </w:r>
            <w:r>
              <w:rPr>
                <w:rFonts w:hint="default"/>
                <w:color w:val="auto"/>
                <w:sz w:val="18"/>
                <w:szCs w:val="18"/>
              </w:rPr>
              <w:t>&lt;55dB(A)</w:t>
            </w:r>
            <w:r>
              <w:rPr>
                <w:rFonts w:hint="default" w:hAnsi="宋体"/>
                <w:color w:val="auto"/>
                <w:sz w:val="18"/>
                <w:szCs w:val="18"/>
              </w:rPr>
              <w:t>要求</w:t>
            </w:r>
          </w:p>
        </w:tc>
      </w:tr>
    </w:tbl>
    <w:p>
      <w:pPr>
        <w:pStyle w:val="5"/>
        <w:numPr>
          <w:ilvl w:val="2"/>
          <w:numId w:val="4"/>
        </w:numPr>
        <w:bidi w:val="0"/>
        <w:rPr>
          <w:color w:val="auto"/>
        </w:rPr>
      </w:pPr>
      <w:bookmarkStart w:id="708" w:name="_Toc68948026"/>
      <w:bookmarkStart w:id="709" w:name="_Toc57708109"/>
      <w:bookmarkStart w:id="710" w:name="_Toc101086219"/>
      <w:bookmarkStart w:id="711" w:name="_Toc526325558"/>
      <w:bookmarkStart w:id="712" w:name="_Toc101085995"/>
      <w:bookmarkStart w:id="713" w:name="_Toc88963662"/>
      <w:bookmarkStart w:id="714" w:name="_Toc104859322"/>
      <w:r>
        <w:rPr>
          <w:color w:val="auto"/>
        </w:rPr>
        <w:t>总量控制</w:t>
      </w:r>
      <w:bookmarkEnd w:id="708"/>
      <w:bookmarkEnd w:id="709"/>
      <w:bookmarkEnd w:id="710"/>
      <w:bookmarkEnd w:id="711"/>
      <w:bookmarkEnd w:id="712"/>
      <w:bookmarkEnd w:id="713"/>
      <w:bookmarkEnd w:id="714"/>
    </w:p>
    <w:p>
      <w:pPr>
        <w:snapToGrid w:val="0"/>
        <w:spacing w:line="500" w:lineRule="exact"/>
        <w:ind w:firstLine="560" w:firstLineChars="200"/>
        <w:rPr>
          <w:snapToGrid w:val="0"/>
          <w:color w:val="auto"/>
          <w:kern w:val="0"/>
          <w:sz w:val="28"/>
          <w:szCs w:val="28"/>
        </w:rPr>
      </w:pPr>
      <w:bookmarkStart w:id="715" w:name="_Toc196215839"/>
      <w:r>
        <w:rPr>
          <w:rFonts w:hAnsi="宋体"/>
          <w:snapToGrid w:val="0"/>
          <w:color w:val="auto"/>
          <w:kern w:val="0"/>
          <w:sz w:val="28"/>
          <w:szCs w:val="28"/>
        </w:rPr>
        <w:t>本工程属于油田开发的前期工作，新钻</w:t>
      </w:r>
      <w:r>
        <w:rPr>
          <w:rFonts w:hint="eastAsia"/>
          <w:snapToGrid w:val="0"/>
          <w:color w:val="auto"/>
          <w:kern w:val="0"/>
          <w:sz w:val="28"/>
          <w:szCs w:val="28"/>
          <w:lang w:val="en-US" w:eastAsia="zh-CN"/>
        </w:rPr>
        <w:t>30</w:t>
      </w:r>
      <w:r>
        <w:rPr>
          <w:rFonts w:hAnsi="宋体"/>
          <w:snapToGrid w:val="0"/>
          <w:color w:val="auto"/>
          <w:kern w:val="0"/>
          <w:sz w:val="28"/>
          <w:szCs w:val="28"/>
        </w:rPr>
        <w:t>口井，污染物只是在施工期产生，因此本工程不进行总量控制。</w:t>
      </w:r>
    </w:p>
    <w:p>
      <w:pPr>
        <w:pStyle w:val="5"/>
        <w:numPr>
          <w:ilvl w:val="2"/>
          <w:numId w:val="4"/>
        </w:numPr>
        <w:bidi w:val="0"/>
        <w:rPr>
          <w:color w:val="auto"/>
        </w:rPr>
      </w:pPr>
      <w:r>
        <w:rPr>
          <w:color w:val="auto"/>
        </w:rPr>
        <w:t>环境管理与监测计划</w:t>
      </w:r>
      <w:bookmarkEnd w:id="715"/>
    </w:p>
    <w:p>
      <w:pPr>
        <w:pStyle w:val="6"/>
        <w:numPr>
          <w:ilvl w:val="3"/>
          <w:numId w:val="4"/>
        </w:numPr>
        <w:bidi w:val="0"/>
        <w:rPr>
          <w:color w:val="auto"/>
        </w:rPr>
      </w:pPr>
      <w:r>
        <w:rPr>
          <w:color w:val="auto"/>
        </w:rPr>
        <w:t>加强工程承包方管理</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要与具有相关资质的施工作业单位签定《工程服务安全生产合同》，执行</w:t>
      </w:r>
      <w:r>
        <w:rPr>
          <w:snapToGrid w:val="0"/>
          <w:color w:val="auto"/>
          <w:kern w:val="0"/>
          <w:sz w:val="28"/>
          <w:szCs w:val="28"/>
        </w:rPr>
        <w:t>HSE</w:t>
      </w:r>
      <w:r>
        <w:rPr>
          <w:rFonts w:hAnsi="宋体"/>
          <w:snapToGrid w:val="0"/>
          <w:color w:val="auto"/>
          <w:kern w:val="0"/>
          <w:sz w:val="28"/>
          <w:szCs w:val="28"/>
        </w:rPr>
        <w:t>管理体系，对项目实施</w:t>
      </w:r>
      <w:r>
        <w:rPr>
          <w:snapToGrid w:val="0"/>
          <w:color w:val="auto"/>
          <w:kern w:val="0"/>
          <w:sz w:val="28"/>
          <w:szCs w:val="28"/>
        </w:rPr>
        <w:t>HSE</w:t>
      </w:r>
      <w:r>
        <w:rPr>
          <w:rFonts w:hAnsi="宋体"/>
          <w:snapToGrid w:val="0"/>
          <w:color w:val="auto"/>
          <w:kern w:val="0"/>
          <w:sz w:val="28"/>
          <w:szCs w:val="28"/>
        </w:rPr>
        <w:t>立卷管理，并按其内容执行。针对工程的承包方，应加强环境管理，制定出严格的环保管理制度：</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1</w:t>
      </w:r>
      <w:r>
        <w:rPr>
          <w:rFonts w:hAnsi="宋体"/>
          <w:snapToGrid w:val="0"/>
          <w:color w:val="auto"/>
          <w:kern w:val="0"/>
          <w:sz w:val="28"/>
          <w:szCs w:val="28"/>
        </w:rPr>
        <w:t>）在承包方的选择上应优先选择那些环保管理水平高、环保业绩好的单位；</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2</w:t>
      </w:r>
      <w:r>
        <w:rPr>
          <w:rFonts w:hAnsi="宋体"/>
          <w:snapToGrid w:val="0"/>
          <w:color w:val="auto"/>
          <w:kern w:val="0"/>
          <w:sz w:val="28"/>
          <w:szCs w:val="28"/>
        </w:rPr>
        <w:t>）在承包合同中应明确有关环境保护条款，如环境保护目标，采取的水、气、声和生态保护措施等，将环保工作的好坏作为工程验收的标准之一；</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3</w:t>
      </w:r>
      <w:r>
        <w:rPr>
          <w:rFonts w:hAnsi="宋体"/>
          <w:snapToGrid w:val="0"/>
          <w:color w:val="auto"/>
          <w:kern w:val="0"/>
          <w:sz w:val="28"/>
          <w:szCs w:val="28"/>
        </w:rPr>
        <w:t>）各分承包方应按照项目部的环境管理制度要求，建立相应的环境管理机构，明确环保管理人员，明确人员职责等；</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w:t>
      </w:r>
      <w:r>
        <w:rPr>
          <w:snapToGrid w:val="0"/>
          <w:color w:val="auto"/>
          <w:kern w:val="0"/>
          <w:sz w:val="28"/>
          <w:szCs w:val="28"/>
        </w:rPr>
        <w:t>4</w:t>
      </w:r>
      <w:r>
        <w:rPr>
          <w:rFonts w:hAnsi="宋体"/>
          <w:snapToGrid w:val="0"/>
          <w:color w:val="auto"/>
          <w:kern w:val="0"/>
          <w:sz w:val="28"/>
          <w:szCs w:val="28"/>
        </w:rPr>
        <w:t>）各分承包方在施工之前，编制详细的</w:t>
      </w:r>
      <w:r>
        <w:rPr>
          <w:snapToGrid w:val="0"/>
          <w:color w:val="auto"/>
          <w:kern w:val="0"/>
          <w:sz w:val="28"/>
          <w:szCs w:val="28"/>
        </w:rPr>
        <w:t>“</w:t>
      </w:r>
      <w:r>
        <w:rPr>
          <w:rFonts w:hAnsi="宋体"/>
          <w:snapToGrid w:val="0"/>
          <w:color w:val="auto"/>
          <w:kern w:val="0"/>
          <w:sz w:val="28"/>
          <w:szCs w:val="28"/>
        </w:rPr>
        <w:t>环境管理方案</w:t>
      </w:r>
      <w:r>
        <w:rPr>
          <w:snapToGrid w:val="0"/>
          <w:color w:val="auto"/>
          <w:kern w:val="0"/>
          <w:sz w:val="28"/>
          <w:szCs w:val="28"/>
        </w:rPr>
        <w:t>”</w:t>
      </w:r>
      <w:r>
        <w:rPr>
          <w:rFonts w:hAnsi="宋体"/>
          <w:snapToGrid w:val="0"/>
          <w:color w:val="auto"/>
          <w:kern w:val="0"/>
          <w:sz w:val="28"/>
          <w:szCs w:val="28"/>
        </w:rPr>
        <w:t>，并连同施工计划一起呈报项目经理部以及有关的环保部门，批准后方可以开工。</w:t>
      </w:r>
    </w:p>
    <w:p>
      <w:pPr>
        <w:pStyle w:val="6"/>
        <w:numPr>
          <w:ilvl w:val="3"/>
          <w:numId w:val="4"/>
        </w:numPr>
        <w:bidi w:val="0"/>
        <w:rPr>
          <w:color w:val="auto"/>
        </w:rPr>
      </w:pPr>
      <w:r>
        <w:rPr>
          <w:color w:val="auto"/>
        </w:rPr>
        <w:t>注重人员培训</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施工作业之前必须对全体施工人员进行包括环保知识、意识和能力的培训。其中环保能力的培训主要包括：保护生态的规定；减少和收集、处理固体废物的方法；管理、存放及处理危险品的方法；国家及当地政府的环境保护法律、法规等。</w:t>
      </w:r>
    </w:p>
    <w:p>
      <w:pPr>
        <w:pStyle w:val="6"/>
        <w:numPr>
          <w:ilvl w:val="3"/>
          <w:numId w:val="4"/>
        </w:numPr>
        <w:bidi w:val="0"/>
        <w:rPr>
          <w:color w:val="auto"/>
        </w:rPr>
      </w:pPr>
      <w:r>
        <w:rPr>
          <w:color w:val="auto"/>
        </w:rPr>
        <w:t>环境监测计划</w:t>
      </w:r>
    </w:p>
    <w:p>
      <w:pPr>
        <w:snapToGrid w:val="0"/>
        <w:spacing w:line="500" w:lineRule="exact"/>
        <w:ind w:firstLine="560" w:firstLineChars="200"/>
        <w:rPr>
          <w:rFonts w:hAnsi="宋体"/>
          <w:snapToGrid w:val="0"/>
          <w:color w:val="auto"/>
          <w:kern w:val="0"/>
          <w:sz w:val="28"/>
          <w:szCs w:val="28"/>
        </w:rPr>
      </w:pPr>
      <w:r>
        <w:rPr>
          <w:rFonts w:hAnsi="宋体"/>
          <w:snapToGrid w:val="0"/>
          <w:color w:val="auto"/>
          <w:kern w:val="0"/>
          <w:sz w:val="28"/>
          <w:szCs w:val="28"/>
        </w:rPr>
        <w:t>本工程需要进行的环境监测任务由大庆油田环境监测评价中心进行，主要是施工期对钻井井场场界的噪声、扬尘等进行一次性监测，发生事故时对周围的空气、</w:t>
      </w:r>
      <w:r>
        <w:rPr>
          <w:rFonts w:hint="eastAsia" w:hAnsi="宋体"/>
          <w:snapToGrid w:val="0"/>
          <w:color w:val="auto"/>
          <w:kern w:val="0"/>
          <w:sz w:val="28"/>
          <w:szCs w:val="28"/>
        </w:rPr>
        <w:t>地表水、</w:t>
      </w:r>
      <w:r>
        <w:rPr>
          <w:rFonts w:hAnsi="宋体"/>
          <w:snapToGrid w:val="0"/>
          <w:color w:val="auto"/>
          <w:kern w:val="0"/>
          <w:sz w:val="28"/>
          <w:szCs w:val="28"/>
        </w:rPr>
        <w:t>地下水、土壤进行监测。环境监测应按国家和地方的环保要求进行，应采用国家规定的标准监测方法。监测计划具体见下表</w:t>
      </w:r>
      <w:r>
        <w:rPr>
          <w:rFonts w:hint="eastAsia" w:hAnsi="宋体"/>
          <w:snapToGrid w:val="0"/>
          <w:color w:val="auto"/>
          <w:kern w:val="0"/>
          <w:sz w:val="28"/>
          <w:szCs w:val="28"/>
          <w:lang w:val="en-US" w:eastAsia="zh-CN"/>
        </w:rPr>
        <w:t>8.3-2~8.3-4</w:t>
      </w:r>
      <w:r>
        <w:rPr>
          <w:rFonts w:hAnsi="宋体"/>
          <w:snapToGrid w:val="0"/>
          <w:color w:val="auto"/>
          <w:kern w:val="0"/>
          <w:sz w:val="28"/>
          <w:szCs w:val="28"/>
        </w:rPr>
        <w:t>。</w:t>
      </w:r>
    </w:p>
    <w:p>
      <w:pPr>
        <w:pStyle w:val="7"/>
        <w:numPr>
          <w:ilvl w:val="4"/>
          <w:numId w:val="4"/>
        </w:numPr>
        <w:bidi w:val="0"/>
        <w:rPr>
          <w:snapToGrid w:val="0"/>
          <w:color w:val="auto"/>
          <w:kern w:val="0"/>
          <w:sz w:val="28"/>
          <w:szCs w:val="28"/>
        </w:rPr>
      </w:pPr>
      <w:r>
        <w:rPr>
          <w:rFonts w:hAnsi="宋体"/>
          <w:snapToGrid w:val="0"/>
          <w:color w:val="auto"/>
          <w:kern w:val="0"/>
          <w:sz w:val="28"/>
          <w:szCs w:val="28"/>
        </w:rPr>
        <w:t>工程污染物排放监测计划表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2"/>
        <w:gridCol w:w="1434"/>
        <w:gridCol w:w="2800"/>
        <w:gridCol w:w="2801"/>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42" w:type="dxa"/>
            <w:noWrap w:val="0"/>
            <w:tcMar>
              <w:top w:w="28" w:type="dxa"/>
              <w:left w:w="28" w:type="dxa"/>
              <w:bottom w:w="28" w:type="dxa"/>
              <w:right w:w="28" w:type="dxa"/>
            </w:tcMar>
            <w:vAlign w:val="center"/>
          </w:tcPr>
          <w:p>
            <w:pPr>
              <w:keepNext w:val="0"/>
              <w:keepLines w:val="0"/>
              <w:suppressLineNumbers w:val="0"/>
              <w:spacing w:before="0" w:beforeAutospacing="0" w:after="0" w:afterAutospacing="0" w:line="240" w:lineRule="exact"/>
              <w:ind w:left="0" w:right="91"/>
              <w:jc w:val="center"/>
              <w:rPr>
                <w:rFonts w:hint="default"/>
                <w:color w:val="auto"/>
                <w:szCs w:val="21"/>
              </w:rPr>
            </w:pPr>
            <w:r>
              <w:rPr>
                <w:rFonts w:hint="default" w:hAnsi="宋体"/>
                <w:color w:val="auto"/>
                <w:szCs w:val="21"/>
              </w:rPr>
              <w:t>序号</w:t>
            </w:r>
          </w:p>
        </w:tc>
        <w:tc>
          <w:tcPr>
            <w:tcW w:w="1434" w:type="dxa"/>
            <w:noWrap w:val="0"/>
            <w:tcMar>
              <w:top w:w="28" w:type="dxa"/>
              <w:left w:w="28" w:type="dxa"/>
              <w:bottom w:w="28" w:type="dxa"/>
              <w:right w:w="28" w:type="dxa"/>
            </w:tcMar>
            <w:vAlign w:val="center"/>
          </w:tcPr>
          <w:p>
            <w:pPr>
              <w:keepNext w:val="0"/>
              <w:keepLines w:val="0"/>
              <w:suppressLineNumbers w:val="0"/>
              <w:spacing w:before="0" w:beforeAutospacing="0" w:after="0" w:afterAutospacing="0" w:line="240" w:lineRule="exact"/>
              <w:ind w:left="0" w:right="91"/>
              <w:jc w:val="center"/>
              <w:rPr>
                <w:rFonts w:hint="default"/>
                <w:color w:val="auto"/>
                <w:szCs w:val="21"/>
              </w:rPr>
            </w:pPr>
            <w:r>
              <w:rPr>
                <w:rFonts w:hint="default" w:hAnsi="宋体"/>
                <w:color w:val="auto"/>
                <w:szCs w:val="21"/>
              </w:rPr>
              <w:t>监测内容</w:t>
            </w:r>
          </w:p>
        </w:tc>
        <w:tc>
          <w:tcPr>
            <w:tcW w:w="2800" w:type="dxa"/>
            <w:noWrap w:val="0"/>
            <w:tcMar>
              <w:top w:w="28" w:type="dxa"/>
              <w:left w:w="28" w:type="dxa"/>
              <w:bottom w:w="28" w:type="dxa"/>
              <w:right w:w="28" w:type="dxa"/>
            </w:tcMar>
            <w:vAlign w:val="center"/>
          </w:tcPr>
          <w:p>
            <w:pPr>
              <w:keepNext w:val="0"/>
              <w:keepLines w:val="0"/>
              <w:suppressLineNumbers w:val="0"/>
              <w:spacing w:before="0" w:beforeAutospacing="0" w:after="0" w:afterAutospacing="0" w:line="240" w:lineRule="exact"/>
              <w:ind w:left="0" w:right="91"/>
              <w:jc w:val="center"/>
              <w:rPr>
                <w:rFonts w:hint="default"/>
                <w:color w:val="auto"/>
                <w:szCs w:val="21"/>
              </w:rPr>
            </w:pPr>
            <w:r>
              <w:rPr>
                <w:rFonts w:hint="default" w:hAnsi="宋体"/>
                <w:color w:val="auto"/>
                <w:szCs w:val="21"/>
              </w:rPr>
              <w:t>监测（检查）项目</w:t>
            </w:r>
          </w:p>
        </w:tc>
        <w:tc>
          <w:tcPr>
            <w:tcW w:w="2801" w:type="dxa"/>
            <w:noWrap w:val="0"/>
            <w:tcMar>
              <w:top w:w="28" w:type="dxa"/>
              <w:left w:w="28" w:type="dxa"/>
              <w:bottom w:w="28" w:type="dxa"/>
              <w:right w:w="28" w:type="dxa"/>
            </w:tcMar>
            <w:vAlign w:val="center"/>
          </w:tcPr>
          <w:p>
            <w:pPr>
              <w:keepNext w:val="0"/>
              <w:keepLines w:val="0"/>
              <w:suppressLineNumbers w:val="0"/>
              <w:spacing w:before="0" w:beforeAutospacing="0" w:after="0" w:afterAutospacing="0" w:line="240" w:lineRule="exact"/>
              <w:ind w:left="0" w:right="91"/>
              <w:jc w:val="center"/>
              <w:rPr>
                <w:rFonts w:hint="default"/>
                <w:color w:val="auto"/>
                <w:szCs w:val="21"/>
              </w:rPr>
            </w:pPr>
            <w:r>
              <w:rPr>
                <w:rFonts w:hint="default" w:hAnsi="宋体"/>
                <w:color w:val="auto"/>
                <w:szCs w:val="21"/>
              </w:rPr>
              <w:t>监测点位</w:t>
            </w:r>
          </w:p>
        </w:tc>
        <w:tc>
          <w:tcPr>
            <w:tcW w:w="1450" w:type="dxa"/>
            <w:noWrap w:val="0"/>
            <w:tcMar>
              <w:top w:w="28" w:type="dxa"/>
              <w:left w:w="28" w:type="dxa"/>
              <w:bottom w:w="28" w:type="dxa"/>
              <w:right w:w="28" w:type="dxa"/>
            </w:tcMar>
            <w:vAlign w:val="center"/>
          </w:tcPr>
          <w:p>
            <w:pPr>
              <w:keepNext w:val="0"/>
              <w:keepLines w:val="0"/>
              <w:suppressLineNumbers w:val="0"/>
              <w:spacing w:before="0" w:beforeAutospacing="0" w:after="0" w:afterAutospacing="0" w:line="240" w:lineRule="exact"/>
              <w:ind w:left="0" w:right="91"/>
              <w:jc w:val="center"/>
              <w:rPr>
                <w:rFonts w:hint="default"/>
                <w:color w:val="auto"/>
                <w:szCs w:val="21"/>
              </w:rPr>
            </w:pPr>
            <w:r>
              <w:rPr>
                <w:rFonts w:hint="default" w:hAnsi="宋体"/>
                <w:color w:val="auto"/>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642"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w:t>
            </w:r>
          </w:p>
        </w:tc>
        <w:tc>
          <w:tcPr>
            <w:tcW w:w="1434"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rPr>
            </w:pPr>
            <w:r>
              <w:rPr>
                <w:rFonts w:hint="default" w:hAnsi="宋体"/>
                <w:color w:val="auto"/>
                <w:szCs w:val="21"/>
              </w:rPr>
              <w:t>场界扬尘</w:t>
            </w:r>
          </w:p>
        </w:tc>
        <w:tc>
          <w:tcPr>
            <w:tcW w:w="2800"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颗粒物</w:t>
            </w:r>
          </w:p>
        </w:tc>
        <w:tc>
          <w:tcPr>
            <w:tcW w:w="2801" w:type="dxa"/>
            <w:noWrap w:val="0"/>
            <w:tcMar>
              <w:top w:w="0" w:type="dxa"/>
              <w:left w:w="28" w:type="dxa"/>
              <w:bottom w:w="0"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排放源下风向的施工场界周界外</w:t>
            </w:r>
            <w:r>
              <w:rPr>
                <w:rFonts w:hint="default"/>
                <w:color w:val="auto"/>
                <w:kern w:val="0"/>
                <w:szCs w:val="21"/>
              </w:rPr>
              <w:t>10m</w:t>
            </w:r>
            <w:r>
              <w:rPr>
                <w:rFonts w:hint="default" w:hAnsi="宋体"/>
                <w:color w:val="auto"/>
                <w:kern w:val="0"/>
                <w:szCs w:val="21"/>
              </w:rPr>
              <w:t>范围内</w:t>
            </w:r>
          </w:p>
        </w:tc>
        <w:tc>
          <w:tcPr>
            <w:tcW w:w="1450" w:type="dxa"/>
            <w:noWrap w:val="0"/>
            <w:tcMar>
              <w:left w:w="28" w:type="dxa"/>
              <w:right w:w="28" w:type="dxa"/>
            </w:tcMar>
            <w:vAlign w:val="center"/>
          </w:tcPr>
          <w:p>
            <w:pPr>
              <w:keepNext w:val="0"/>
              <w:keepLines w:val="0"/>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w:t>
            </w:r>
            <w:r>
              <w:rPr>
                <w:rFonts w:hint="default" w:hAnsi="宋体"/>
                <w:color w:val="auto"/>
                <w:kern w:val="0"/>
                <w:szCs w:val="21"/>
              </w:rPr>
              <w:t>次</w:t>
            </w:r>
            <w:r>
              <w:rPr>
                <w:rFonts w:hint="default"/>
                <w:color w:val="auto"/>
                <w:kern w:val="0"/>
                <w:szCs w:val="21"/>
              </w:rPr>
              <w:t>/</w:t>
            </w:r>
            <w:r>
              <w:rPr>
                <w:rFonts w:hint="default" w:hAnsi="宋体"/>
                <w:color w:val="auto"/>
                <w:kern w:val="0"/>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42"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2</w:t>
            </w:r>
          </w:p>
        </w:tc>
        <w:tc>
          <w:tcPr>
            <w:tcW w:w="1434"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场界噪声</w:t>
            </w:r>
          </w:p>
        </w:tc>
        <w:tc>
          <w:tcPr>
            <w:tcW w:w="2800"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连续等效</w:t>
            </w:r>
            <w:r>
              <w:rPr>
                <w:rFonts w:hint="default"/>
                <w:color w:val="auto"/>
                <w:kern w:val="0"/>
                <w:szCs w:val="21"/>
              </w:rPr>
              <w:t>A</w:t>
            </w:r>
            <w:r>
              <w:rPr>
                <w:rFonts w:hint="default" w:hAnsi="宋体"/>
                <w:color w:val="auto"/>
                <w:kern w:val="0"/>
                <w:szCs w:val="21"/>
              </w:rPr>
              <w:t>声级</w:t>
            </w:r>
          </w:p>
        </w:tc>
        <w:tc>
          <w:tcPr>
            <w:tcW w:w="2801"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施工场界外</w:t>
            </w:r>
            <w:r>
              <w:rPr>
                <w:rFonts w:hint="default"/>
                <w:color w:val="auto"/>
                <w:kern w:val="0"/>
                <w:szCs w:val="21"/>
              </w:rPr>
              <w:t>1m</w:t>
            </w:r>
          </w:p>
        </w:tc>
        <w:tc>
          <w:tcPr>
            <w:tcW w:w="1450"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1</w:t>
            </w:r>
            <w:r>
              <w:rPr>
                <w:rFonts w:hint="default" w:hAnsi="宋体"/>
                <w:color w:val="auto"/>
                <w:kern w:val="0"/>
                <w:szCs w:val="21"/>
              </w:rPr>
              <w:t>次</w:t>
            </w:r>
            <w:r>
              <w:rPr>
                <w:rFonts w:hint="default"/>
                <w:color w:val="auto"/>
                <w:kern w:val="0"/>
                <w:szCs w:val="21"/>
              </w:rPr>
              <w:t>/</w:t>
            </w:r>
            <w:r>
              <w:rPr>
                <w:rFonts w:hint="default" w:hAnsi="宋体"/>
                <w:color w:val="auto"/>
                <w:kern w:val="0"/>
                <w:szCs w:val="21"/>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8" w:hRule="atLeast"/>
          <w:jc w:val="center"/>
        </w:trPr>
        <w:tc>
          <w:tcPr>
            <w:tcW w:w="642"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color w:val="auto"/>
                <w:kern w:val="0"/>
                <w:szCs w:val="21"/>
              </w:rPr>
              <w:t>3</w:t>
            </w:r>
          </w:p>
        </w:tc>
        <w:tc>
          <w:tcPr>
            <w:tcW w:w="1434"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事故监测</w:t>
            </w:r>
          </w:p>
        </w:tc>
        <w:tc>
          <w:tcPr>
            <w:tcW w:w="2800"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rPr>
                <w:rFonts w:hint="default"/>
                <w:color w:val="auto"/>
                <w:kern w:val="0"/>
                <w:szCs w:val="21"/>
              </w:rPr>
            </w:pPr>
            <w:r>
              <w:rPr>
                <w:rFonts w:hint="default" w:hAnsi="宋体"/>
                <w:color w:val="auto"/>
                <w:kern w:val="0"/>
                <w:szCs w:val="21"/>
              </w:rPr>
              <w:t>空气：非甲烷总烃；土壤：石油烃；</w:t>
            </w:r>
            <w:r>
              <w:rPr>
                <w:rFonts w:hint="eastAsia" w:hAnsi="宋体"/>
                <w:color w:val="auto"/>
                <w:kern w:val="0"/>
                <w:szCs w:val="21"/>
              </w:rPr>
              <w:t>地表水、</w:t>
            </w:r>
            <w:r>
              <w:rPr>
                <w:rFonts w:hint="default" w:hAnsi="宋体"/>
                <w:color w:val="auto"/>
                <w:kern w:val="0"/>
                <w:szCs w:val="21"/>
              </w:rPr>
              <w:t>地下水：石油类</w:t>
            </w:r>
          </w:p>
        </w:tc>
        <w:tc>
          <w:tcPr>
            <w:tcW w:w="2801"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rPr>
                <w:rFonts w:hint="default"/>
                <w:color w:val="auto"/>
                <w:kern w:val="0"/>
                <w:szCs w:val="21"/>
              </w:rPr>
            </w:pPr>
            <w:r>
              <w:rPr>
                <w:rFonts w:hint="default" w:hAnsi="宋体"/>
                <w:color w:val="auto"/>
                <w:kern w:val="0"/>
                <w:szCs w:val="21"/>
              </w:rPr>
              <w:t>空气及土壤为事故地点；地下水为事故地点周围区域。</w:t>
            </w:r>
          </w:p>
        </w:tc>
        <w:tc>
          <w:tcPr>
            <w:tcW w:w="1450" w:type="dxa"/>
            <w:noWrap w:val="0"/>
            <w:tcMar>
              <w:top w:w="28" w:type="dxa"/>
              <w:left w:w="28" w:type="dxa"/>
              <w:bottom w:w="28" w:type="dxa"/>
              <w:right w:w="28" w:type="dxa"/>
            </w:tcMar>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事故发生</w:t>
            </w:r>
            <w:r>
              <w:rPr>
                <w:rFonts w:hint="default"/>
                <w:color w:val="auto"/>
                <w:kern w:val="0"/>
                <w:szCs w:val="21"/>
              </w:rPr>
              <w:t>24</w:t>
            </w:r>
            <w:r>
              <w:rPr>
                <w:rFonts w:hint="default" w:hAnsi="宋体"/>
                <w:color w:val="auto"/>
                <w:kern w:val="0"/>
                <w:szCs w:val="21"/>
              </w:rPr>
              <w:t>小时内</w:t>
            </w:r>
          </w:p>
        </w:tc>
      </w:tr>
    </w:tbl>
    <w:p>
      <w:pPr>
        <w:pStyle w:val="7"/>
        <w:numPr>
          <w:ilvl w:val="4"/>
          <w:numId w:val="4"/>
        </w:numPr>
        <w:bidi w:val="0"/>
        <w:rPr>
          <w:rFonts w:hint="eastAsia"/>
          <w:color w:val="auto"/>
        </w:rPr>
      </w:pPr>
      <w:r>
        <w:rPr>
          <w:color w:val="auto"/>
        </w:rPr>
        <w:t>地下水环境监测计划表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98"/>
        <w:gridCol w:w="1534"/>
        <w:gridCol w:w="1486"/>
        <w:gridCol w:w="523"/>
        <w:gridCol w:w="724"/>
        <w:gridCol w:w="1451"/>
        <w:gridCol w:w="960"/>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1498"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跟踪监测井</w:t>
            </w:r>
          </w:p>
        </w:tc>
        <w:tc>
          <w:tcPr>
            <w:tcW w:w="1534"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坐标</w:t>
            </w:r>
          </w:p>
        </w:tc>
        <w:tc>
          <w:tcPr>
            <w:tcW w:w="1486" w:type="dxa"/>
            <w:noWrap w:val="0"/>
            <w:vAlign w:val="top"/>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color w:val="auto"/>
                <w:sz w:val="18"/>
                <w:szCs w:val="18"/>
              </w:rPr>
              <w:t>相对厂址方位</w:t>
            </w:r>
            <w:r>
              <w:rPr>
                <w:rFonts w:hint="default"/>
                <w:color w:val="auto"/>
                <w:sz w:val="18"/>
                <w:szCs w:val="18"/>
              </w:rPr>
              <w:t>/</w:t>
            </w:r>
            <w:r>
              <w:rPr>
                <w:rFonts w:hint="default" w:hAnsi="宋体"/>
                <w:color w:val="auto"/>
                <w:sz w:val="18"/>
                <w:szCs w:val="18"/>
              </w:rPr>
              <w:t>距离</w:t>
            </w:r>
          </w:p>
        </w:tc>
        <w:tc>
          <w:tcPr>
            <w:tcW w:w="523"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井深（</w:t>
            </w:r>
            <w:r>
              <w:rPr>
                <w:rFonts w:hint="default"/>
                <w:snapToGrid w:val="0"/>
                <w:color w:val="auto"/>
                <w:sz w:val="18"/>
                <w:szCs w:val="18"/>
              </w:rPr>
              <w:t>m</w:t>
            </w:r>
            <w:r>
              <w:rPr>
                <w:rFonts w:hint="default" w:hAnsi="宋体"/>
                <w:snapToGrid w:val="0"/>
                <w:color w:val="auto"/>
                <w:sz w:val="18"/>
                <w:szCs w:val="18"/>
              </w:rPr>
              <w:t>）</w:t>
            </w:r>
          </w:p>
        </w:tc>
        <w:tc>
          <w:tcPr>
            <w:tcW w:w="724"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井结构</w:t>
            </w:r>
          </w:p>
        </w:tc>
        <w:tc>
          <w:tcPr>
            <w:tcW w:w="1451" w:type="dxa"/>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功能</w:t>
            </w:r>
          </w:p>
        </w:tc>
        <w:tc>
          <w:tcPr>
            <w:tcW w:w="960" w:type="dxa"/>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监测因子</w:t>
            </w:r>
          </w:p>
        </w:tc>
        <w:tc>
          <w:tcPr>
            <w:tcW w:w="951"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1498" w:type="dxa"/>
            <w:noWrap w:val="0"/>
            <w:vAlign w:val="center"/>
          </w:tcPr>
          <w:p>
            <w:pPr>
              <w:keepNext w:val="0"/>
              <w:keepLines w:val="0"/>
              <w:suppressLineNumbers w:val="0"/>
              <w:adjustRightInd w:val="0"/>
              <w:snapToGrid w:val="0"/>
              <w:spacing w:before="0" w:beforeAutospacing="0" w:after="0" w:afterAutospacing="0" w:line="240" w:lineRule="exact"/>
              <w:ind w:left="0" w:right="0" w:firstLine="4"/>
              <w:jc w:val="center"/>
              <w:rPr>
                <w:rFonts w:hint="default"/>
                <w:color w:val="auto"/>
                <w:kern w:val="24"/>
                <w:sz w:val="18"/>
                <w:szCs w:val="18"/>
              </w:rPr>
            </w:pPr>
            <w:r>
              <w:rPr>
                <w:rFonts w:hint="default" w:hAnsi="宋体"/>
                <w:color w:val="auto"/>
                <w:kern w:val="24"/>
                <w:sz w:val="18"/>
                <w:szCs w:val="18"/>
              </w:rPr>
              <w:t>上游监测井（</w:t>
            </w:r>
            <w:r>
              <w:rPr>
                <w:rFonts w:hint="default" w:hAnsi="宋体"/>
                <w:snapToGrid w:val="0"/>
                <w:color w:val="auto"/>
                <w:sz w:val="18"/>
                <w:szCs w:val="18"/>
              </w:rPr>
              <w:t>依托</w:t>
            </w:r>
            <w:r>
              <w:rPr>
                <w:rFonts w:hint="eastAsia" w:hAnsi="宋体"/>
                <w:snapToGrid w:val="0"/>
                <w:color w:val="auto"/>
                <w:sz w:val="18"/>
                <w:szCs w:val="18"/>
                <w:lang w:eastAsia="zh-CN"/>
              </w:rPr>
              <w:t>新立屯</w:t>
            </w:r>
            <w:r>
              <w:rPr>
                <w:rFonts w:hint="default" w:hAnsi="宋体"/>
                <w:color w:val="auto"/>
                <w:kern w:val="24"/>
                <w:sz w:val="18"/>
                <w:szCs w:val="18"/>
              </w:rPr>
              <w:t>水井）</w:t>
            </w:r>
          </w:p>
        </w:tc>
        <w:tc>
          <w:tcPr>
            <w:tcW w:w="1534" w:type="dxa"/>
            <w:noWrap w:val="0"/>
            <w:vAlign w:val="center"/>
          </w:tcPr>
          <w:p>
            <w:pPr>
              <w:keepNext w:val="0"/>
              <w:keepLines w:val="0"/>
              <w:widowControl/>
              <w:suppressLineNumbers w:val="0"/>
              <w:spacing w:before="0" w:beforeAutospacing="0" w:after="0" w:afterAutospacing="0"/>
              <w:ind w:left="0" w:right="0"/>
              <w:jc w:val="left"/>
              <w:textAlignment w:val="center"/>
              <w:rPr>
                <w:rFonts w:hint="default"/>
                <w:snapToGrid w:val="0"/>
                <w:color w:val="auto"/>
                <w:sz w:val="18"/>
                <w:szCs w:val="18"/>
              </w:rPr>
            </w:pPr>
            <w:r>
              <w:rPr>
                <w:rFonts w:hint="default" w:ascii="Times New Roman" w:hAnsi="Times New Roman" w:eastAsia="宋体" w:cs="Times New Roman"/>
                <w:i w:val="0"/>
                <w:color w:val="auto"/>
                <w:kern w:val="0"/>
                <w:sz w:val="18"/>
                <w:szCs w:val="18"/>
                <w:u w:val="none"/>
                <w:lang w:val="en-US" w:eastAsia="zh-CN" w:bidi="ar"/>
              </w:rPr>
              <w:t>125°17'41.3431"</w:t>
            </w:r>
            <w:r>
              <w:rPr>
                <w:rFonts w:hint="eastAsia" w:eastAsia="宋体" w:cs="Times New Roman"/>
                <w:i w:val="0"/>
                <w:color w:val="auto"/>
                <w:kern w:val="0"/>
                <w:sz w:val="18"/>
                <w:szCs w:val="18"/>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default"/>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46°12'56.5303"</w:t>
            </w:r>
          </w:p>
        </w:tc>
        <w:tc>
          <w:tcPr>
            <w:tcW w:w="1486" w:type="dxa"/>
            <w:noWrap w:val="0"/>
            <w:vAlign w:val="top"/>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eastAsia"/>
                <w:color w:val="auto"/>
                <w:sz w:val="18"/>
                <w:szCs w:val="18"/>
              </w:rPr>
              <w:t>距离H井场西北侧308m</w:t>
            </w:r>
          </w:p>
        </w:tc>
        <w:tc>
          <w:tcPr>
            <w:tcW w:w="523"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snapToGrid w:val="0"/>
                <w:color w:val="auto"/>
                <w:sz w:val="18"/>
                <w:szCs w:val="18"/>
              </w:rPr>
              <w:t>18</w:t>
            </w:r>
          </w:p>
        </w:tc>
        <w:tc>
          <w:tcPr>
            <w:tcW w:w="724"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水泥管井</w:t>
            </w:r>
          </w:p>
        </w:tc>
        <w:tc>
          <w:tcPr>
            <w:tcW w:w="1451" w:type="dxa"/>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 w:val="18"/>
                <w:szCs w:val="18"/>
              </w:rPr>
            </w:pPr>
            <w:r>
              <w:rPr>
                <w:rFonts w:hint="default" w:hAnsi="宋体"/>
                <w:snapToGrid w:val="0"/>
                <w:color w:val="auto"/>
                <w:sz w:val="18"/>
                <w:szCs w:val="18"/>
              </w:rPr>
              <w:t>背景值监测点</w:t>
            </w:r>
          </w:p>
        </w:tc>
        <w:tc>
          <w:tcPr>
            <w:tcW w:w="960" w:type="dxa"/>
            <w:vMerge w:val="restart"/>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eastAsia"/>
                <w:snapToGrid w:val="0"/>
                <w:color w:val="auto"/>
                <w:sz w:val="18"/>
                <w:szCs w:val="18"/>
              </w:rPr>
            </w:pPr>
            <w:r>
              <w:rPr>
                <w:rFonts w:hint="default" w:hAnsi="宋体"/>
                <w:color w:val="auto"/>
                <w:sz w:val="18"/>
                <w:szCs w:val="18"/>
              </w:rPr>
              <w:t>石油类</w:t>
            </w:r>
          </w:p>
        </w:tc>
        <w:tc>
          <w:tcPr>
            <w:tcW w:w="951" w:type="dxa"/>
            <w:vMerge w:val="restart"/>
            <w:noWrap w:val="0"/>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z w:val="18"/>
                <w:szCs w:val="18"/>
              </w:rPr>
            </w:pPr>
            <w:r>
              <w:rPr>
                <w:rFonts w:hint="default"/>
                <w:color w:val="auto"/>
                <w:sz w:val="18"/>
                <w:szCs w:val="18"/>
              </w:rPr>
              <w:t>1</w:t>
            </w:r>
            <w:r>
              <w:rPr>
                <w:rFonts w:hint="default" w:hAnsi="宋体"/>
                <w:color w:val="auto"/>
                <w:sz w:val="18"/>
                <w:szCs w:val="18"/>
              </w:rPr>
              <w:t>次</w:t>
            </w:r>
            <w:r>
              <w:rPr>
                <w:rFonts w:hint="default"/>
                <w:color w:val="auto"/>
                <w:sz w:val="18"/>
                <w:szCs w:val="18"/>
              </w:rPr>
              <w:t>/</w:t>
            </w:r>
            <w:r>
              <w:rPr>
                <w:rFonts w:hint="default" w:hAnsi="宋体"/>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1498" w:type="dxa"/>
            <w:noWrap w:val="0"/>
            <w:vAlign w:val="center"/>
          </w:tcPr>
          <w:p>
            <w:pPr>
              <w:keepNext w:val="0"/>
              <w:keepLines w:val="0"/>
              <w:suppressLineNumbers w:val="0"/>
              <w:adjustRightInd w:val="0"/>
              <w:snapToGrid w:val="0"/>
              <w:spacing w:before="0" w:beforeAutospacing="0" w:after="0" w:afterAutospacing="0"/>
              <w:ind w:left="0" w:right="0" w:firstLine="4"/>
              <w:jc w:val="center"/>
              <w:rPr>
                <w:rFonts w:hint="default" w:hAnsi="宋体"/>
                <w:color w:val="auto"/>
                <w:kern w:val="24"/>
                <w:sz w:val="18"/>
                <w:szCs w:val="18"/>
              </w:rPr>
            </w:pPr>
            <w:r>
              <w:rPr>
                <w:rFonts w:hint="default" w:hAnsi="宋体"/>
                <w:color w:val="auto"/>
                <w:kern w:val="24"/>
                <w:sz w:val="18"/>
                <w:szCs w:val="18"/>
              </w:rPr>
              <w:t>下游监测井（</w:t>
            </w:r>
            <w:r>
              <w:rPr>
                <w:rFonts w:hint="default" w:hAnsi="宋体"/>
                <w:snapToGrid w:val="0"/>
                <w:color w:val="auto"/>
                <w:sz w:val="18"/>
                <w:szCs w:val="18"/>
              </w:rPr>
              <w:t>依托</w:t>
            </w:r>
            <w:r>
              <w:rPr>
                <w:rFonts w:hint="eastAsia" w:hAnsi="宋体"/>
                <w:snapToGrid w:val="0"/>
                <w:color w:val="auto"/>
                <w:sz w:val="18"/>
                <w:szCs w:val="18"/>
                <w:lang w:eastAsia="zh-CN"/>
              </w:rPr>
              <w:t>升平镇</w:t>
            </w:r>
            <w:r>
              <w:rPr>
                <w:rFonts w:hint="default"/>
                <w:color w:val="auto"/>
                <w:kern w:val="24"/>
                <w:sz w:val="18"/>
                <w:szCs w:val="18"/>
              </w:rPr>
              <w:t>水井</w:t>
            </w:r>
            <w:r>
              <w:rPr>
                <w:rFonts w:hint="default" w:hAnsi="宋体"/>
                <w:color w:val="auto"/>
                <w:kern w:val="24"/>
                <w:sz w:val="18"/>
                <w:szCs w:val="18"/>
              </w:rPr>
              <w:t>）</w:t>
            </w:r>
          </w:p>
        </w:tc>
        <w:tc>
          <w:tcPr>
            <w:tcW w:w="1534" w:type="dxa"/>
            <w:noWrap w:val="0"/>
            <w:vAlign w:val="center"/>
          </w:tcPr>
          <w:p>
            <w:pPr>
              <w:keepNext w:val="0"/>
              <w:keepLines w:val="0"/>
              <w:widowControl/>
              <w:suppressLineNumbers w:val="0"/>
              <w:spacing w:before="0" w:beforeAutospacing="0" w:after="0" w:afterAutospacing="0"/>
              <w:ind w:left="0" w:right="0"/>
              <w:jc w:val="left"/>
              <w:textAlignment w:val="center"/>
              <w:rPr>
                <w:rFonts w:hint="default"/>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125°17'59.7532"</w:t>
            </w:r>
            <w:r>
              <w:rPr>
                <w:rFonts w:hint="eastAsia" w:eastAsia="宋体" w:cs="Times New Roman"/>
                <w:i w:val="0"/>
                <w:color w:val="auto"/>
                <w:kern w:val="0"/>
                <w:sz w:val="18"/>
                <w:szCs w:val="18"/>
                <w:u w:val="none"/>
                <w:lang w:val="en-US" w:eastAsia="zh-CN" w:bidi="ar"/>
              </w:rPr>
              <w:t>，</w:t>
            </w:r>
          </w:p>
          <w:p>
            <w:pPr>
              <w:keepNext w:val="0"/>
              <w:keepLines w:val="0"/>
              <w:widowControl/>
              <w:suppressLineNumbers w:val="0"/>
              <w:spacing w:before="0" w:beforeAutospacing="0" w:after="0" w:afterAutospacing="0"/>
              <w:ind w:left="0" w:right="0"/>
              <w:jc w:val="left"/>
              <w:textAlignment w:val="center"/>
              <w:rPr>
                <w:rFonts w:hint="default"/>
                <w:color w:val="auto"/>
                <w:kern w:val="24"/>
                <w:sz w:val="18"/>
                <w:szCs w:val="18"/>
              </w:rPr>
            </w:pPr>
            <w:r>
              <w:rPr>
                <w:rFonts w:hint="default" w:ascii="Times New Roman" w:hAnsi="Times New Roman" w:eastAsia="宋体" w:cs="Times New Roman"/>
                <w:i w:val="0"/>
                <w:color w:val="auto"/>
                <w:kern w:val="0"/>
                <w:sz w:val="18"/>
                <w:szCs w:val="18"/>
                <w:u w:val="none"/>
                <w:lang w:val="en-US" w:eastAsia="zh-CN" w:bidi="ar"/>
              </w:rPr>
              <w:t>46°11'32.8492"</w:t>
            </w:r>
          </w:p>
        </w:tc>
        <w:tc>
          <w:tcPr>
            <w:tcW w:w="1486" w:type="dxa"/>
            <w:noWrap w:val="0"/>
            <w:vAlign w:val="top"/>
          </w:tcPr>
          <w:p>
            <w:pPr>
              <w:keepNext w:val="0"/>
              <w:keepLines w:val="0"/>
              <w:suppressLineNumbers w:val="0"/>
              <w:snapToGrid w:val="0"/>
              <w:spacing w:before="0" w:beforeAutospacing="0" w:after="0" w:afterAutospacing="0" w:line="240" w:lineRule="exact"/>
              <w:ind w:left="0" w:right="0"/>
              <w:jc w:val="center"/>
              <w:rPr>
                <w:rFonts w:hint="default" w:hAnsi="宋体"/>
                <w:color w:val="auto"/>
                <w:sz w:val="18"/>
                <w:szCs w:val="18"/>
              </w:rPr>
            </w:pPr>
            <w:r>
              <w:rPr>
                <w:rFonts w:hint="eastAsia"/>
                <w:color w:val="auto"/>
                <w:sz w:val="18"/>
                <w:szCs w:val="18"/>
              </w:rPr>
              <w:t>距离H井场北侧374m</w:t>
            </w:r>
          </w:p>
        </w:tc>
        <w:tc>
          <w:tcPr>
            <w:tcW w:w="523"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eastAsia="宋体"/>
                <w:snapToGrid w:val="0"/>
                <w:color w:val="auto"/>
                <w:sz w:val="18"/>
                <w:szCs w:val="18"/>
                <w:lang w:val="en-US" w:eastAsia="zh-CN"/>
              </w:rPr>
            </w:pPr>
            <w:r>
              <w:rPr>
                <w:rFonts w:hint="eastAsia"/>
                <w:snapToGrid w:val="0"/>
                <w:color w:val="auto"/>
                <w:sz w:val="18"/>
                <w:szCs w:val="18"/>
                <w:lang w:val="en-US" w:eastAsia="zh-CN"/>
              </w:rPr>
              <w:t>20</w:t>
            </w:r>
          </w:p>
        </w:tc>
        <w:tc>
          <w:tcPr>
            <w:tcW w:w="724" w:type="dxa"/>
            <w:noWrap w:val="0"/>
            <w:vAlign w:val="center"/>
          </w:tcPr>
          <w:p>
            <w:pPr>
              <w:keepNext w:val="0"/>
              <w:keepLines w:val="0"/>
              <w:suppressLineNumbers w:val="0"/>
              <w:snapToGrid w:val="0"/>
              <w:spacing w:before="0" w:beforeAutospacing="0" w:after="0" w:afterAutospacing="0" w:line="240" w:lineRule="exact"/>
              <w:ind w:left="0" w:right="0"/>
              <w:jc w:val="center"/>
              <w:rPr>
                <w:rFonts w:hint="default" w:hAnsi="宋体"/>
                <w:snapToGrid w:val="0"/>
                <w:color w:val="auto"/>
                <w:sz w:val="18"/>
                <w:szCs w:val="18"/>
              </w:rPr>
            </w:pPr>
            <w:r>
              <w:rPr>
                <w:rFonts w:hint="default" w:hAnsi="宋体"/>
                <w:snapToGrid w:val="0"/>
                <w:color w:val="auto"/>
                <w:sz w:val="18"/>
                <w:szCs w:val="18"/>
              </w:rPr>
              <w:t>水泥管井</w:t>
            </w:r>
          </w:p>
        </w:tc>
        <w:tc>
          <w:tcPr>
            <w:tcW w:w="1451" w:type="dxa"/>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hAnsi="宋体"/>
                <w:snapToGrid w:val="0"/>
                <w:color w:val="auto"/>
                <w:sz w:val="18"/>
                <w:szCs w:val="18"/>
              </w:rPr>
            </w:pPr>
            <w:r>
              <w:rPr>
                <w:rFonts w:hint="default" w:hAnsi="宋体"/>
                <w:snapToGrid w:val="0"/>
                <w:color w:val="auto"/>
                <w:sz w:val="18"/>
                <w:szCs w:val="18"/>
              </w:rPr>
              <w:t>污染扩散监测点</w:t>
            </w:r>
          </w:p>
        </w:tc>
        <w:tc>
          <w:tcPr>
            <w:tcW w:w="960" w:type="dxa"/>
            <w:vMerge w:val="continue"/>
            <w:noWrap w:val="0"/>
            <w:tcMar>
              <w:top w:w="28" w:type="dxa"/>
              <w:bottom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p>
        </w:tc>
        <w:tc>
          <w:tcPr>
            <w:tcW w:w="951" w:type="dxa"/>
            <w:vMerge w:val="continue"/>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p>
        </w:tc>
      </w:tr>
    </w:tbl>
    <w:p>
      <w:pPr>
        <w:pStyle w:val="7"/>
        <w:numPr>
          <w:ilvl w:val="4"/>
          <w:numId w:val="4"/>
        </w:numPr>
        <w:bidi w:val="0"/>
        <w:rPr>
          <w:rFonts w:hint="eastAsia"/>
          <w:color w:val="auto"/>
        </w:rPr>
      </w:pPr>
      <w:r>
        <w:rPr>
          <w:color w:val="auto"/>
        </w:rPr>
        <w:t>土壤环境跟踪监测计划表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190"/>
        <w:gridCol w:w="2877"/>
        <w:gridCol w:w="1050"/>
        <w:gridCol w:w="1051"/>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监测点位</w:t>
            </w:r>
          </w:p>
        </w:tc>
        <w:tc>
          <w:tcPr>
            <w:tcW w:w="287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地理坐标</w:t>
            </w:r>
          </w:p>
        </w:tc>
        <w:tc>
          <w:tcPr>
            <w:tcW w:w="1050" w:type="dxa"/>
            <w:tcBorders>
              <w:top w:val="single" w:color="auto" w:sz="4" w:space="0"/>
              <w:left w:val="single" w:color="auto" w:sz="4" w:space="0"/>
              <w:bottom w:val="single" w:color="auto" w:sz="4" w:space="0"/>
              <w:right w:val="single" w:color="auto" w:sz="4" w:space="0"/>
            </w:tcBorders>
            <w:noWrap w:val="0"/>
            <w:tcMar>
              <w:top w:w="28" w:type="dxa"/>
              <w:left w:w="28" w:type="dxa"/>
              <w:bottom w:w="28" w:type="dxa"/>
              <w:right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监测因子</w:t>
            </w:r>
          </w:p>
        </w:tc>
        <w:tc>
          <w:tcPr>
            <w:tcW w:w="105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监测频次</w:t>
            </w:r>
          </w:p>
        </w:tc>
        <w:tc>
          <w:tcPr>
            <w:tcW w:w="19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exact"/>
          <w:jc w:val="center"/>
        </w:trPr>
        <w:tc>
          <w:tcPr>
            <w:tcW w:w="21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eastAsia" w:ascii="Times New Roman" w:hAnsi="Times New Roman" w:eastAsia="宋体" w:cs="Arial"/>
                <w:snapToGrid w:val="0"/>
                <w:color w:val="auto"/>
                <w:sz w:val="21"/>
                <w:szCs w:val="21"/>
                <w:lang w:val="en-US" w:eastAsia="zh-CN" w:bidi="ar-SA"/>
              </w:rPr>
            </w:pPr>
            <w:r>
              <w:rPr>
                <w:rFonts w:hint="default" w:hAnsi="宋体"/>
                <w:snapToGrid w:val="0"/>
                <w:color w:val="auto"/>
                <w:szCs w:val="21"/>
              </w:rPr>
              <w:t>拟建</w:t>
            </w:r>
            <w:r>
              <w:rPr>
                <w:rFonts w:hint="eastAsia" w:hAnsi="宋体"/>
                <w:color w:val="auto"/>
                <w:szCs w:val="21"/>
              </w:rPr>
              <w:t>B井场</w:t>
            </w:r>
            <w:r>
              <w:rPr>
                <w:rFonts w:hint="eastAsia" w:hAnsi="宋体"/>
                <w:color w:val="auto"/>
                <w:szCs w:val="21"/>
                <w:lang w:eastAsia="zh-CN"/>
              </w:rPr>
              <w:t>注采井</w:t>
            </w:r>
          </w:p>
        </w:tc>
        <w:tc>
          <w:tcPr>
            <w:tcW w:w="2877" w:type="dxa"/>
            <w:tcBorders>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eastAsia" w:ascii="Times New Roman" w:hAnsi="Times New Roman" w:eastAsia="宋体" w:cs="Arial"/>
                <w:color w:val="auto"/>
                <w:sz w:val="21"/>
                <w:szCs w:val="21"/>
                <w:lang w:val="en-US" w:eastAsia="zh-CN" w:bidi="ar-SA"/>
              </w:rPr>
            </w:pPr>
            <w:r>
              <w:rPr>
                <w:rFonts w:hint="eastAsia"/>
                <w:color w:val="auto"/>
                <w:szCs w:val="21"/>
              </w:rPr>
              <w:t>125°16'47.7976"</w:t>
            </w:r>
            <w:r>
              <w:rPr>
                <w:rFonts w:hint="eastAsia"/>
                <w:color w:val="auto"/>
                <w:szCs w:val="21"/>
                <w:lang w:eastAsia="zh-CN"/>
              </w:rPr>
              <w:t>，46</w:t>
            </w:r>
            <w:r>
              <w:rPr>
                <w:rFonts w:hint="default" w:ascii="Times New Roman" w:hAnsi="Times New Roman" w:cs="Times New Roman"/>
                <w:color w:val="auto"/>
                <w:szCs w:val="21"/>
                <w:lang w:eastAsia="zh-CN"/>
              </w:rPr>
              <w:t>°</w:t>
            </w:r>
            <w:r>
              <w:rPr>
                <w:rFonts w:hint="eastAsia"/>
                <w:color w:val="auto"/>
                <w:szCs w:val="21"/>
                <w:lang w:eastAsia="zh-CN"/>
              </w:rPr>
              <w:t>13'22.3351"</w:t>
            </w:r>
          </w:p>
        </w:tc>
        <w:tc>
          <w:tcPr>
            <w:tcW w:w="1050" w:type="dxa"/>
            <w:tcBorders>
              <w:top w:val="single" w:color="auto" w:sz="4" w:space="0"/>
              <w:left w:val="single" w:color="auto" w:sz="4" w:space="0"/>
              <w:right w:val="single" w:color="auto" w:sz="4" w:space="0"/>
            </w:tcBorders>
            <w:noWrap w:val="0"/>
            <w:tcMar>
              <w:top w:w="28" w:type="dxa"/>
              <w:left w:w="28" w:type="dxa"/>
              <w:bottom w:w="28" w:type="dxa"/>
              <w:right w:w="28" w:type="dxa"/>
            </w:tcMar>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hAnsi="宋体"/>
                <w:snapToGrid w:val="0"/>
                <w:color w:val="auto"/>
                <w:szCs w:val="21"/>
              </w:rPr>
              <w:t>石油烃</w:t>
            </w:r>
          </w:p>
        </w:tc>
        <w:tc>
          <w:tcPr>
            <w:tcW w:w="1051"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snapToGrid w:val="0"/>
                <w:color w:val="auto"/>
                <w:szCs w:val="21"/>
              </w:rPr>
              <w:t>1</w:t>
            </w:r>
            <w:r>
              <w:rPr>
                <w:rFonts w:hint="default" w:hAnsi="宋体"/>
                <w:snapToGrid w:val="0"/>
                <w:color w:val="auto"/>
                <w:szCs w:val="21"/>
              </w:rPr>
              <w:t>次</w:t>
            </w:r>
            <w:r>
              <w:rPr>
                <w:rFonts w:hint="default"/>
                <w:snapToGrid w:val="0"/>
                <w:color w:val="auto"/>
                <w:szCs w:val="21"/>
              </w:rPr>
              <w:t>/</w:t>
            </w:r>
            <w:r>
              <w:rPr>
                <w:rFonts w:hint="eastAsia"/>
                <w:snapToGrid w:val="0"/>
                <w:color w:val="auto"/>
                <w:szCs w:val="21"/>
              </w:rPr>
              <w:t>5</w:t>
            </w:r>
            <w:r>
              <w:rPr>
                <w:rFonts w:hint="default" w:hAnsi="宋体"/>
                <w:snapToGrid w:val="0"/>
                <w:color w:val="auto"/>
                <w:szCs w:val="21"/>
              </w:rPr>
              <w:t>年</w:t>
            </w:r>
          </w:p>
        </w:tc>
        <w:tc>
          <w:tcPr>
            <w:tcW w:w="1959"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exact"/>
              <w:ind w:left="0" w:right="0"/>
              <w:jc w:val="center"/>
              <w:rPr>
                <w:rFonts w:hint="default"/>
                <w:snapToGrid w:val="0"/>
                <w:color w:val="auto"/>
                <w:szCs w:val="21"/>
              </w:rPr>
            </w:pPr>
            <w:r>
              <w:rPr>
                <w:rFonts w:hint="default"/>
                <w:snapToGrid w:val="0"/>
                <w:color w:val="auto"/>
                <w:szCs w:val="21"/>
              </w:rPr>
              <w:t>GB36600-2018</w:t>
            </w:r>
          </w:p>
        </w:tc>
      </w:tr>
    </w:tbl>
    <w:p>
      <w:pPr>
        <w:snapToGrid w:val="0"/>
        <w:spacing w:line="500" w:lineRule="exact"/>
        <w:jc w:val="center"/>
        <w:rPr>
          <w:snapToGrid w:val="0"/>
          <w:color w:val="auto"/>
          <w:kern w:val="0"/>
          <w:sz w:val="28"/>
          <w:szCs w:val="28"/>
        </w:rPr>
        <w:sectPr>
          <w:headerReference r:id="rId12" w:type="default"/>
          <w:pgSz w:w="11907" w:h="16840"/>
          <w:pgMar w:top="1418" w:right="1418" w:bottom="1418" w:left="1418" w:header="851" w:footer="992" w:gutter="0"/>
          <w:cols w:space="720" w:num="1"/>
          <w:docGrid w:type="lines" w:linePitch="319" w:charSpace="0"/>
        </w:sectPr>
      </w:pPr>
    </w:p>
    <w:p>
      <w:pPr>
        <w:pStyle w:val="3"/>
        <w:numPr>
          <w:ilvl w:val="0"/>
          <w:numId w:val="4"/>
        </w:numPr>
        <w:bidi w:val="0"/>
        <w:rPr>
          <w:color w:val="auto"/>
        </w:rPr>
      </w:pPr>
      <w:bookmarkStart w:id="716" w:name="_Toc96083888"/>
      <w:bookmarkStart w:id="717" w:name="_Toc14806"/>
      <w:r>
        <w:rPr>
          <w:color w:val="auto"/>
        </w:rPr>
        <w:t>环境影响评价结论</w:t>
      </w:r>
      <w:bookmarkEnd w:id="716"/>
      <w:bookmarkEnd w:id="717"/>
    </w:p>
    <w:p>
      <w:pPr>
        <w:pStyle w:val="4"/>
        <w:numPr>
          <w:ilvl w:val="1"/>
          <w:numId w:val="4"/>
        </w:numPr>
        <w:bidi w:val="0"/>
        <w:rPr>
          <w:color w:val="auto"/>
        </w:rPr>
      </w:pPr>
      <w:bookmarkStart w:id="718" w:name="_Toc96083889"/>
      <w:bookmarkStart w:id="719" w:name="_Toc8790"/>
      <w:r>
        <w:rPr>
          <w:color w:val="auto"/>
        </w:rPr>
        <w:t>工程概况</w:t>
      </w:r>
      <w:bookmarkEnd w:id="718"/>
      <w:bookmarkEnd w:id="719"/>
    </w:p>
    <w:p>
      <w:pPr>
        <w:snapToGrid w:val="0"/>
        <w:spacing w:line="500" w:lineRule="exact"/>
        <w:ind w:firstLine="560" w:firstLineChars="200"/>
        <w:rPr>
          <w:rFonts w:hint="eastAsia" w:hAnsi="宋体"/>
          <w:snapToGrid w:val="0"/>
          <w:color w:val="auto"/>
          <w:sz w:val="28"/>
          <w:szCs w:val="28"/>
        </w:rPr>
      </w:pPr>
      <w:r>
        <w:rPr>
          <w:rFonts w:hAnsi="宋体"/>
          <w:snapToGrid w:val="0"/>
          <w:color w:val="auto"/>
          <w:kern w:val="0"/>
          <w:sz w:val="28"/>
          <w:szCs w:val="28"/>
        </w:rPr>
        <w:t>项目名称：</w:t>
      </w:r>
      <w:r>
        <w:rPr>
          <w:rFonts w:hint="eastAsia"/>
          <w:snapToGrid w:val="0"/>
          <w:color w:val="auto"/>
          <w:sz w:val="28"/>
          <w:szCs w:val="28"/>
          <w:lang w:eastAsia="zh-CN"/>
        </w:rPr>
        <w:t>升平储气库</w:t>
      </w:r>
      <w:r>
        <w:rPr>
          <w:rFonts w:hint="eastAsia"/>
          <w:snapToGrid w:val="0"/>
          <w:color w:val="auto"/>
          <w:sz w:val="28"/>
          <w:szCs w:val="28"/>
        </w:rPr>
        <w:t>工程</w:t>
      </w:r>
      <w:r>
        <w:rPr>
          <w:rFonts w:hint="eastAsia"/>
          <w:snapToGrid w:val="0"/>
          <w:color w:val="auto"/>
          <w:sz w:val="28"/>
          <w:szCs w:val="28"/>
          <w:lang w:eastAsia="zh-CN"/>
        </w:rPr>
        <w:t>钻井工程</w:t>
      </w:r>
      <w:r>
        <w:rPr>
          <w:rFonts w:hAnsi="宋体"/>
          <w:snapToGrid w:val="0"/>
          <w:color w:val="auto"/>
          <w:sz w:val="28"/>
          <w:szCs w:val="28"/>
        </w:rPr>
        <w:t>。</w:t>
      </w:r>
    </w:p>
    <w:p>
      <w:pPr>
        <w:snapToGrid w:val="0"/>
        <w:spacing w:line="480" w:lineRule="exact"/>
        <w:ind w:firstLine="560" w:firstLineChars="200"/>
        <w:rPr>
          <w:rFonts w:hint="eastAsia" w:hAnsi="宋体"/>
          <w:snapToGrid w:val="0"/>
          <w:color w:val="auto"/>
          <w:sz w:val="28"/>
          <w:szCs w:val="28"/>
        </w:rPr>
      </w:pPr>
      <w:r>
        <w:rPr>
          <w:rFonts w:hAnsi="宋体"/>
          <w:snapToGrid w:val="0"/>
          <w:color w:val="auto"/>
          <w:sz w:val="28"/>
          <w:szCs w:val="28"/>
        </w:rPr>
        <w:t>建设单位</w:t>
      </w:r>
      <w:r>
        <w:rPr>
          <w:rFonts w:hint="eastAsia" w:hAnsi="宋体"/>
          <w:snapToGrid w:val="0"/>
          <w:color w:val="auto"/>
          <w:sz w:val="28"/>
          <w:szCs w:val="28"/>
        </w:rPr>
        <w:t>：</w:t>
      </w:r>
      <w:r>
        <w:rPr>
          <w:rFonts w:hint="eastAsia"/>
          <w:snapToGrid w:val="0"/>
          <w:color w:val="auto"/>
          <w:sz w:val="28"/>
          <w:szCs w:val="28"/>
        </w:rPr>
        <w:t>大庆油田有限责任公司</w:t>
      </w:r>
      <w:r>
        <w:rPr>
          <w:rFonts w:hint="eastAsia"/>
          <w:snapToGrid w:val="0"/>
          <w:color w:val="auto"/>
          <w:sz w:val="28"/>
          <w:szCs w:val="28"/>
          <w:lang w:eastAsia="zh-CN"/>
        </w:rPr>
        <w:t>采气分公司（储气库分公司）</w:t>
      </w:r>
      <w:r>
        <w:rPr>
          <w:rFonts w:hint="eastAsia" w:hAnsi="宋体"/>
          <w:snapToGrid w:val="0"/>
          <w:color w:val="auto"/>
          <w:sz w:val="28"/>
          <w:szCs w:val="28"/>
        </w:rPr>
        <w:t>。</w:t>
      </w:r>
    </w:p>
    <w:p>
      <w:pPr>
        <w:snapToGrid w:val="0"/>
        <w:spacing w:line="500" w:lineRule="exact"/>
        <w:ind w:firstLine="560" w:firstLineChars="200"/>
        <w:rPr>
          <w:snapToGrid w:val="0"/>
          <w:color w:val="auto"/>
          <w:sz w:val="28"/>
          <w:szCs w:val="28"/>
        </w:rPr>
      </w:pPr>
      <w:r>
        <w:rPr>
          <w:rFonts w:hAnsi="宋体"/>
          <w:snapToGrid w:val="0"/>
          <w:color w:val="auto"/>
          <w:sz w:val="28"/>
          <w:szCs w:val="28"/>
        </w:rPr>
        <w:t>建设地点：黑龙江省绥化市安达市</w:t>
      </w:r>
      <w:r>
        <w:rPr>
          <w:rFonts w:hint="eastAsia" w:hAnsi="宋体"/>
          <w:snapToGrid w:val="0"/>
          <w:color w:val="auto"/>
          <w:sz w:val="28"/>
          <w:szCs w:val="28"/>
          <w:lang w:eastAsia="zh-CN"/>
        </w:rPr>
        <w:t>升平镇境内</w:t>
      </w:r>
      <w:r>
        <w:rPr>
          <w:rFonts w:hAnsi="宋体"/>
          <w:snapToGrid w:val="0"/>
          <w:color w:val="auto"/>
          <w:sz w:val="28"/>
          <w:szCs w:val="28"/>
        </w:rPr>
        <w:t>。</w:t>
      </w:r>
    </w:p>
    <w:p>
      <w:pPr>
        <w:snapToGrid w:val="0"/>
        <w:spacing w:line="500" w:lineRule="exact"/>
        <w:ind w:firstLine="560" w:firstLineChars="200"/>
        <w:rPr>
          <w:snapToGrid w:val="0"/>
          <w:color w:val="auto"/>
          <w:sz w:val="28"/>
          <w:szCs w:val="28"/>
        </w:rPr>
      </w:pPr>
      <w:r>
        <w:rPr>
          <w:rFonts w:hAnsi="宋体"/>
          <w:snapToGrid w:val="0"/>
          <w:color w:val="auto"/>
          <w:sz w:val="28"/>
          <w:szCs w:val="28"/>
        </w:rPr>
        <w:t>建设性质：</w:t>
      </w:r>
      <w:r>
        <w:rPr>
          <w:rFonts w:hint="eastAsia" w:hAnsi="宋体"/>
          <w:snapToGrid w:val="0"/>
          <w:color w:val="auto"/>
          <w:sz w:val="28"/>
          <w:szCs w:val="28"/>
        </w:rPr>
        <w:t>新</w:t>
      </w:r>
      <w:r>
        <w:rPr>
          <w:rFonts w:hAnsi="宋体"/>
          <w:snapToGrid w:val="0"/>
          <w:color w:val="auto"/>
          <w:sz w:val="28"/>
          <w:szCs w:val="28"/>
        </w:rPr>
        <w:t>建。</w:t>
      </w:r>
    </w:p>
    <w:p>
      <w:pPr>
        <w:snapToGrid w:val="0"/>
        <w:spacing w:line="500" w:lineRule="exact"/>
        <w:ind w:firstLine="560" w:firstLineChars="200"/>
        <w:rPr>
          <w:color w:val="auto"/>
          <w:sz w:val="28"/>
          <w:szCs w:val="28"/>
        </w:rPr>
      </w:pPr>
      <w:r>
        <w:rPr>
          <w:rFonts w:hAnsi="宋体"/>
          <w:color w:val="auto"/>
          <w:sz w:val="28"/>
          <w:szCs w:val="28"/>
        </w:rPr>
        <w:t>工程规模：本工程新钻</w:t>
      </w:r>
      <w:r>
        <w:rPr>
          <w:rFonts w:hint="eastAsia" w:hAnsi="宋体"/>
          <w:color w:val="auto"/>
          <w:sz w:val="28"/>
          <w:szCs w:val="28"/>
          <w:lang w:val="en-US" w:eastAsia="zh-CN"/>
        </w:rPr>
        <w:t>30</w:t>
      </w:r>
      <w:r>
        <w:rPr>
          <w:rFonts w:hint="eastAsia" w:hAnsi="宋体"/>
          <w:color w:val="auto"/>
          <w:sz w:val="28"/>
          <w:szCs w:val="28"/>
        </w:rPr>
        <w:t>口</w:t>
      </w:r>
      <w:r>
        <w:rPr>
          <w:rFonts w:hint="eastAsia" w:hAnsi="宋体"/>
          <w:color w:val="auto"/>
          <w:sz w:val="28"/>
          <w:szCs w:val="28"/>
          <w:lang w:eastAsia="zh-CN"/>
        </w:rPr>
        <w:t>储气库工程的注采井</w:t>
      </w:r>
      <w:r>
        <w:rPr>
          <w:rFonts w:hAnsi="宋体"/>
          <w:color w:val="auto"/>
          <w:sz w:val="28"/>
          <w:szCs w:val="28"/>
        </w:rPr>
        <w:t>，</w:t>
      </w:r>
      <w:r>
        <w:rPr>
          <w:rFonts w:hint="eastAsia" w:hAnsi="宋体"/>
          <w:color w:val="auto"/>
          <w:sz w:val="28"/>
          <w:szCs w:val="28"/>
        </w:rPr>
        <w:t>井型为水平井，</w:t>
      </w:r>
      <w:r>
        <w:rPr>
          <w:rFonts w:hint="eastAsia" w:hAnsi="宋体"/>
          <w:color w:val="auto"/>
          <w:sz w:val="28"/>
          <w:szCs w:val="28"/>
          <w:lang w:eastAsia="zh-CN"/>
        </w:rPr>
        <w:t>总计进尺</w:t>
      </w:r>
      <w:r>
        <w:rPr>
          <w:rFonts w:hint="eastAsia" w:hAnsi="宋体"/>
          <w:color w:val="auto"/>
          <w:sz w:val="28"/>
          <w:szCs w:val="28"/>
          <w:lang w:val="en-US" w:eastAsia="zh-CN"/>
        </w:rPr>
        <w:t>105020</w:t>
      </w:r>
      <w:r>
        <w:rPr>
          <w:rFonts w:hAnsi="宋体"/>
          <w:color w:val="auto"/>
          <w:sz w:val="28"/>
          <w:szCs w:val="28"/>
        </w:rPr>
        <w:t>m</w:t>
      </w:r>
      <w:r>
        <w:rPr>
          <w:rFonts w:hint="eastAsia" w:hAnsi="宋体"/>
          <w:color w:val="auto"/>
          <w:sz w:val="28"/>
          <w:szCs w:val="28"/>
        </w:rPr>
        <w:t>；完井后继续开展试气作业，至试气结束后，完成全部施工工作。本工程实施仅为后续区域产能建设进行准备，不涉及</w:t>
      </w:r>
      <w:r>
        <w:rPr>
          <w:rFonts w:hint="eastAsia" w:hAnsi="宋体"/>
          <w:color w:val="auto"/>
          <w:sz w:val="28"/>
          <w:szCs w:val="28"/>
          <w:lang w:eastAsia="zh-CN"/>
        </w:rPr>
        <w:t>酸化、压裂以及</w:t>
      </w:r>
      <w:r>
        <w:rPr>
          <w:rFonts w:hint="eastAsia" w:hAnsi="宋体"/>
          <w:color w:val="auto"/>
          <w:sz w:val="28"/>
          <w:szCs w:val="28"/>
        </w:rPr>
        <w:t>地面场站、管线等配套设施建设工作</w:t>
      </w:r>
      <w:r>
        <w:rPr>
          <w:rFonts w:hAnsi="宋体"/>
          <w:color w:val="auto"/>
          <w:sz w:val="28"/>
          <w:szCs w:val="28"/>
        </w:rPr>
        <w:t>。</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占地面积：</w:t>
      </w:r>
      <w:r>
        <w:rPr>
          <w:rFonts w:hAnsi="宋体"/>
          <w:color w:val="auto"/>
          <w:sz w:val="28"/>
          <w:szCs w:val="28"/>
        </w:rPr>
        <w:t>永久占地</w:t>
      </w:r>
      <w:r>
        <w:rPr>
          <w:rFonts w:hint="eastAsia"/>
          <w:color w:val="auto"/>
          <w:sz w:val="28"/>
          <w:szCs w:val="28"/>
          <w:lang w:val="en-US" w:eastAsia="zh-CN"/>
        </w:rPr>
        <w:t>1.6</w:t>
      </w:r>
      <w:r>
        <w:rPr>
          <w:color w:val="auto"/>
          <w:sz w:val="28"/>
          <w:szCs w:val="28"/>
        </w:rPr>
        <w:t>hm</w:t>
      </w:r>
      <w:r>
        <w:rPr>
          <w:color w:val="auto"/>
          <w:sz w:val="28"/>
          <w:szCs w:val="28"/>
          <w:vertAlign w:val="superscript"/>
        </w:rPr>
        <w:t>2</w:t>
      </w:r>
      <w:r>
        <w:rPr>
          <w:rFonts w:hAnsi="宋体"/>
          <w:color w:val="auto"/>
          <w:szCs w:val="28"/>
        </w:rPr>
        <w:t>，</w:t>
      </w:r>
      <w:r>
        <w:rPr>
          <w:rFonts w:hAnsi="宋体"/>
          <w:color w:val="auto"/>
          <w:sz w:val="28"/>
          <w:szCs w:val="28"/>
        </w:rPr>
        <w:t>临时占地</w:t>
      </w:r>
      <w:r>
        <w:rPr>
          <w:rFonts w:hint="eastAsia" w:hAnsi="宋体"/>
          <w:color w:val="auto"/>
          <w:sz w:val="28"/>
          <w:szCs w:val="28"/>
          <w:lang w:val="en-US" w:eastAsia="zh-CN"/>
        </w:rPr>
        <w:t>11.84</w:t>
      </w:r>
      <w:r>
        <w:rPr>
          <w:color w:val="auto"/>
          <w:sz w:val="28"/>
          <w:szCs w:val="28"/>
        </w:rPr>
        <w:t>hm</w:t>
      </w:r>
      <w:r>
        <w:rPr>
          <w:color w:val="auto"/>
          <w:sz w:val="28"/>
          <w:szCs w:val="28"/>
          <w:vertAlign w:val="superscript"/>
        </w:rPr>
        <w:t>2</w:t>
      </w:r>
      <w:r>
        <w:rPr>
          <w:rFonts w:hAnsi="宋体"/>
          <w:snapToGrid w:val="0"/>
          <w:color w:val="auto"/>
          <w:kern w:val="0"/>
          <w:sz w:val="28"/>
          <w:szCs w:val="28"/>
        </w:rPr>
        <w:t>。</w:t>
      </w:r>
      <w:r>
        <w:rPr>
          <w:snapToGrid w:val="0"/>
          <w:color w:val="auto"/>
          <w:kern w:val="0"/>
          <w:sz w:val="28"/>
          <w:szCs w:val="28"/>
        </w:rPr>
        <w:t xml:space="preserve"> </w:t>
      </w:r>
    </w:p>
    <w:p>
      <w:pPr>
        <w:snapToGrid w:val="0"/>
        <w:spacing w:line="500" w:lineRule="exact"/>
        <w:ind w:firstLine="560" w:firstLineChars="200"/>
        <w:rPr>
          <w:color w:val="auto"/>
          <w:sz w:val="28"/>
          <w:szCs w:val="28"/>
        </w:rPr>
      </w:pPr>
      <w:r>
        <w:rPr>
          <w:rFonts w:hAnsi="宋体"/>
          <w:snapToGrid w:val="0"/>
          <w:color w:val="auto"/>
          <w:kern w:val="0"/>
          <w:sz w:val="28"/>
          <w:szCs w:val="28"/>
        </w:rPr>
        <w:t>工程投资：</w:t>
      </w:r>
      <w:r>
        <w:rPr>
          <w:rFonts w:hint="eastAsia" w:hAnsi="宋体"/>
          <w:snapToGrid w:val="0"/>
          <w:color w:val="auto"/>
          <w:kern w:val="0"/>
          <w:sz w:val="28"/>
          <w:szCs w:val="28"/>
        </w:rPr>
        <w:t>252726</w:t>
      </w:r>
      <w:r>
        <w:rPr>
          <w:rFonts w:hAnsi="宋体"/>
          <w:color w:val="auto"/>
          <w:sz w:val="28"/>
          <w:szCs w:val="28"/>
        </w:rPr>
        <w:t>万元。</w:t>
      </w:r>
    </w:p>
    <w:p>
      <w:pPr>
        <w:pStyle w:val="4"/>
        <w:numPr>
          <w:ilvl w:val="1"/>
          <w:numId w:val="4"/>
        </w:numPr>
        <w:bidi w:val="0"/>
        <w:rPr>
          <w:rFonts w:ascii="Times New Roman" w:hAnsi="Times New Roman" w:eastAsia="宋体"/>
          <w:b w:val="0"/>
          <w:snapToGrid w:val="0"/>
          <w:color w:val="auto"/>
          <w:kern w:val="0"/>
          <w:sz w:val="30"/>
          <w:szCs w:val="30"/>
        </w:rPr>
      </w:pPr>
      <w:bookmarkStart w:id="720" w:name="_Toc96083890"/>
      <w:bookmarkStart w:id="721" w:name="_Toc4267"/>
      <w:r>
        <w:rPr>
          <w:rFonts w:ascii="Times New Roman" w:hAnsi="宋体" w:eastAsia="宋体"/>
          <w:b w:val="0"/>
          <w:snapToGrid w:val="0"/>
          <w:color w:val="auto"/>
          <w:kern w:val="0"/>
          <w:sz w:val="30"/>
          <w:szCs w:val="30"/>
        </w:rPr>
        <w:t>环境质量现状</w:t>
      </w:r>
      <w:bookmarkEnd w:id="720"/>
      <w:bookmarkEnd w:id="721"/>
    </w:p>
    <w:p>
      <w:pPr>
        <w:pStyle w:val="5"/>
        <w:numPr>
          <w:ilvl w:val="2"/>
          <w:numId w:val="4"/>
        </w:numPr>
        <w:bidi w:val="0"/>
        <w:rPr>
          <w:color w:val="auto"/>
        </w:rPr>
      </w:pPr>
      <w:r>
        <w:rPr>
          <w:color w:val="auto"/>
        </w:rPr>
        <w:t>空气环境质量现状</w:t>
      </w:r>
    </w:p>
    <w:p>
      <w:pPr>
        <w:snapToGrid w:val="0"/>
        <w:spacing w:line="480" w:lineRule="exact"/>
        <w:ind w:firstLine="560" w:firstLineChars="200"/>
        <w:rPr>
          <w:color w:val="auto"/>
          <w:sz w:val="28"/>
          <w:szCs w:val="28"/>
        </w:rPr>
      </w:pPr>
      <w:r>
        <w:rPr>
          <w:rFonts w:hAnsi="宋体"/>
          <w:color w:val="auto"/>
          <w:kern w:val="0"/>
          <w:sz w:val="28"/>
          <w:szCs w:val="28"/>
        </w:rPr>
        <w:t>根据《</w:t>
      </w:r>
      <w:r>
        <w:rPr>
          <w:color w:val="auto"/>
          <w:kern w:val="0"/>
          <w:sz w:val="28"/>
          <w:szCs w:val="28"/>
        </w:rPr>
        <w:t>2020</w:t>
      </w:r>
      <w:r>
        <w:rPr>
          <w:rFonts w:hAnsi="宋体"/>
          <w:color w:val="auto"/>
          <w:kern w:val="0"/>
          <w:sz w:val="28"/>
          <w:szCs w:val="28"/>
        </w:rPr>
        <w:t>年绥化市环境质量状况》数据，绥化市为非达标区，环境空气中细颗粒物（</w:t>
      </w:r>
      <w:r>
        <w:rPr>
          <w:color w:val="auto"/>
          <w:kern w:val="0"/>
          <w:sz w:val="28"/>
          <w:szCs w:val="28"/>
        </w:rPr>
        <w:t>PM</w:t>
      </w:r>
      <w:r>
        <w:rPr>
          <w:color w:val="auto"/>
          <w:kern w:val="0"/>
          <w:sz w:val="28"/>
          <w:szCs w:val="28"/>
          <w:vertAlign w:val="subscript"/>
        </w:rPr>
        <w:t>2.5</w:t>
      </w:r>
      <w:r>
        <w:rPr>
          <w:rFonts w:hAnsi="宋体"/>
          <w:color w:val="auto"/>
          <w:kern w:val="0"/>
          <w:sz w:val="28"/>
          <w:szCs w:val="28"/>
        </w:rPr>
        <w:t>）年均值为</w:t>
      </w:r>
      <w:r>
        <w:rPr>
          <w:rFonts w:hint="eastAsia"/>
          <w:color w:val="auto"/>
          <w:kern w:val="0"/>
          <w:sz w:val="28"/>
          <w:szCs w:val="28"/>
        </w:rPr>
        <w:t>41</w:t>
      </w:r>
      <w:r>
        <w:rPr>
          <w:color w:val="auto"/>
          <w:kern w:val="0"/>
          <w:sz w:val="28"/>
          <w:szCs w:val="28"/>
        </w:rPr>
        <w:t>μg/m</w:t>
      </w:r>
      <w:r>
        <w:rPr>
          <w:color w:val="auto"/>
          <w:kern w:val="0"/>
          <w:sz w:val="28"/>
          <w:szCs w:val="28"/>
          <w:vertAlign w:val="superscript"/>
        </w:rPr>
        <w:t>3</w:t>
      </w:r>
      <w:r>
        <w:rPr>
          <w:rFonts w:hAnsi="宋体"/>
          <w:color w:val="auto"/>
          <w:kern w:val="0"/>
          <w:sz w:val="28"/>
          <w:szCs w:val="28"/>
        </w:rPr>
        <w:t>；可吸入颗粒物（</w:t>
      </w:r>
      <w:r>
        <w:rPr>
          <w:color w:val="auto"/>
          <w:kern w:val="0"/>
          <w:sz w:val="28"/>
          <w:szCs w:val="28"/>
        </w:rPr>
        <w:t>PM</w:t>
      </w:r>
      <w:r>
        <w:rPr>
          <w:color w:val="auto"/>
          <w:kern w:val="0"/>
          <w:sz w:val="28"/>
          <w:szCs w:val="28"/>
          <w:vertAlign w:val="subscript"/>
        </w:rPr>
        <w:t>10</w:t>
      </w:r>
      <w:r>
        <w:rPr>
          <w:rFonts w:hAnsi="宋体"/>
          <w:color w:val="auto"/>
          <w:kern w:val="0"/>
          <w:sz w:val="28"/>
          <w:szCs w:val="28"/>
        </w:rPr>
        <w:t>）年均值为</w:t>
      </w:r>
      <w:r>
        <w:rPr>
          <w:rFonts w:hint="eastAsia"/>
          <w:color w:val="auto"/>
          <w:kern w:val="0"/>
          <w:sz w:val="28"/>
          <w:szCs w:val="28"/>
        </w:rPr>
        <w:t>57</w:t>
      </w:r>
      <w:r>
        <w:rPr>
          <w:color w:val="auto"/>
          <w:kern w:val="0"/>
          <w:sz w:val="28"/>
          <w:szCs w:val="28"/>
        </w:rPr>
        <w:t>μg/m</w:t>
      </w:r>
      <w:r>
        <w:rPr>
          <w:color w:val="auto"/>
          <w:kern w:val="0"/>
          <w:sz w:val="28"/>
          <w:szCs w:val="28"/>
          <w:vertAlign w:val="superscript"/>
        </w:rPr>
        <w:t>3</w:t>
      </w:r>
      <w:r>
        <w:rPr>
          <w:rFonts w:hAnsi="宋体"/>
          <w:color w:val="auto"/>
          <w:kern w:val="0"/>
          <w:sz w:val="28"/>
          <w:szCs w:val="28"/>
        </w:rPr>
        <w:t>；二氧化硫年均值为</w:t>
      </w:r>
      <w:r>
        <w:rPr>
          <w:color w:val="auto"/>
          <w:kern w:val="0"/>
          <w:sz w:val="28"/>
          <w:szCs w:val="28"/>
        </w:rPr>
        <w:t>1</w:t>
      </w:r>
      <w:r>
        <w:rPr>
          <w:rFonts w:hint="eastAsia"/>
          <w:color w:val="auto"/>
          <w:kern w:val="0"/>
          <w:sz w:val="28"/>
          <w:szCs w:val="28"/>
        </w:rPr>
        <w:t>0</w:t>
      </w:r>
      <w:r>
        <w:rPr>
          <w:color w:val="auto"/>
          <w:kern w:val="0"/>
          <w:sz w:val="28"/>
          <w:szCs w:val="28"/>
        </w:rPr>
        <w:t>μg/m</w:t>
      </w:r>
      <w:r>
        <w:rPr>
          <w:color w:val="auto"/>
          <w:kern w:val="0"/>
          <w:sz w:val="28"/>
          <w:szCs w:val="28"/>
          <w:vertAlign w:val="superscript"/>
        </w:rPr>
        <w:t>3</w:t>
      </w:r>
      <w:r>
        <w:rPr>
          <w:rFonts w:hAnsi="宋体"/>
          <w:color w:val="auto"/>
          <w:kern w:val="0"/>
          <w:sz w:val="28"/>
          <w:szCs w:val="28"/>
        </w:rPr>
        <w:t>；二氧化氮年均值为</w:t>
      </w:r>
      <w:r>
        <w:rPr>
          <w:color w:val="auto"/>
          <w:kern w:val="0"/>
          <w:sz w:val="28"/>
          <w:szCs w:val="28"/>
        </w:rPr>
        <w:t>19μg/m</w:t>
      </w:r>
      <w:r>
        <w:rPr>
          <w:color w:val="auto"/>
          <w:kern w:val="0"/>
          <w:sz w:val="28"/>
          <w:szCs w:val="28"/>
          <w:vertAlign w:val="superscript"/>
        </w:rPr>
        <w:t>3</w:t>
      </w:r>
      <w:r>
        <w:rPr>
          <w:rFonts w:hAnsi="宋体"/>
          <w:color w:val="auto"/>
          <w:kern w:val="0"/>
          <w:sz w:val="28"/>
          <w:szCs w:val="28"/>
        </w:rPr>
        <w:t>；</w:t>
      </w:r>
      <w:r>
        <w:rPr>
          <w:color w:val="auto"/>
          <w:kern w:val="0"/>
          <w:sz w:val="28"/>
          <w:szCs w:val="28"/>
        </w:rPr>
        <w:t>CO 24</w:t>
      </w:r>
      <w:r>
        <w:rPr>
          <w:rFonts w:hAnsi="宋体"/>
          <w:color w:val="auto"/>
          <w:kern w:val="0"/>
          <w:sz w:val="28"/>
          <w:szCs w:val="28"/>
        </w:rPr>
        <w:t>小时平均第</w:t>
      </w:r>
      <w:r>
        <w:rPr>
          <w:color w:val="auto"/>
          <w:kern w:val="0"/>
          <w:sz w:val="28"/>
          <w:szCs w:val="28"/>
        </w:rPr>
        <w:t>95</w:t>
      </w:r>
      <w:r>
        <w:rPr>
          <w:rFonts w:hAnsi="宋体"/>
          <w:color w:val="auto"/>
          <w:kern w:val="0"/>
          <w:sz w:val="28"/>
          <w:szCs w:val="28"/>
        </w:rPr>
        <w:t>百分位数为</w:t>
      </w:r>
      <w:r>
        <w:rPr>
          <w:rFonts w:hint="eastAsia"/>
          <w:color w:val="auto"/>
          <w:kern w:val="0"/>
          <w:sz w:val="28"/>
          <w:szCs w:val="28"/>
        </w:rPr>
        <w:t>1.2</w:t>
      </w:r>
      <w:r>
        <w:rPr>
          <w:color w:val="auto"/>
          <w:kern w:val="0"/>
          <w:sz w:val="28"/>
          <w:szCs w:val="28"/>
        </w:rPr>
        <w:t>mg/m</w:t>
      </w:r>
      <w:r>
        <w:rPr>
          <w:color w:val="auto"/>
          <w:kern w:val="0"/>
          <w:sz w:val="28"/>
          <w:szCs w:val="28"/>
          <w:vertAlign w:val="superscript"/>
        </w:rPr>
        <w:t>3</w:t>
      </w:r>
      <w:r>
        <w:rPr>
          <w:rFonts w:hAnsi="宋体"/>
          <w:color w:val="auto"/>
          <w:kern w:val="0"/>
          <w:sz w:val="28"/>
          <w:szCs w:val="28"/>
        </w:rPr>
        <w:t>；</w:t>
      </w:r>
      <w:r>
        <w:rPr>
          <w:color w:val="auto"/>
          <w:kern w:val="0"/>
          <w:sz w:val="28"/>
          <w:szCs w:val="28"/>
        </w:rPr>
        <w:t>O</w:t>
      </w:r>
      <w:r>
        <w:rPr>
          <w:color w:val="auto"/>
          <w:kern w:val="0"/>
          <w:sz w:val="28"/>
          <w:szCs w:val="28"/>
          <w:vertAlign w:val="subscript"/>
        </w:rPr>
        <w:t>3</w:t>
      </w:r>
      <w:r>
        <w:rPr>
          <w:rFonts w:hAnsi="宋体"/>
          <w:color w:val="auto"/>
          <w:kern w:val="0"/>
          <w:sz w:val="28"/>
          <w:szCs w:val="28"/>
        </w:rPr>
        <w:t>日最大</w:t>
      </w:r>
      <w:r>
        <w:rPr>
          <w:color w:val="auto"/>
          <w:kern w:val="0"/>
          <w:sz w:val="28"/>
          <w:szCs w:val="28"/>
        </w:rPr>
        <w:t>8</w:t>
      </w:r>
      <w:r>
        <w:rPr>
          <w:rFonts w:hAnsi="宋体"/>
          <w:color w:val="auto"/>
          <w:kern w:val="0"/>
          <w:sz w:val="28"/>
          <w:szCs w:val="28"/>
        </w:rPr>
        <w:t>小时平均第</w:t>
      </w:r>
      <w:r>
        <w:rPr>
          <w:color w:val="auto"/>
          <w:kern w:val="0"/>
          <w:sz w:val="28"/>
          <w:szCs w:val="28"/>
        </w:rPr>
        <w:t>90</w:t>
      </w:r>
      <w:r>
        <w:rPr>
          <w:rFonts w:hAnsi="宋体"/>
          <w:color w:val="auto"/>
          <w:kern w:val="0"/>
          <w:sz w:val="28"/>
          <w:szCs w:val="28"/>
        </w:rPr>
        <w:t>百分位数为</w:t>
      </w:r>
      <w:r>
        <w:rPr>
          <w:color w:val="auto"/>
          <w:kern w:val="0"/>
          <w:sz w:val="28"/>
          <w:szCs w:val="28"/>
        </w:rPr>
        <w:t>1</w:t>
      </w:r>
      <w:r>
        <w:rPr>
          <w:rFonts w:hint="eastAsia"/>
          <w:color w:val="auto"/>
          <w:kern w:val="0"/>
          <w:sz w:val="28"/>
          <w:szCs w:val="28"/>
        </w:rPr>
        <w:t>1</w:t>
      </w:r>
      <w:r>
        <w:rPr>
          <w:color w:val="auto"/>
          <w:kern w:val="0"/>
          <w:sz w:val="28"/>
          <w:szCs w:val="28"/>
        </w:rPr>
        <w:t>8μg/m</w:t>
      </w:r>
      <w:r>
        <w:rPr>
          <w:color w:val="auto"/>
          <w:kern w:val="0"/>
          <w:sz w:val="28"/>
          <w:szCs w:val="28"/>
          <w:vertAlign w:val="superscript"/>
        </w:rPr>
        <w:t>3</w:t>
      </w:r>
      <w:r>
        <w:rPr>
          <w:rFonts w:hAnsi="宋体"/>
          <w:color w:val="auto"/>
          <w:kern w:val="0"/>
          <w:sz w:val="28"/>
          <w:szCs w:val="28"/>
        </w:rPr>
        <w:t>，其中</w:t>
      </w:r>
      <w:r>
        <w:rPr>
          <w:color w:val="auto"/>
          <w:kern w:val="0"/>
          <w:sz w:val="28"/>
          <w:szCs w:val="28"/>
        </w:rPr>
        <w:t>PM</w:t>
      </w:r>
      <w:r>
        <w:rPr>
          <w:color w:val="auto"/>
          <w:kern w:val="0"/>
          <w:sz w:val="28"/>
          <w:szCs w:val="28"/>
          <w:vertAlign w:val="subscript"/>
        </w:rPr>
        <w:t>10</w:t>
      </w:r>
      <w:r>
        <w:rPr>
          <w:rFonts w:hAnsi="宋体"/>
          <w:color w:val="auto"/>
          <w:kern w:val="0"/>
          <w:sz w:val="28"/>
          <w:szCs w:val="28"/>
        </w:rPr>
        <w:t>、</w:t>
      </w:r>
      <w:r>
        <w:rPr>
          <w:color w:val="auto"/>
          <w:kern w:val="0"/>
          <w:sz w:val="28"/>
          <w:szCs w:val="28"/>
        </w:rPr>
        <w:t>O</w:t>
      </w:r>
      <w:r>
        <w:rPr>
          <w:color w:val="auto"/>
          <w:kern w:val="0"/>
          <w:sz w:val="28"/>
          <w:szCs w:val="28"/>
          <w:vertAlign w:val="subscript"/>
        </w:rPr>
        <w:t>3</w:t>
      </w:r>
      <w:r>
        <w:rPr>
          <w:rFonts w:hAnsi="宋体"/>
          <w:color w:val="auto"/>
          <w:kern w:val="0"/>
          <w:sz w:val="28"/>
          <w:szCs w:val="28"/>
        </w:rPr>
        <w:t>、二氧化硫、二氧化氮、</w:t>
      </w:r>
      <w:r>
        <w:rPr>
          <w:color w:val="auto"/>
          <w:kern w:val="0"/>
          <w:sz w:val="28"/>
          <w:szCs w:val="28"/>
        </w:rPr>
        <w:t>CO</w:t>
      </w:r>
      <w:r>
        <w:rPr>
          <w:rFonts w:hAnsi="宋体"/>
          <w:color w:val="auto"/>
          <w:kern w:val="0"/>
          <w:sz w:val="28"/>
          <w:szCs w:val="28"/>
        </w:rPr>
        <w:t>满足《环境空气质量标准》（</w:t>
      </w:r>
      <w:r>
        <w:rPr>
          <w:color w:val="auto"/>
          <w:kern w:val="0"/>
          <w:sz w:val="28"/>
          <w:szCs w:val="28"/>
        </w:rPr>
        <w:t>GB3095-2012</w:t>
      </w:r>
      <w:r>
        <w:rPr>
          <w:rFonts w:hAnsi="宋体"/>
          <w:color w:val="auto"/>
          <w:kern w:val="0"/>
          <w:sz w:val="28"/>
          <w:szCs w:val="28"/>
        </w:rPr>
        <w:t>）中二级标准。</w:t>
      </w:r>
      <w:r>
        <w:rPr>
          <w:rFonts w:hAnsi="宋体"/>
          <w:color w:val="auto"/>
          <w:sz w:val="28"/>
          <w:szCs w:val="28"/>
        </w:rPr>
        <w:t>区域内选取的监测点非甲烷总烃满足《大气污染物综合排放标准详解》</w:t>
      </w:r>
      <w:r>
        <w:rPr>
          <w:rFonts w:hAnsi="宋体"/>
          <w:bCs/>
          <w:color w:val="auto"/>
          <w:sz w:val="28"/>
          <w:szCs w:val="28"/>
        </w:rPr>
        <w:t>标准要求</w:t>
      </w:r>
      <w:r>
        <w:rPr>
          <w:rFonts w:hAnsi="宋体"/>
          <w:color w:val="auto"/>
          <w:sz w:val="28"/>
          <w:szCs w:val="28"/>
        </w:rPr>
        <w:t>。</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地下水环境质量现状</w:t>
      </w:r>
    </w:p>
    <w:p>
      <w:pPr>
        <w:spacing w:line="520" w:lineRule="exact"/>
        <w:ind w:firstLine="560"/>
        <w:rPr>
          <w:color w:val="auto"/>
          <w:sz w:val="28"/>
          <w:szCs w:val="28"/>
        </w:rPr>
      </w:pPr>
      <w:r>
        <w:rPr>
          <w:rFonts w:hint="eastAsia" w:hAnsi="宋体"/>
          <w:color w:val="auto"/>
          <w:sz w:val="28"/>
          <w:szCs w:val="28"/>
        </w:rPr>
        <w:t>根据现状地下水监测数据可知，评价地区除铁</w:t>
      </w:r>
      <w:r>
        <w:rPr>
          <w:rFonts w:hint="eastAsia" w:hAnsi="宋体"/>
          <w:color w:val="auto"/>
          <w:sz w:val="28"/>
          <w:szCs w:val="28"/>
          <w:lang w:eastAsia="zh-CN"/>
        </w:rPr>
        <w:t>、锰和氟化物</w:t>
      </w:r>
      <w:r>
        <w:rPr>
          <w:rFonts w:hint="eastAsia" w:hAnsi="宋体"/>
          <w:color w:val="auto"/>
          <w:sz w:val="28"/>
          <w:szCs w:val="28"/>
        </w:rPr>
        <w:t>超标外，其余地下水各类项目均满足《地下水质量标准》（GB/T14848-2017）III类标准要求，石油类满足《地表水环境质量标准》（GB3838-2002）Ⅲ类标准</w:t>
      </w:r>
      <w:r>
        <w:rPr>
          <w:rFonts w:hAnsi="宋体"/>
          <w:color w:val="auto"/>
          <w:sz w:val="28"/>
          <w:szCs w:val="28"/>
        </w:rPr>
        <w:t>。</w:t>
      </w:r>
    </w:p>
    <w:p>
      <w:pPr>
        <w:pStyle w:val="5"/>
        <w:numPr>
          <w:ilvl w:val="2"/>
          <w:numId w:val="4"/>
        </w:numPr>
        <w:bidi w:val="0"/>
        <w:rPr>
          <w:color w:val="auto"/>
        </w:rPr>
      </w:pPr>
      <w:r>
        <w:rPr>
          <w:color w:val="auto"/>
        </w:rPr>
        <w:t>声环境质量现状</w:t>
      </w:r>
    </w:p>
    <w:p>
      <w:pPr>
        <w:snapToGrid w:val="0"/>
        <w:spacing w:line="480" w:lineRule="exact"/>
        <w:ind w:firstLine="560" w:firstLineChars="200"/>
        <w:rPr>
          <w:color w:val="auto"/>
          <w:spacing w:val="-4"/>
          <w:sz w:val="28"/>
          <w:szCs w:val="28"/>
        </w:rPr>
      </w:pPr>
      <w:r>
        <w:rPr>
          <w:rFonts w:hAnsi="宋体"/>
          <w:snapToGrid w:val="0"/>
          <w:color w:val="auto"/>
          <w:kern w:val="0"/>
          <w:sz w:val="28"/>
          <w:szCs w:val="28"/>
        </w:rPr>
        <w:t>本工程所在区域声环境质量状况良好，经监测，拟建井场周围</w:t>
      </w:r>
      <w:r>
        <w:rPr>
          <w:rFonts w:hint="eastAsia" w:hAnsi="宋体"/>
          <w:snapToGrid w:val="0"/>
          <w:color w:val="auto"/>
          <w:kern w:val="0"/>
          <w:sz w:val="28"/>
          <w:szCs w:val="28"/>
        </w:rPr>
        <w:t>井场满足《声环境质量标准》（GB3096-2008）2类标准</w:t>
      </w:r>
      <w:r>
        <w:rPr>
          <w:rFonts w:hint="eastAsia" w:hAnsi="宋体"/>
          <w:snapToGrid w:val="0"/>
          <w:color w:val="auto"/>
          <w:kern w:val="0"/>
          <w:sz w:val="28"/>
          <w:szCs w:val="28"/>
          <w:lang w:eastAsia="zh-CN"/>
        </w:rPr>
        <w:t>，</w:t>
      </w:r>
      <w:r>
        <w:rPr>
          <w:rFonts w:hAnsi="宋体"/>
          <w:snapToGrid w:val="0"/>
          <w:color w:val="auto"/>
          <w:kern w:val="0"/>
          <w:sz w:val="28"/>
          <w:szCs w:val="28"/>
        </w:rPr>
        <w:t>村屯昼间、夜间声环境质量现状均满足《声环境质量标准》（</w:t>
      </w:r>
      <w:r>
        <w:rPr>
          <w:snapToGrid w:val="0"/>
          <w:color w:val="auto"/>
          <w:kern w:val="0"/>
          <w:sz w:val="28"/>
          <w:szCs w:val="28"/>
        </w:rPr>
        <w:t>GB3096-2008</w:t>
      </w:r>
      <w:r>
        <w:rPr>
          <w:rFonts w:hAnsi="宋体"/>
          <w:snapToGrid w:val="0"/>
          <w:color w:val="auto"/>
          <w:kern w:val="0"/>
          <w:sz w:val="28"/>
          <w:szCs w:val="28"/>
        </w:rPr>
        <w:t>）</w:t>
      </w:r>
      <w:r>
        <w:rPr>
          <w:snapToGrid w:val="0"/>
          <w:color w:val="auto"/>
          <w:kern w:val="0"/>
          <w:sz w:val="28"/>
          <w:szCs w:val="28"/>
        </w:rPr>
        <w:t>1</w:t>
      </w:r>
      <w:r>
        <w:rPr>
          <w:rFonts w:hAnsi="宋体"/>
          <w:snapToGrid w:val="0"/>
          <w:color w:val="auto"/>
          <w:kern w:val="0"/>
          <w:sz w:val="28"/>
          <w:szCs w:val="28"/>
        </w:rPr>
        <w:t>类标准。</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土壤环境质量现状</w:t>
      </w:r>
    </w:p>
    <w:p>
      <w:pPr>
        <w:spacing w:line="480" w:lineRule="exact"/>
        <w:ind w:firstLine="544" w:firstLineChars="200"/>
        <w:rPr>
          <w:color w:val="auto"/>
          <w:spacing w:val="-4"/>
          <w:sz w:val="28"/>
          <w:szCs w:val="28"/>
        </w:rPr>
      </w:pPr>
      <w:r>
        <w:rPr>
          <w:rFonts w:hAnsi="宋体"/>
          <w:color w:val="auto"/>
          <w:spacing w:val="-4"/>
          <w:sz w:val="28"/>
          <w:szCs w:val="28"/>
        </w:rPr>
        <w:t>评价区域内的土壤中各项目指标能够满足相应的土壤标准限值，区域内土壤环境质量状况良好。</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生态现状</w:t>
      </w:r>
    </w:p>
    <w:p>
      <w:pPr>
        <w:spacing w:line="480" w:lineRule="exact"/>
        <w:ind w:firstLine="560" w:firstLineChars="200"/>
        <w:rPr>
          <w:color w:val="auto"/>
          <w:sz w:val="28"/>
          <w:szCs w:val="28"/>
        </w:rPr>
      </w:pPr>
      <w:r>
        <w:rPr>
          <w:rFonts w:hAnsi="宋体"/>
          <w:color w:val="auto"/>
          <w:sz w:val="28"/>
          <w:szCs w:val="28"/>
        </w:rPr>
        <w:t>该区以农田生态系统为主，与原生草</w:t>
      </w:r>
      <w:r>
        <w:rPr>
          <w:rFonts w:hint="eastAsia" w:hAnsi="宋体"/>
          <w:color w:val="auto"/>
          <w:sz w:val="28"/>
          <w:szCs w:val="28"/>
        </w:rPr>
        <w:t>地</w:t>
      </w:r>
      <w:r>
        <w:rPr>
          <w:rFonts w:hAnsi="宋体"/>
          <w:color w:val="auto"/>
          <w:sz w:val="28"/>
          <w:szCs w:val="28"/>
        </w:rPr>
        <w:t>生态系统相比，整个生态系统的生产力有较大程度的提高，农田土壤肥力增强，但由于人工耕作，农药等有毒有害成份有所增加。由于本地区气候干旱、多风沙等气候特点，对土壤固持能力降低，春季干旱时调节气候的能力降低。</w:t>
      </w:r>
    </w:p>
    <w:p>
      <w:pPr>
        <w:pStyle w:val="4"/>
        <w:numPr>
          <w:ilvl w:val="1"/>
          <w:numId w:val="4"/>
        </w:numPr>
        <w:bidi w:val="0"/>
        <w:rPr>
          <w:rFonts w:ascii="Times New Roman" w:hAnsi="Times New Roman" w:eastAsia="宋体"/>
          <w:b w:val="0"/>
          <w:snapToGrid w:val="0"/>
          <w:color w:val="auto"/>
          <w:kern w:val="0"/>
          <w:sz w:val="30"/>
          <w:szCs w:val="30"/>
        </w:rPr>
      </w:pPr>
      <w:bookmarkStart w:id="722" w:name="_Toc96083891"/>
      <w:bookmarkStart w:id="723" w:name="_Toc22431"/>
      <w:r>
        <w:rPr>
          <w:rFonts w:ascii="Times New Roman" w:hAnsi="宋体" w:eastAsia="宋体"/>
          <w:b w:val="0"/>
          <w:snapToGrid w:val="0"/>
          <w:color w:val="auto"/>
          <w:kern w:val="0"/>
          <w:sz w:val="30"/>
          <w:szCs w:val="30"/>
        </w:rPr>
        <w:t>主要环境影响</w:t>
      </w:r>
      <w:bookmarkEnd w:id="722"/>
      <w:bookmarkEnd w:id="723"/>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空气环境影响评价</w:t>
      </w:r>
    </w:p>
    <w:p>
      <w:pPr>
        <w:spacing w:line="480" w:lineRule="exact"/>
        <w:ind w:firstLine="560" w:firstLineChars="200"/>
        <w:rPr>
          <w:rFonts w:hint="eastAsia" w:hAnsi="宋体"/>
          <w:color w:val="auto"/>
          <w:sz w:val="28"/>
          <w:szCs w:val="28"/>
        </w:rPr>
      </w:pPr>
      <w:r>
        <w:rPr>
          <w:rFonts w:hAnsi="宋体"/>
          <w:color w:val="auto"/>
          <w:sz w:val="28"/>
          <w:szCs w:val="28"/>
        </w:rPr>
        <w:t>本工程施工期对大气环境的影响主要来自钻井时柴油机和施工车辆排放的尾气</w:t>
      </w:r>
      <w:r>
        <w:rPr>
          <w:rFonts w:hint="eastAsia" w:hAnsi="宋体"/>
          <w:color w:val="auto"/>
          <w:sz w:val="28"/>
          <w:szCs w:val="28"/>
        </w:rPr>
        <w:t>、放空火炬燃烧废气</w:t>
      </w:r>
      <w:r>
        <w:rPr>
          <w:rFonts w:hAnsi="宋体"/>
          <w:color w:val="auto"/>
          <w:sz w:val="28"/>
          <w:szCs w:val="28"/>
        </w:rPr>
        <w:t>以及道路、运输车辆产生的扬尘，由于这些影响都是暂时性的，施工一结束就随之消失，通过落实相应的预防措施，对周围空气环境产生的影响较小。</w:t>
      </w:r>
    </w:p>
    <w:p>
      <w:pPr>
        <w:pStyle w:val="5"/>
        <w:numPr>
          <w:ilvl w:val="2"/>
          <w:numId w:val="4"/>
        </w:numPr>
        <w:bidi w:val="0"/>
        <w:rPr>
          <w:rFonts w:hint="eastAsia"/>
          <w:color w:val="auto"/>
        </w:rPr>
      </w:pPr>
      <w:r>
        <w:rPr>
          <w:color w:val="auto"/>
        </w:rPr>
        <w:t>地</w:t>
      </w:r>
      <w:r>
        <w:rPr>
          <w:rFonts w:hint="eastAsia"/>
          <w:color w:val="auto"/>
        </w:rPr>
        <w:t>表</w:t>
      </w:r>
      <w:r>
        <w:rPr>
          <w:color w:val="auto"/>
        </w:rPr>
        <w:t>水环境影响评价</w:t>
      </w:r>
    </w:p>
    <w:p>
      <w:pPr>
        <w:spacing w:line="480" w:lineRule="exact"/>
        <w:ind w:firstLine="576" w:firstLineChars="200"/>
        <w:rPr>
          <w:b/>
          <w:color w:val="auto"/>
        </w:rPr>
      </w:pPr>
      <w:r>
        <w:rPr>
          <w:rFonts w:hint="eastAsia"/>
          <w:color w:val="auto"/>
          <w:spacing w:val="4"/>
          <w:sz w:val="28"/>
          <w:szCs w:val="28"/>
        </w:rPr>
        <w:t>本工程产生的各类废水均进行了妥善处理，不排入地表水体，</w:t>
      </w:r>
      <w:r>
        <w:rPr>
          <w:rFonts w:hint="eastAsia"/>
          <w:color w:val="auto"/>
          <w:sz w:val="28"/>
          <w:szCs w:val="28"/>
        </w:rPr>
        <w:t>不会对地表水环境产生影响。</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地下水环境影响评价</w:t>
      </w:r>
    </w:p>
    <w:p>
      <w:pPr>
        <w:snapToGrid w:val="0"/>
        <w:spacing w:line="500" w:lineRule="exact"/>
        <w:ind w:firstLine="560" w:firstLineChars="200"/>
        <w:rPr>
          <w:snapToGrid w:val="0"/>
          <w:color w:val="auto"/>
          <w:kern w:val="0"/>
          <w:sz w:val="28"/>
          <w:szCs w:val="28"/>
        </w:rPr>
      </w:pPr>
      <w:r>
        <w:rPr>
          <w:rFonts w:hAnsi="宋体"/>
          <w:color w:val="auto"/>
          <w:sz w:val="28"/>
          <w:szCs w:val="28"/>
        </w:rPr>
        <w:t>本工程在正常且各项环境保护措施落实到位情况下对地下水环境影响较小，但在事故状态下可能对地下水环境造成影响，但在各项地下水污染防控措施及应急措施落实到位的情况下，对地下水环境影响可接受。</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声环境影响评价</w:t>
      </w:r>
    </w:p>
    <w:p>
      <w:pPr>
        <w:snapToGrid w:val="0"/>
        <w:spacing w:line="500" w:lineRule="exact"/>
        <w:ind w:firstLine="560" w:firstLineChars="200"/>
        <w:rPr>
          <w:snapToGrid w:val="0"/>
          <w:color w:val="auto"/>
          <w:kern w:val="0"/>
          <w:sz w:val="28"/>
          <w:szCs w:val="28"/>
        </w:rPr>
      </w:pPr>
      <w:r>
        <w:rPr>
          <w:rFonts w:hAnsi="宋体"/>
          <w:snapToGrid w:val="0"/>
          <w:color w:val="auto"/>
          <w:kern w:val="0"/>
          <w:sz w:val="28"/>
          <w:szCs w:val="28"/>
        </w:rPr>
        <w:t>本工程对声环境的影响主要是由施工机械、车辆造成的，主要噪声源包括钻机、推土机、吊装机、柴油发电机组等。在采取适当的降噪措施后，工程施工期场界噪声可以满足相关标准的要求，对区域声环境影响不大。</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固体废弃物环境影响分析</w:t>
      </w:r>
    </w:p>
    <w:p>
      <w:pPr>
        <w:snapToGrid w:val="0"/>
        <w:spacing w:line="500" w:lineRule="exact"/>
        <w:ind w:firstLine="560" w:firstLineChars="200"/>
        <w:rPr>
          <w:snapToGrid w:val="0"/>
          <w:color w:val="auto"/>
          <w:kern w:val="0"/>
          <w:sz w:val="28"/>
          <w:szCs w:val="28"/>
        </w:rPr>
      </w:pPr>
      <w:r>
        <w:rPr>
          <w:rFonts w:hint="eastAsia" w:hAnsi="宋体"/>
          <w:snapToGrid w:val="0"/>
          <w:color w:val="auto"/>
          <w:kern w:val="0"/>
          <w:sz w:val="28"/>
          <w:szCs w:val="28"/>
        </w:rPr>
        <w:t>本工程对施工期和运行期产生的各类固体废弃物均进行了合理的处置，能够实现固废的减量化、资源化和无害化，对环境影响较小</w:t>
      </w:r>
      <w:r>
        <w:rPr>
          <w:rFonts w:hAnsi="宋体"/>
          <w:snapToGrid w:val="0"/>
          <w:color w:val="auto"/>
          <w:kern w:val="0"/>
          <w:sz w:val="28"/>
          <w:szCs w:val="28"/>
        </w:rPr>
        <w:t>。</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生态影响评价</w:t>
      </w:r>
    </w:p>
    <w:p>
      <w:pPr>
        <w:pStyle w:val="83"/>
        <w:bidi w:val="0"/>
        <w:rPr>
          <w:color w:val="auto"/>
        </w:rPr>
      </w:pPr>
      <w:r>
        <w:rPr>
          <w:color w:val="auto"/>
        </w:rPr>
        <w:t>根据对该项目生态系统结构、功能和生态环境现状评价及项目开发对生态环境的影响分析，得出如下结论：</w:t>
      </w:r>
    </w:p>
    <w:p>
      <w:pPr>
        <w:pStyle w:val="83"/>
        <w:bidi w:val="0"/>
        <w:rPr>
          <w:color w:val="auto"/>
        </w:rPr>
      </w:pPr>
      <w:r>
        <w:rPr>
          <w:color w:val="auto"/>
        </w:rPr>
        <w:t>（1）该项目建设对土地的侵占，对植被的破坏，将使项目开发区内的第一生产者的生物量有一定程度的下降。但若选择适当时机施工，并在施工建设过程中采取必要的保护措施，则可能最大程度减小对生态环境的不利影响，加快生态环境在尽可能短的时间内得到恢复。</w:t>
      </w:r>
    </w:p>
    <w:p>
      <w:pPr>
        <w:pStyle w:val="83"/>
        <w:bidi w:val="0"/>
        <w:rPr>
          <w:color w:val="auto"/>
        </w:rPr>
      </w:pPr>
      <w:r>
        <w:rPr>
          <w:color w:val="auto"/>
        </w:rPr>
        <w:t>（2）项目开发工程不可避免会改变原有的生态环境，但若合理建设，但是由于项目为环境改善项目，其运行有利于环境的改善，能够与周围生态环境协调共处。</w:t>
      </w:r>
    </w:p>
    <w:p>
      <w:pPr>
        <w:pStyle w:val="83"/>
        <w:bidi w:val="0"/>
        <w:rPr>
          <w:color w:val="auto"/>
        </w:rPr>
      </w:pPr>
      <w:r>
        <w:rPr>
          <w:color w:val="auto"/>
        </w:rPr>
        <w:t>可见，只要采取必要的措施，该项目本项目的建设对生态环境的影响不会太大，在生态上是可行的。</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土壤环境影响评价</w:t>
      </w:r>
    </w:p>
    <w:p>
      <w:pPr>
        <w:spacing w:line="480" w:lineRule="exact"/>
        <w:ind w:firstLine="560" w:firstLineChars="200"/>
        <w:rPr>
          <w:color w:val="auto"/>
          <w:sz w:val="28"/>
          <w:szCs w:val="28"/>
        </w:rPr>
      </w:pPr>
      <w:r>
        <w:rPr>
          <w:rFonts w:hAnsi="宋体"/>
          <w:color w:val="auto"/>
          <w:sz w:val="28"/>
          <w:szCs w:val="28"/>
        </w:rPr>
        <w:t>本项目所在地土壤环境现状较好，根据土壤环境影响分析结果，本项目对土壤环境的影响较小。</w:t>
      </w:r>
    </w:p>
    <w:p>
      <w:pPr>
        <w:pStyle w:val="5"/>
        <w:numPr>
          <w:ilvl w:val="2"/>
          <w:numId w:val="4"/>
        </w:numPr>
        <w:bidi w:val="0"/>
        <w:rPr>
          <w:b w:val="0"/>
          <w:snapToGrid w:val="0"/>
          <w:color w:val="auto"/>
          <w:kern w:val="0"/>
          <w:sz w:val="28"/>
          <w:szCs w:val="28"/>
        </w:rPr>
      </w:pPr>
      <w:r>
        <w:rPr>
          <w:rFonts w:hAnsi="宋体"/>
          <w:b w:val="0"/>
          <w:snapToGrid w:val="0"/>
          <w:color w:val="auto"/>
          <w:kern w:val="0"/>
          <w:sz w:val="28"/>
          <w:szCs w:val="28"/>
        </w:rPr>
        <w:t>环境风险分析</w:t>
      </w:r>
    </w:p>
    <w:p>
      <w:pPr>
        <w:spacing w:line="480" w:lineRule="exact"/>
        <w:ind w:firstLine="560" w:firstLineChars="200"/>
        <w:rPr>
          <w:color w:val="auto"/>
          <w:sz w:val="28"/>
          <w:szCs w:val="28"/>
        </w:rPr>
      </w:pPr>
      <w:r>
        <w:rPr>
          <w:rFonts w:hAnsi="宋体"/>
          <w:color w:val="auto"/>
          <w:sz w:val="28"/>
          <w:szCs w:val="28"/>
        </w:rPr>
        <w:t>本工程的主要环境风险是是井喷、油气泄漏和火灾爆炸，对区域内的水环境和空气环境有潜在危害性。在工程采取一系列风险防范措施和应急措施后，可以控制和降低工程发生事故情况下对周围环境的影响。</w:t>
      </w:r>
    </w:p>
    <w:p>
      <w:pPr>
        <w:pStyle w:val="4"/>
        <w:numPr>
          <w:ilvl w:val="1"/>
          <w:numId w:val="4"/>
        </w:numPr>
        <w:bidi w:val="0"/>
        <w:rPr>
          <w:rFonts w:ascii="Times New Roman" w:hAnsi="Times New Roman" w:eastAsia="宋体"/>
          <w:b w:val="0"/>
          <w:snapToGrid w:val="0"/>
          <w:color w:val="auto"/>
          <w:kern w:val="0"/>
          <w:sz w:val="30"/>
          <w:szCs w:val="30"/>
        </w:rPr>
      </w:pPr>
      <w:bookmarkStart w:id="724" w:name="_Toc28820"/>
      <w:bookmarkStart w:id="725" w:name="_Toc96083892"/>
      <w:r>
        <w:rPr>
          <w:rFonts w:ascii="Times New Roman" w:hAnsi="宋体" w:eastAsia="宋体"/>
          <w:b w:val="0"/>
          <w:snapToGrid w:val="0"/>
          <w:color w:val="auto"/>
          <w:kern w:val="0"/>
          <w:sz w:val="30"/>
          <w:szCs w:val="30"/>
        </w:rPr>
        <w:t>公众意见采纳情况</w:t>
      </w:r>
      <w:bookmarkEnd w:id="724"/>
      <w:bookmarkEnd w:id="725"/>
    </w:p>
    <w:p>
      <w:pPr>
        <w:spacing w:line="480" w:lineRule="exact"/>
        <w:ind w:firstLine="560" w:firstLineChars="200"/>
        <w:rPr>
          <w:color w:val="auto"/>
          <w:sz w:val="28"/>
          <w:szCs w:val="28"/>
        </w:rPr>
      </w:pPr>
      <w:r>
        <w:rPr>
          <w:color w:val="auto"/>
          <w:sz w:val="28"/>
          <w:szCs w:val="28"/>
        </w:rPr>
        <w:t>在本报告书编制过程中，建设单位大庆油田有限责任公司</w:t>
      </w:r>
      <w:r>
        <w:rPr>
          <w:rFonts w:hint="eastAsia"/>
          <w:color w:val="auto"/>
          <w:sz w:val="28"/>
          <w:szCs w:val="28"/>
          <w:lang w:eastAsia="zh-CN"/>
        </w:rPr>
        <w:t>采气分公司（储气库分公司）</w:t>
      </w:r>
      <w:r>
        <w:rPr>
          <w:color w:val="auto"/>
          <w:sz w:val="28"/>
          <w:szCs w:val="28"/>
        </w:rPr>
        <w:t>按照《环境影响评价公众参与办法》（生态环境部部令第4号）的有关规定组织开展了公众参与工作。第一次公示为202</w:t>
      </w:r>
      <w:r>
        <w:rPr>
          <w:rFonts w:hint="eastAsia"/>
          <w:color w:val="auto"/>
          <w:sz w:val="28"/>
          <w:szCs w:val="28"/>
          <w:lang w:val="en-US" w:eastAsia="zh-CN"/>
        </w:rPr>
        <w:t>2</w:t>
      </w:r>
      <w:r>
        <w:rPr>
          <w:color w:val="auto"/>
          <w:sz w:val="28"/>
          <w:szCs w:val="28"/>
        </w:rPr>
        <w:t>年</w:t>
      </w:r>
      <w:r>
        <w:rPr>
          <w:rFonts w:hint="eastAsia"/>
          <w:color w:val="auto"/>
          <w:sz w:val="28"/>
          <w:szCs w:val="28"/>
          <w:lang w:val="en-US" w:eastAsia="zh-CN"/>
        </w:rPr>
        <w:t>4</w:t>
      </w:r>
      <w:r>
        <w:rPr>
          <w:color w:val="auto"/>
          <w:sz w:val="28"/>
          <w:szCs w:val="28"/>
        </w:rPr>
        <w:t>月</w:t>
      </w:r>
      <w:r>
        <w:rPr>
          <w:rFonts w:hint="eastAsia"/>
          <w:color w:val="auto"/>
          <w:sz w:val="28"/>
          <w:szCs w:val="28"/>
          <w:lang w:val="en-US" w:eastAsia="zh-CN"/>
        </w:rPr>
        <w:t>2</w:t>
      </w:r>
      <w:r>
        <w:rPr>
          <w:color w:val="auto"/>
          <w:sz w:val="28"/>
          <w:szCs w:val="28"/>
        </w:rPr>
        <w:t>日在大庆油田信息港上的网络公示，公示网址</w:t>
      </w:r>
      <w:bookmarkStart w:id="726" w:name="OLE_LINK6"/>
      <w:r>
        <w:rPr>
          <w:color w:val="auto"/>
          <w:sz w:val="28"/>
          <w:szCs w:val="28"/>
        </w:rPr>
        <w:t>：http://www.dqt.com.cn/huanping/261041.html，</w:t>
      </w:r>
      <w:bookmarkEnd w:id="726"/>
      <w:r>
        <w:rPr>
          <w:color w:val="auto"/>
          <w:sz w:val="28"/>
          <w:szCs w:val="28"/>
        </w:rPr>
        <w:t>在公示期内没有收到反馈意见和建议。征求意见稿公示时间为</w:t>
      </w:r>
      <w:r>
        <w:rPr>
          <w:color w:val="FF0000"/>
          <w:sz w:val="28"/>
          <w:szCs w:val="28"/>
        </w:rPr>
        <w:t>202</w:t>
      </w:r>
      <w:r>
        <w:rPr>
          <w:rFonts w:hint="eastAsia"/>
          <w:color w:val="FF0000"/>
          <w:sz w:val="28"/>
          <w:szCs w:val="28"/>
          <w:lang w:val="en-US" w:eastAsia="zh-CN"/>
        </w:rPr>
        <w:t>2</w:t>
      </w:r>
      <w:r>
        <w:rPr>
          <w:color w:val="FF0000"/>
          <w:sz w:val="28"/>
          <w:szCs w:val="28"/>
        </w:rPr>
        <w:t>年</w:t>
      </w:r>
      <w:r>
        <w:rPr>
          <w:rFonts w:hint="eastAsia"/>
          <w:color w:val="FF0000"/>
          <w:sz w:val="28"/>
          <w:szCs w:val="28"/>
          <w:lang w:val="en-US" w:eastAsia="zh-CN"/>
        </w:rPr>
        <w:t>8</w:t>
      </w:r>
      <w:r>
        <w:rPr>
          <w:color w:val="FF0000"/>
          <w:sz w:val="28"/>
          <w:szCs w:val="28"/>
        </w:rPr>
        <w:t>月</w:t>
      </w:r>
      <w:r>
        <w:rPr>
          <w:rFonts w:hint="eastAsia"/>
          <w:color w:val="FF0000"/>
          <w:sz w:val="28"/>
          <w:szCs w:val="28"/>
          <w:lang w:val="en-US" w:eastAsia="zh-CN"/>
        </w:rPr>
        <w:t>22</w:t>
      </w:r>
      <w:r>
        <w:rPr>
          <w:color w:val="FF0000"/>
          <w:sz w:val="28"/>
          <w:szCs w:val="28"/>
        </w:rPr>
        <w:t>日-</w:t>
      </w:r>
      <w:r>
        <w:rPr>
          <w:rFonts w:hint="eastAsia"/>
          <w:color w:val="FF0000"/>
          <w:sz w:val="28"/>
          <w:szCs w:val="28"/>
          <w:lang w:val="en-US" w:eastAsia="zh-CN"/>
        </w:rPr>
        <w:t>9月2</w:t>
      </w:r>
      <w:r>
        <w:rPr>
          <w:color w:val="FF0000"/>
          <w:sz w:val="28"/>
          <w:szCs w:val="28"/>
        </w:rPr>
        <w:t>日</w:t>
      </w:r>
      <w:r>
        <w:rPr>
          <w:color w:val="auto"/>
          <w:sz w:val="28"/>
          <w:szCs w:val="28"/>
        </w:rPr>
        <w:t>，网络公示网址：</w:t>
      </w:r>
      <w:r>
        <w:rPr>
          <w:color w:val="FF0000"/>
          <w:sz w:val="28"/>
          <w:szCs w:val="28"/>
        </w:rPr>
        <w:t>http://www.dqt.com.cn/huanping/261041.html，并分别于202</w:t>
      </w:r>
      <w:r>
        <w:rPr>
          <w:rFonts w:hint="eastAsia"/>
          <w:color w:val="FF0000"/>
          <w:sz w:val="28"/>
          <w:szCs w:val="28"/>
          <w:lang w:val="en-US" w:eastAsia="zh-CN"/>
        </w:rPr>
        <w:t>2</w:t>
      </w:r>
      <w:r>
        <w:rPr>
          <w:color w:val="FF0000"/>
          <w:sz w:val="28"/>
          <w:szCs w:val="28"/>
        </w:rPr>
        <w:t>年</w:t>
      </w:r>
      <w:r>
        <w:rPr>
          <w:rFonts w:hint="eastAsia"/>
          <w:color w:val="FF0000"/>
          <w:sz w:val="28"/>
          <w:szCs w:val="28"/>
          <w:lang w:val="en-US" w:eastAsia="zh-CN"/>
        </w:rPr>
        <w:t>8</w:t>
      </w:r>
      <w:r>
        <w:rPr>
          <w:color w:val="FF0000"/>
          <w:sz w:val="28"/>
          <w:szCs w:val="28"/>
        </w:rPr>
        <w:t>月</w:t>
      </w:r>
      <w:r>
        <w:rPr>
          <w:rFonts w:hint="eastAsia"/>
          <w:color w:val="FF0000"/>
          <w:sz w:val="28"/>
          <w:szCs w:val="28"/>
          <w:lang w:val="en-US" w:eastAsia="zh-CN"/>
        </w:rPr>
        <w:t>24</w:t>
      </w:r>
      <w:r>
        <w:rPr>
          <w:color w:val="FF0000"/>
          <w:sz w:val="28"/>
          <w:szCs w:val="28"/>
        </w:rPr>
        <w:t>日和202</w:t>
      </w:r>
      <w:r>
        <w:rPr>
          <w:rFonts w:hint="eastAsia"/>
          <w:color w:val="FF0000"/>
          <w:sz w:val="28"/>
          <w:szCs w:val="28"/>
          <w:lang w:val="en-US" w:eastAsia="zh-CN"/>
        </w:rPr>
        <w:t>2</w:t>
      </w:r>
      <w:r>
        <w:rPr>
          <w:color w:val="FF0000"/>
          <w:sz w:val="28"/>
          <w:szCs w:val="28"/>
        </w:rPr>
        <w:t>年</w:t>
      </w:r>
      <w:r>
        <w:rPr>
          <w:rFonts w:hint="eastAsia"/>
          <w:color w:val="FF0000"/>
          <w:sz w:val="28"/>
          <w:szCs w:val="28"/>
          <w:lang w:val="en-US" w:eastAsia="zh-CN"/>
        </w:rPr>
        <w:t>8</w:t>
      </w:r>
      <w:r>
        <w:rPr>
          <w:color w:val="FF0000"/>
          <w:sz w:val="28"/>
          <w:szCs w:val="28"/>
        </w:rPr>
        <w:t>月</w:t>
      </w:r>
      <w:r>
        <w:rPr>
          <w:rFonts w:hint="eastAsia"/>
          <w:color w:val="FF0000"/>
          <w:sz w:val="28"/>
          <w:szCs w:val="28"/>
          <w:lang w:val="en-US" w:eastAsia="zh-CN"/>
        </w:rPr>
        <w:t>30</w:t>
      </w:r>
      <w:r>
        <w:rPr>
          <w:color w:val="FF0000"/>
          <w:sz w:val="28"/>
          <w:szCs w:val="28"/>
        </w:rPr>
        <w:t>日在《大庆油田报》</w:t>
      </w:r>
      <w:r>
        <w:rPr>
          <w:color w:val="auto"/>
          <w:sz w:val="28"/>
          <w:szCs w:val="28"/>
        </w:rPr>
        <w:t>上进行公告，并在项目周边</w:t>
      </w:r>
      <w:r>
        <w:rPr>
          <w:rFonts w:hint="eastAsia"/>
          <w:bCs/>
          <w:color w:val="auto"/>
          <w:sz w:val="28"/>
          <w:szCs w:val="28"/>
        </w:rPr>
        <w:t>选取了人口相对集中、能够覆盖周边村屯人员活动半径的有代表性</w:t>
      </w:r>
      <w:r>
        <w:rPr>
          <w:bCs/>
          <w:color w:val="auto"/>
          <w:sz w:val="28"/>
          <w:szCs w:val="28"/>
        </w:rPr>
        <w:t>村屯（</w:t>
      </w:r>
      <w:r>
        <w:rPr>
          <w:rFonts w:hint="eastAsia"/>
          <w:bCs/>
          <w:color w:val="auto"/>
          <w:sz w:val="28"/>
          <w:szCs w:val="28"/>
        </w:rPr>
        <w:t>包括</w:t>
      </w:r>
      <w:r>
        <w:rPr>
          <w:rFonts w:hint="eastAsia" w:ascii="宋体" w:hAnsi="宋体" w:cs="宋体"/>
          <w:color w:val="auto"/>
          <w:sz w:val="28"/>
          <w:szCs w:val="28"/>
        </w:rPr>
        <w:t>升平镇、拥护村、白家屯、高明礼窝棚、胡井安、新立屯、保田村、赵不得了、刘万义屯、韩林屯</w:t>
      </w:r>
      <w:r>
        <w:rPr>
          <w:bCs/>
          <w:color w:val="auto"/>
          <w:sz w:val="28"/>
          <w:szCs w:val="28"/>
        </w:rPr>
        <w:t>）</w:t>
      </w:r>
      <w:r>
        <w:rPr>
          <w:rFonts w:hint="eastAsia"/>
          <w:bCs/>
          <w:color w:val="auto"/>
          <w:sz w:val="28"/>
          <w:szCs w:val="28"/>
        </w:rPr>
        <w:t>等</w:t>
      </w:r>
      <w:r>
        <w:rPr>
          <w:rFonts w:hint="eastAsia"/>
          <w:color w:val="auto"/>
          <w:sz w:val="28"/>
          <w:szCs w:val="28"/>
        </w:rPr>
        <w:t>进行</w:t>
      </w:r>
      <w:r>
        <w:rPr>
          <w:color w:val="auto"/>
          <w:sz w:val="28"/>
          <w:szCs w:val="28"/>
        </w:rPr>
        <w:t>张贴公告。</w:t>
      </w:r>
    </w:p>
    <w:p>
      <w:pPr>
        <w:spacing w:line="480" w:lineRule="exact"/>
        <w:ind w:firstLine="560" w:firstLineChars="200"/>
        <w:rPr>
          <w:bCs/>
          <w:color w:val="auto"/>
          <w:sz w:val="28"/>
          <w:szCs w:val="28"/>
        </w:rPr>
      </w:pPr>
      <w:r>
        <w:rPr>
          <w:color w:val="auto"/>
          <w:sz w:val="28"/>
          <w:szCs w:val="28"/>
        </w:rPr>
        <w:t>公众参与期间，建设单位未收到公众对本项目提出的环境影响相关意见。</w:t>
      </w:r>
      <w:r>
        <w:rPr>
          <w:rFonts w:hAnsi="宋体"/>
          <w:bCs/>
          <w:color w:val="auto"/>
          <w:sz w:val="28"/>
          <w:szCs w:val="28"/>
        </w:rPr>
        <w:t>。</w:t>
      </w:r>
    </w:p>
    <w:p>
      <w:pPr>
        <w:pStyle w:val="4"/>
        <w:numPr>
          <w:ilvl w:val="1"/>
          <w:numId w:val="4"/>
        </w:numPr>
        <w:bidi w:val="0"/>
        <w:rPr>
          <w:rFonts w:ascii="Times New Roman" w:hAnsi="Times New Roman" w:eastAsia="宋体"/>
          <w:b w:val="0"/>
          <w:snapToGrid w:val="0"/>
          <w:color w:val="auto"/>
          <w:kern w:val="0"/>
          <w:sz w:val="30"/>
          <w:szCs w:val="30"/>
        </w:rPr>
      </w:pPr>
      <w:bookmarkStart w:id="727" w:name="_Toc12596"/>
      <w:bookmarkStart w:id="728" w:name="_Toc96083893"/>
      <w:r>
        <w:rPr>
          <w:rFonts w:ascii="Times New Roman" w:hAnsi="宋体" w:eastAsia="宋体"/>
          <w:b w:val="0"/>
          <w:snapToGrid w:val="0"/>
          <w:color w:val="auto"/>
          <w:kern w:val="0"/>
          <w:sz w:val="30"/>
          <w:szCs w:val="30"/>
        </w:rPr>
        <w:t>环境影响经济损益分析</w:t>
      </w:r>
      <w:bookmarkEnd w:id="727"/>
      <w:bookmarkEnd w:id="728"/>
    </w:p>
    <w:p>
      <w:pPr>
        <w:pStyle w:val="83"/>
        <w:bidi w:val="0"/>
        <w:rPr>
          <w:color w:val="auto"/>
        </w:rPr>
      </w:pPr>
      <w:r>
        <w:rPr>
          <w:rFonts w:hint="eastAsia"/>
          <w:color w:val="auto"/>
          <w:lang w:eastAsia="zh-CN"/>
        </w:rPr>
        <w:t>本项目</w:t>
      </w:r>
      <w:r>
        <w:rPr>
          <w:rFonts w:hint="eastAsia"/>
          <w:color w:val="auto"/>
        </w:rPr>
        <w:t>的建设，为确保大庆油田的可持续发展、建设百年油田提供了强有力的保证，对保障我国天然气的供应，改变国家能源结构促进改革和社会发展，都将发挥重要的作用。同时，该项目的建设还可以提高项目所在地的税收、增加就业机会、带动当地第三产业的发展，提高当地的生活水平，实现当地经济环境的协调发展</w:t>
      </w:r>
      <w:r>
        <w:rPr>
          <w:color w:val="auto"/>
        </w:rPr>
        <w:t>。</w:t>
      </w:r>
    </w:p>
    <w:p>
      <w:pPr>
        <w:pStyle w:val="4"/>
        <w:numPr>
          <w:ilvl w:val="1"/>
          <w:numId w:val="4"/>
        </w:numPr>
        <w:bidi w:val="0"/>
        <w:rPr>
          <w:rFonts w:ascii="Times New Roman" w:hAnsi="Times New Roman" w:eastAsia="宋体"/>
          <w:b w:val="0"/>
          <w:snapToGrid w:val="0"/>
          <w:color w:val="auto"/>
          <w:kern w:val="0"/>
          <w:sz w:val="30"/>
          <w:szCs w:val="30"/>
        </w:rPr>
      </w:pPr>
      <w:bookmarkStart w:id="729" w:name="_Toc96083894"/>
      <w:bookmarkStart w:id="730" w:name="_Toc3592"/>
      <w:r>
        <w:rPr>
          <w:rFonts w:ascii="Times New Roman" w:hAnsi="宋体" w:eastAsia="宋体"/>
          <w:b w:val="0"/>
          <w:snapToGrid w:val="0"/>
          <w:color w:val="auto"/>
          <w:kern w:val="0"/>
          <w:sz w:val="30"/>
          <w:szCs w:val="30"/>
        </w:rPr>
        <w:t>环境管理与监测计划</w:t>
      </w:r>
      <w:bookmarkEnd w:id="729"/>
      <w:bookmarkEnd w:id="730"/>
    </w:p>
    <w:p>
      <w:pPr>
        <w:pStyle w:val="83"/>
        <w:bidi w:val="0"/>
        <w:rPr>
          <w:color w:val="auto"/>
        </w:rPr>
      </w:pPr>
      <w:r>
        <w:rPr>
          <w:color w:val="auto"/>
        </w:rPr>
        <w:t>企业应建立严格的环保岗位责任制，在关键的生产排污环节上设专人管理看护；另外应建立计算机辅助管理系统，使之更好地利用经济、技术、行政和教育手段，对损害环境质量的生产活动加以限制。同时应对主要污染源进行定期监测，建立污染源档案。</w:t>
      </w:r>
      <w:r>
        <w:rPr>
          <w:snapToGrid w:val="0"/>
          <w:color w:val="auto"/>
          <w:kern w:val="0"/>
          <w:sz w:val="28"/>
          <w:szCs w:val="28"/>
        </w:rPr>
        <w:t>工程</w:t>
      </w:r>
      <w:r>
        <w:rPr>
          <w:rFonts w:hint="eastAsia"/>
          <w:snapToGrid w:val="0"/>
          <w:color w:val="auto"/>
          <w:kern w:val="0"/>
          <w:sz w:val="28"/>
          <w:szCs w:val="28"/>
        </w:rPr>
        <w:t>环境监督管理及环境监测计划</w:t>
      </w:r>
      <w:r>
        <w:rPr>
          <w:snapToGrid w:val="0"/>
          <w:color w:val="auto"/>
          <w:kern w:val="0"/>
          <w:sz w:val="28"/>
          <w:szCs w:val="28"/>
        </w:rPr>
        <w:t>由大庆油田有限责任公司</w:t>
      </w:r>
      <w:r>
        <w:rPr>
          <w:rFonts w:hint="eastAsia"/>
          <w:snapToGrid w:val="0"/>
          <w:color w:val="auto"/>
          <w:kern w:val="0"/>
          <w:sz w:val="28"/>
          <w:szCs w:val="28"/>
          <w:lang w:eastAsia="zh-CN"/>
        </w:rPr>
        <w:t>采气分公司（储气库分公司）</w:t>
      </w:r>
      <w:r>
        <w:rPr>
          <w:snapToGrid w:val="0"/>
          <w:color w:val="auto"/>
          <w:kern w:val="0"/>
          <w:sz w:val="28"/>
          <w:szCs w:val="28"/>
        </w:rPr>
        <w:t>负责</w:t>
      </w:r>
      <w:r>
        <w:rPr>
          <w:rFonts w:hint="eastAsia"/>
          <w:snapToGrid w:val="0"/>
          <w:color w:val="auto"/>
          <w:kern w:val="0"/>
          <w:sz w:val="28"/>
          <w:szCs w:val="28"/>
        </w:rPr>
        <w:t>实施</w:t>
      </w:r>
      <w:r>
        <w:rPr>
          <w:snapToGrid w:val="0"/>
          <w:color w:val="auto"/>
          <w:kern w:val="0"/>
          <w:sz w:val="28"/>
          <w:szCs w:val="28"/>
        </w:rPr>
        <w:t>，环境监测可包括对作业场所的控制监测和事故发生后的影响监测。</w:t>
      </w:r>
    </w:p>
    <w:p>
      <w:pPr>
        <w:pStyle w:val="4"/>
        <w:numPr>
          <w:ilvl w:val="1"/>
          <w:numId w:val="4"/>
        </w:numPr>
        <w:bidi w:val="0"/>
        <w:rPr>
          <w:rFonts w:ascii="Times New Roman" w:hAnsi="Times New Roman" w:eastAsia="宋体"/>
          <w:b w:val="0"/>
          <w:snapToGrid w:val="0"/>
          <w:color w:val="auto"/>
          <w:kern w:val="0"/>
          <w:sz w:val="30"/>
          <w:szCs w:val="30"/>
        </w:rPr>
      </w:pPr>
      <w:bookmarkStart w:id="731" w:name="_Toc6111"/>
      <w:bookmarkStart w:id="732" w:name="_Toc239219462"/>
      <w:bookmarkStart w:id="733" w:name="_Toc239670391"/>
      <w:bookmarkStart w:id="734" w:name="_Toc96083895"/>
      <w:r>
        <w:rPr>
          <w:rFonts w:ascii="Times New Roman" w:hAnsi="宋体" w:eastAsia="宋体"/>
          <w:b w:val="0"/>
          <w:snapToGrid w:val="0"/>
          <w:color w:val="auto"/>
          <w:kern w:val="0"/>
          <w:sz w:val="30"/>
          <w:szCs w:val="30"/>
        </w:rPr>
        <w:t>综合结论</w:t>
      </w:r>
      <w:bookmarkEnd w:id="731"/>
      <w:bookmarkEnd w:id="732"/>
      <w:bookmarkEnd w:id="733"/>
      <w:bookmarkEnd w:id="734"/>
    </w:p>
    <w:p>
      <w:pPr>
        <w:snapToGrid w:val="0"/>
        <w:spacing w:line="500" w:lineRule="exact"/>
        <w:ind w:firstLine="560" w:firstLineChars="200"/>
        <w:rPr>
          <w:rFonts w:hint="eastAsia" w:hAnsi="宋体"/>
          <w:snapToGrid w:val="0"/>
          <w:color w:val="auto"/>
          <w:sz w:val="28"/>
          <w:szCs w:val="28"/>
        </w:rPr>
      </w:pPr>
      <w:r>
        <w:rPr>
          <w:rFonts w:hAnsi="宋体"/>
          <w:snapToGrid w:val="0"/>
          <w:color w:val="auto"/>
          <w:sz w:val="28"/>
          <w:szCs w:val="28"/>
        </w:rPr>
        <w:t>综上所述，</w:t>
      </w:r>
      <w:r>
        <w:rPr>
          <w:rFonts w:hint="eastAsia"/>
          <w:snapToGrid w:val="0"/>
          <w:color w:val="auto"/>
          <w:sz w:val="28"/>
          <w:szCs w:val="28"/>
          <w:lang w:eastAsia="zh-CN"/>
        </w:rPr>
        <w:t>大庆升平储气库工程钻</w:t>
      </w:r>
      <w:r>
        <w:rPr>
          <w:rFonts w:hint="eastAsia"/>
          <w:snapToGrid w:val="0"/>
          <w:color w:val="auto"/>
          <w:sz w:val="28"/>
          <w:szCs w:val="28"/>
          <w:lang w:val="en-US" w:eastAsia="zh-CN"/>
        </w:rPr>
        <w:t>采</w:t>
      </w:r>
      <w:r>
        <w:rPr>
          <w:rFonts w:hint="eastAsia"/>
          <w:snapToGrid w:val="0"/>
          <w:color w:val="auto"/>
          <w:sz w:val="28"/>
          <w:szCs w:val="28"/>
          <w:lang w:eastAsia="zh-CN"/>
        </w:rPr>
        <w:t>工程</w:t>
      </w:r>
      <w:r>
        <w:rPr>
          <w:rFonts w:hAnsi="宋体"/>
          <w:color w:val="auto"/>
          <w:sz w:val="28"/>
          <w:szCs w:val="28"/>
        </w:rPr>
        <w:t>符合国家产业政策和当地经济发展规划，公</w:t>
      </w:r>
      <w:r>
        <w:rPr>
          <w:rFonts w:hAnsi="宋体"/>
          <w:snapToGrid w:val="0"/>
          <w:color w:val="auto"/>
          <w:sz w:val="28"/>
          <w:szCs w:val="28"/>
        </w:rPr>
        <w:t>众认同性较好。只要在建设过程中认真落实各项污染防治措施、生态保护措施和风险防范措施后，各项污染物能够做到达标排放，其生态破坏可降至最低，环境风险可以接受，从环境保护角度看，本项目建设是可行的。</w:t>
      </w:r>
    </w:p>
    <w:p>
      <w:pPr>
        <w:snapToGrid w:val="0"/>
        <w:spacing w:line="500" w:lineRule="exact"/>
        <w:ind w:firstLine="560" w:firstLineChars="200"/>
        <w:rPr>
          <w:rFonts w:hint="eastAsia" w:hAnsi="宋体"/>
          <w:snapToGrid w:val="0"/>
          <w:color w:val="auto"/>
          <w:sz w:val="28"/>
          <w:szCs w:val="28"/>
        </w:rPr>
      </w:pPr>
    </w:p>
    <w:p>
      <w:pPr>
        <w:snapToGrid w:val="0"/>
        <w:spacing w:line="480" w:lineRule="exact"/>
        <w:jc w:val="center"/>
        <w:rPr>
          <w:rFonts w:hint="eastAsia" w:hAnsi="宋体"/>
          <w:color w:val="auto"/>
          <w:spacing w:val="-4"/>
          <w:sz w:val="28"/>
          <w:szCs w:val="28"/>
        </w:rPr>
      </w:pPr>
    </w:p>
    <w:p>
      <w:pPr>
        <w:snapToGrid w:val="0"/>
        <w:spacing w:line="480" w:lineRule="exact"/>
        <w:jc w:val="center"/>
        <w:rPr>
          <w:rFonts w:hint="eastAsia" w:hAnsi="宋体"/>
          <w:color w:val="auto"/>
          <w:spacing w:val="-4"/>
          <w:sz w:val="28"/>
          <w:szCs w:val="28"/>
        </w:rPr>
      </w:pPr>
    </w:p>
    <w:p>
      <w:pPr>
        <w:rPr>
          <w:rFonts w:hint="eastAsia" w:hAnsi="宋体"/>
          <w:color w:val="auto"/>
          <w:spacing w:val="-4"/>
          <w:sz w:val="28"/>
          <w:szCs w:val="28"/>
        </w:rPr>
      </w:pPr>
      <w:r>
        <w:rPr>
          <w:rFonts w:hint="eastAsia" w:hAnsi="宋体"/>
          <w:color w:val="auto"/>
          <w:spacing w:val="-4"/>
          <w:sz w:val="28"/>
          <w:szCs w:val="28"/>
        </w:rPr>
        <w:br w:type="page"/>
      </w: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outlineLvl w:val="0"/>
        <w:rPr>
          <w:snapToGrid w:val="0"/>
          <w:color w:val="auto"/>
          <w:kern w:val="0"/>
          <w:sz w:val="28"/>
          <w:szCs w:val="28"/>
        </w:rPr>
      </w:pPr>
      <w:r>
        <w:rPr>
          <w:rFonts w:hint="eastAsia" w:hAnsi="宋体"/>
          <w:snapToGrid w:val="0"/>
          <w:color w:val="auto"/>
          <w:kern w:val="0"/>
          <w:sz w:val="28"/>
          <w:szCs w:val="28"/>
        </w:rPr>
        <w:t>附</w:t>
      </w:r>
      <w:r>
        <w:rPr>
          <w:rFonts w:hAnsi="宋体"/>
          <w:snapToGrid w:val="0"/>
          <w:color w:val="auto"/>
          <w:kern w:val="0"/>
          <w:sz w:val="28"/>
          <w:szCs w:val="28"/>
        </w:rPr>
        <w:t>表</w:t>
      </w:r>
      <w:r>
        <w:rPr>
          <w:rFonts w:hint="eastAsia"/>
          <w:snapToGrid w:val="0"/>
          <w:color w:val="auto"/>
          <w:kern w:val="0"/>
          <w:sz w:val="28"/>
          <w:szCs w:val="28"/>
          <w:lang w:val="en-US" w:eastAsia="zh-CN"/>
        </w:rPr>
        <w:t>1</w:t>
      </w:r>
      <w:r>
        <w:rPr>
          <w:rFonts w:hAnsi="宋体"/>
          <w:snapToGrid w:val="0"/>
          <w:color w:val="auto"/>
          <w:kern w:val="0"/>
          <w:sz w:val="28"/>
          <w:szCs w:val="28"/>
        </w:rPr>
        <w:t>土壤环境影响评价自查表</w:t>
      </w:r>
    </w:p>
    <w:tbl>
      <w:tblPr>
        <w:tblStyle w:val="34"/>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2"/>
        <w:gridCol w:w="1809"/>
        <w:gridCol w:w="1223"/>
        <w:gridCol w:w="1498"/>
        <w:gridCol w:w="1338"/>
        <w:gridCol w:w="249"/>
        <w:gridCol w:w="1425"/>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2231"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工作内容</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完成情况</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422"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影响识别</w:t>
            </w: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影响类型</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污染影响型</w:t>
            </w:r>
            <w:r>
              <w:rPr>
                <w:rFonts w:hint="default"/>
                <w:color w:val="auto"/>
                <w:kern w:val="0"/>
                <w:sz w:val="18"/>
                <w:szCs w:val="18"/>
              </w:rPr>
              <w:t>□√</w:t>
            </w:r>
            <w:r>
              <w:rPr>
                <w:rFonts w:hint="default" w:hAnsi="宋体"/>
                <w:color w:val="auto"/>
                <w:kern w:val="0"/>
                <w:sz w:val="18"/>
                <w:szCs w:val="18"/>
              </w:rPr>
              <w:t>；生态影响型</w:t>
            </w:r>
            <w:r>
              <w:rPr>
                <w:rFonts w:hint="default"/>
                <w:color w:val="auto"/>
                <w:kern w:val="0"/>
                <w:sz w:val="18"/>
                <w:szCs w:val="18"/>
              </w:rPr>
              <w:t>□</w:t>
            </w:r>
            <w:r>
              <w:rPr>
                <w:rFonts w:hint="default" w:hAnsi="宋体"/>
                <w:color w:val="auto"/>
                <w:kern w:val="0"/>
                <w:sz w:val="18"/>
                <w:szCs w:val="18"/>
              </w:rPr>
              <w:t>；两种兼有</w:t>
            </w:r>
            <w:r>
              <w:rPr>
                <w:rFonts w:hint="default"/>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土地利用类型</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建设用地</w:t>
            </w:r>
            <w:r>
              <w:rPr>
                <w:rFonts w:hint="default"/>
                <w:color w:val="auto"/>
                <w:kern w:val="0"/>
                <w:sz w:val="18"/>
                <w:szCs w:val="18"/>
              </w:rPr>
              <w:t>□</w:t>
            </w:r>
            <w:r>
              <w:rPr>
                <w:rFonts w:hint="default" w:hAnsi="宋体"/>
                <w:color w:val="auto"/>
                <w:kern w:val="0"/>
                <w:sz w:val="18"/>
                <w:szCs w:val="18"/>
              </w:rPr>
              <w:t>；农用地</w:t>
            </w:r>
            <w:r>
              <w:rPr>
                <w:rFonts w:hint="default"/>
                <w:color w:val="auto"/>
                <w:kern w:val="0"/>
                <w:sz w:val="18"/>
                <w:szCs w:val="18"/>
              </w:rPr>
              <w:t>□√</w:t>
            </w:r>
            <w:r>
              <w:rPr>
                <w:rFonts w:hint="default" w:hAnsi="宋体"/>
                <w:color w:val="auto"/>
                <w:kern w:val="0"/>
                <w:sz w:val="18"/>
                <w:szCs w:val="18"/>
              </w:rPr>
              <w:t>；未利用地</w:t>
            </w:r>
            <w:r>
              <w:rPr>
                <w:rFonts w:hint="default"/>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spacing w:val="9"/>
                <w:kern w:val="0"/>
                <w:szCs w:val="21"/>
              </w:rPr>
              <w:t>土</w:t>
            </w:r>
            <w:r>
              <w:rPr>
                <w:rFonts w:hint="default" w:hAnsi="宋体"/>
                <w:color w:val="auto"/>
                <w:spacing w:val="7"/>
                <w:kern w:val="0"/>
                <w:szCs w:val="21"/>
              </w:rPr>
              <w:t>地</w:t>
            </w:r>
            <w:r>
              <w:rPr>
                <w:rFonts w:hint="default" w:hAnsi="宋体"/>
                <w:color w:val="auto"/>
                <w:spacing w:val="9"/>
                <w:kern w:val="0"/>
                <w:szCs w:val="21"/>
              </w:rPr>
              <w:t>利用</w:t>
            </w:r>
            <w:r>
              <w:rPr>
                <w:rFonts w:hint="default" w:hAnsi="宋体"/>
                <w:color w:val="auto"/>
                <w:kern w:val="0"/>
                <w:szCs w:val="21"/>
              </w:rPr>
              <w:t>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占地规模</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w:t>
            </w:r>
            <w:r>
              <w:rPr>
                <w:rFonts w:hint="eastAsia"/>
                <w:color w:val="auto"/>
                <w:kern w:val="0"/>
                <w:sz w:val="18"/>
                <w:szCs w:val="18"/>
                <w:lang w:val="en-US" w:eastAsia="zh-CN"/>
              </w:rPr>
              <w:t>1.6</w:t>
            </w:r>
            <w:r>
              <w:rPr>
                <w:rFonts w:hint="default" w:hAnsi="宋体"/>
                <w:color w:val="auto"/>
                <w:kern w:val="0"/>
                <w:sz w:val="18"/>
                <w:szCs w:val="18"/>
              </w:rPr>
              <w:t>）</w:t>
            </w:r>
            <w:r>
              <w:rPr>
                <w:rFonts w:hint="default"/>
                <w:color w:val="auto"/>
                <w:kern w:val="0"/>
                <w:sz w:val="18"/>
                <w:szCs w:val="18"/>
              </w:rPr>
              <w:t>hm</w:t>
            </w:r>
            <w:r>
              <w:rPr>
                <w:rFonts w:hint="default"/>
                <w:color w:val="auto"/>
                <w:kern w:val="0"/>
                <w:sz w:val="18"/>
                <w:szCs w:val="18"/>
                <w:vertAlign w:val="superscript"/>
              </w:rPr>
              <w:t>2</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敏感目标信息</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敏感目标（</w:t>
            </w:r>
            <w:r>
              <w:rPr>
                <w:rFonts w:hint="default"/>
                <w:color w:val="auto"/>
                <w:kern w:val="0"/>
                <w:sz w:val="18"/>
                <w:szCs w:val="18"/>
              </w:rPr>
              <w:tab/>
            </w:r>
            <w:r>
              <w:rPr>
                <w:rFonts w:hint="default" w:hAnsi="宋体"/>
                <w:color w:val="auto"/>
                <w:kern w:val="0"/>
                <w:sz w:val="18"/>
                <w:szCs w:val="18"/>
              </w:rPr>
              <w:t>）、方位（</w:t>
            </w:r>
            <w:r>
              <w:rPr>
                <w:rFonts w:hint="default"/>
                <w:color w:val="auto"/>
                <w:kern w:val="0"/>
                <w:sz w:val="18"/>
                <w:szCs w:val="18"/>
              </w:rPr>
              <w:tab/>
            </w:r>
            <w:r>
              <w:rPr>
                <w:rFonts w:hint="default" w:hAnsi="宋体"/>
                <w:color w:val="auto"/>
                <w:kern w:val="0"/>
                <w:sz w:val="18"/>
                <w:szCs w:val="18"/>
              </w:rPr>
              <w:t>）、距离（</w:t>
            </w:r>
            <w:r>
              <w:rPr>
                <w:rFonts w:hint="default"/>
                <w:color w:val="auto"/>
                <w:kern w:val="0"/>
                <w:sz w:val="18"/>
                <w:szCs w:val="18"/>
              </w:rPr>
              <w:t xml:space="preserve">      </w:t>
            </w:r>
            <w:r>
              <w:rPr>
                <w:rFonts w:hint="default" w:hAnsi="宋体"/>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影响途径</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大气沉降</w:t>
            </w:r>
            <w:r>
              <w:rPr>
                <w:rFonts w:hint="default"/>
                <w:color w:val="auto"/>
                <w:kern w:val="0"/>
                <w:sz w:val="18"/>
                <w:szCs w:val="18"/>
              </w:rPr>
              <w:t>□</w:t>
            </w:r>
            <w:r>
              <w:rPr>
                <w:rFonts w:hint="default" w:hAnsi="宋体"/>
                <w:color w:val="auto"/>
                <w:kern w:val="0"/>
                <w:sz w:val="18"/>
                <w:szCs w:val="18"/>
              </w:rPr>
              <w:t>；地面漫流</w:t>
            </w:r>
            <w:r>
              <w:rPr>
                <w:rFonts w:hint="default"/>
                <w:color w:val="auto"/>
                <w:kern w:val="0"/>
                <w:sz w:val="18"/>
                <w:szCs w:val="18"/>
              </w:rPr>
              <w:t>□</w:t>
            </w:r>
            <w:r>
              <w:rPr>
                <w:rFonts w:hint="default" w:hAnsi="宋体"/>
                <w:color w:val="auto"/>
                <w:kern w:val="0"/>
                <w:sz w:val="18"/>
                <w:szCs w:val="18"/>
              </w:rPr>
              <w:t>；垂直入渗</w:t>
            </w:r>
            <w:r>
              <w:rPr>
                <w:rFonts w:hint="default"/>
                <w:color w:val="auto"/>
                <w:kern w:val="0"/>
                <w:sz w:val="18"/>
                <w:szCs w:val="18"/>
              </w:rPr>
              <w:t>□√</w:t>
            </w:r>
            <w:r>
              <w:rPr>
                <w:rFonts w:hint="default" w:hAnsi="宋体"/>
                <w:color w:val="auto"/>
                <w:kern w:val="0"/>
                <w:sz w:val="18"/>
                <w:szCs w:val="18"/>
              </w:rPr>
              <w:t>；地下水位</w:t>
            </w:r>
            <w:r>
              <w:rPr>
                <w:rFonts w:hint="default"/>
                <w:color w:val="auto"/>
                <w:kern w:val="0"/>
                <w:sz w:val="18"/>
                <w:szCs w:val="18"/>
              </w:rPr>
              <w:t>□</w:t>
            </w:r>
            <w:r>
              <w:rPr>
                <w:rFonts w:hint="default" w:hAnsi="宋体"/>
                <w:color w:val="auto"/>
                <w:kern w:val="0"/>
                <w:sz w:val="18"/>
                <w:szCs w:val="18"/>
              </w:rPr>
              <w:t>；其他（</w:t>
            </w:r>
            <w:r>
              <w:rPr>
                <w:rFonts w:hint="default"/>
                <w:color w:val="auto"/>
                <w:kern w:val="0"/>
                <w:sz w:val="18"/>
                <w:szCs w:val="18"/>
              </w:rPr>
              <w:t xml:space="preserve"> </w:t>
            </w:r>
            <w:r>
              <w:rPr>
                <w:rFonts w:hint="default" w:hAnsi="宋体"/>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全部污染物</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石油烃</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特征因子</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石油烃</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所属土壤环境影响评价项目类别</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ascii="宋体" w:hAnsi="宋体"/>
                <w:color w:val="auto"/>
                <w:kern w:val="0"/>
                <w:sz w:val="18"/>
                <w:szCs w:val="18"/>
              </w:rPr>
              <w:t>Ⅰ</w:t>
            </w:r>
            <w:r>
              <w:rPr>
                <w:rFonts w:hint="default" w:hAnsi="宋体"/>
                <w:color w:val="auto"/>
                <w:kern w:val="0"/>
                <w:sz w:val="18"/>
                <w:szCs w:val="18"/>
              </w:rPr>
              <w:t>类</w:t>
            </w:r>
            <w:r>
              <w:rPr>
                <w:rFonts w:hint="default"/>
                <w:color w:val="auto"/>
                <w:kern w:val="0"/>
                <w:sz w:val="18"/>
                <w:szCs w:val="18"/>
              </w:rPr>
              <w:t>□</w:t>
            </w:r>
            <w:r>
              <w:rPr>
                <w:rFonts w:hint="default" w:hAnsi="宋体"/>
                <w:color w:val="auto"/>
                <w:kern w:val="0"/>
                <w:sz w:val="18"/>
                <w:szCs w:val="18"/>
              </w:rPr>
              <w:t>；</w:t>
            </w:r>
            <w:r>
              <w:rPr>
                <w:rFonts w:hint="default" w:ascii="宋体" w:hAnsi="宋体"/>
                <w:color w:val="auto"/>
                <w:kern w:val="0"/>
                <w:sz w:val="18"/>
                <w:szCs w:val="18"/>
              </w:rPr>
              <w:t>Ⅱ</w:t>
            </w:r>
            <w:r>
              <w:rPr>
                <w:rFonts w:hint="default" w:hAnsi="宋体"/>
                <w:color w:val="auto"/>
                <w:kern w:val="0"/>
                <w:sz w:val="18"/>
                <w:szCs w:val="18"/>
              </w:rPr>
              <w:t>类</w:t>
            </w:r>
            <w:r>
              <w:rPr>
                <w:rFonts w:hint="default"/>
                <w:color w:val="auto"/>
                <w:kern w:val="0"/>
                <w:sz w:val="18"/>
                <w:szCs w:val="18"/>
              </w:rPr>
              <w:t>□√</w:t>
            </w:r>
            <w:r>
              <w:rPr>
                <w:rFonts w:hint="default" w:hAnsi="宋体"/>
                <w:color w:val="auto"/>
                <w:kern w:val="0"/>
                <w:sz w:val="18"/>
                <w:szCs w:val="18"/>
              </w:rPr>
              <w:t>；</w:t>
            </w:r>
            <w:r>
              <w:rPr>
                <w:rFonts w:hint="default" w:ascii="宋体" w:hAnsi="宋体"/>
                <w:color w:val="auto"/>
                <w:kern w:val="0"/>
                <w:sz w:val="18"/>
                <w:szCs w:val="18"/>
              </w:rPr>
              <w:t>Ⅲ</w:t>
            </w:r>
            <w:r>
              <w:rPr>
                <w:rFonts w:hint="default" w:hAnsi="宋体"/>
                <w:color w:val="auto"/>
                <w:kern w:val="0"/>
                <w:sz w:val="18"/>
                <w:szCs w:val="18"/>
              </w:rPr>
              <w:t>类</w:t>
            </w:r>
            <w:r>
              <w:rPr>
                <w:rFonts w:hint="default"/>
                <w:color w:val="auto"/>
                <w:kern w:val="0"/>
                <w:sz w:val="18"/>
                <w:szCs w:val="18"/>
              </w:rPr>
              <w:t>□</w:t>
            </w:r>
            <w:r>
              <w:rPr>
                <w:rFonts w:hint="default" w:hAnsi="宋体"/>
                <w:color w:val="auto"/>
                <w:kern w:val="0"/>
                <w:sz w:val="18"/>
                <w:szCs w:val="18"/>
              </w:rPr>
              <w:t>；</w:t>
            </w:r>
            <w:r>
              <w:rPr>
                <w:rFonts w:hint="default" w:ascii="宋体" w:hAnsi="宋体"/>
                <w:color w:val="auto"/>
                <w:kern w:val="0"/>
                <w:sz w:val="18"/>
                <w:szCs w:val="18"/>
              </w:rPr>
              <w:t>Ⅳ</w:t>
            </w:r>
            <w:r>
              <w:rPr>
                <w:rFonts w:hint="default" w:hAnsi="宋体"/>
                <w:color w:val="auto"/>
                <w:kern w:val="0"/>
                <w:sz w:val="18"/>
                <w:szCs w:val="18"/>
              </w:rPr>
              <w:t>类</w:t>
            </w:r>
            <w:r>
              <w:rPr>
                <w:rFonts w:hint="default"/>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敏感程度</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敏感</w:t>
            </w:r>
            <w:r>
              <w:rPr>
                <w:rFonts w:hint="default"/>
                <w:color w:val="auto"/>
                <w:kern w:val="0"/>
                <w:sz w:val="18"/>
                <w:szCs w:val="18"/>
              </w:rPr>
              <w:t>□√</w:t>
            </w:r>
            <w:r>
              <w:rPr>
                <w:rFonts w:hint="default" w:hAnsi="宋体"/>
                <w:color w:val="auto"/>
                <w:kern w:val="0"/>
                <w:sz w:val="18"/>
                <w:szCs w:val="18"/>
              </w:rPr>
              <w:t>；较敏感</w:t>
            </w:r>
            <w:r>
              <w:rPr>
                <w:rFonts w:hint="default"/>
                <w:color w:val="auto"/>
                <w:kern w:val="0"/>
                <w:sz w:val="18"/>
                <w:szCs w:val="18"/>
              </w:rPr>
              <w:t>□</w:t>
            </w:r>
            <w:r>
              <w:rPr>
                <w:rFonts w:hint="default" w:hAnsi="宋体"/>
                <w:color w:val="auto"/>
                <w:kern w:val="0"/>
                <w:sz w:val="18"/>
                <w:szCs w:val="18"/>
              </w:rPr>
              <w:t>；不敏感</w:t>
            </w:r>
            <w:r>
              <w:rPr>
                <w:rFonts w:hint="default"/>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2231"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评价工作等级</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一级</w:t>
            </w:r>
            <w:r>
              <w:rPr>
                <w:rFonts w:hint="default"/>
                <w:color w:val="auto"/>
                <w:kern w:val="0"/>
                <w:sz w:val="18"/>
                <w:szCs w:val="18"/>
              </w:rPr>
              <w:t>□</w:t>
            </w:r>
            <w:r>
              <w:rPr>
                <w:rFonts w:hint="default" w:hAnsi="宋体"/>
                <w:color w:val="auto"/>
                <w:kern w:val="0"/>
                <w:sz w:val="18"/>
                <w:szCs w:val="18"/>
              </w:rPr>
              <w:t>；二级</w:t>
            </w:r>
            <w:r>
              <w:rPr>
                <w:rFonts w:hint="default"/>
                <w:color w:val="auto"/>
                <w:kern w:val="0"/>
                <w:sz w:val="18"/>
                <w:szCs w:val="18"/>
              </w:rPr>
              <w:t>□√</w:t>
            </w:r>
            <w:r>
              <w:rPr>
                <w:rFonts w:hint="default" w:hAnsi="宋体"/>
                <w:color w:val="auto"/>
                <w:kern w:val="0"/>
                <w:sz w:val="18"/>
                <w:szCs w:val="18"/>
              </w:rPr>
              <w:t>；三级</w:t>
            </w:r>
            <w:r>
              <w:rPr>
                <w:rFonts w:hint="default"/>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现状调查内容</w:t>
            </w: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资料收集</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a</w:t>
            </w:r>
            <w:r>
              <w:rPr>
                <w:rFonts w:hint="default" w:hAnsi="宋体"/>
                <w:color w:val="auto"/>
                <w:kern w:val="0"/>
                <w:sz w:val="18"/>
                <w:szCs w:val="18"/>
              </w:rPr>
              <w:t>）</w:t>
            </w:r>
            <w:r>
              <w:rPr>
                <w:rFonts w:hint="default"/>
                <w:color w:val="auto"/>
                <w:kern w:val="0"/>
                <w:sz w:val="18"/>
                <w:szCs w:val="18"/>
              </w:rPr>
              <w:t>□</w:t>
            </w:r>
            <w:r>
              <w:rPr>
                <w:rFonts w:hint="default" w:hAnsi="宋体"/>
                <w:color w:val="auto"/>
                <w:kern w:val="0"/>
                <w:sz w:val="18"/>
                <w:szCs w:val="18"/>
              </w:rPr>
              <w:t>；</w:t>
            </w:r>
            <w:r>
              <w:rPr>
                <w:rFonts w:hint="default"/>
                <w:color w:val="auto"/>
                <w:kern w:val="0"/>
                <w:sz w:val="18"/>
                <w:szCs w:val="18"/>
              </w:rPr>
              <w:t>b</w:t>
            </w:r>
            <w:r>
              <w:rPr>
                <w:rFonts w:hint="default" w:hAnsi="宋体"/>
                <w:color w:val="auto"/>
                <w:kern w:val="0"/>
                <w:sz w:val="18"/>
                <w:szCs w:val="18"/>
              </w:rPr>
              <w:t>）</w:t>
            </w:r>
            <w:r>
              <w:rPr>
                <w:rFonts w:hint="default"/>
                <w:color w:val="auto"/>
                <w:kern w:val="0"/>
                <w:sz w:val="18"/>
                <w:szCs w:val="18"/>
              </w:rPr>
              <w:t>□</w:t>
            </w:r>
            <w:r>
              <w:rPr>
                <w:rFonts w:hint="default" w:hAnsi="宋体"/>
                <w:color w:val="auto"/>
                <w:kern w:val="0"/>
                <w:sz w:val="18"/>
                <w:szCs w:val="18"/>
              </w:rPr>
              <w:t>；</w:t>
            </w:r>
            <w:r>
              <w:rPr>
                <w:rFonts w:hint="default"/>
                <w:color w:val="auto"/>
                <w:kern w:val="0"/>
                <w:sz w:val="18"/>
                <w:szCs w:val="18"/>
              </w:rPr>
              <w:t>c</w:t>
            </w:r>
            <w:r>
              <w:rPr>
                <w:rFonts w:hint="default" w:hAnsi="宋体"/>
                <w:color w:val="auto"/>
                <w:kern w:val="0"/>
                <w:sz w:val="18"/>
                <w:szCs w:val="18"/>
              </w:rPr>
              <w:t>）</w:t>
            </w:r>
            <w:r>
              <w:rPr>
                <w:rFonts w:hint="default"/>
                <w:color w:val="auto"/>
                <w:kern w:val="0"/>
                <w:sz w:val="18"/>
                <w:szCs w:val="18"/>
              </w:rPr>
              <w:t>□</w:t>
            </w:r>
            <w:r>
              <w:rPr>
                <w:rFonts w:hint="default" w:hAnsi="宋体"/>
                <w:color w:val="auto"/>
                <w:kern w:val="0"/>
                <w:sz w:val="18"/>
                <w:szCs w:val="18"/>
              </w:rPr>
              <w:t>；</w:t>
            </w:r>
            <w:r>
              <w:rPr>
                <w:rFonts w:hint="default"/>
                <w:color w:val="auto"/>
                <w:kern w:val="0"/>
                <w:sz w:val="18"/>
                <w:szCs w:val="18"/>
              </w:rPr>
              <w:t>d</w:t>
            </w:r>
            <w:r>
              <w:rPr>
                <w:rFonts w:hint="default" w:hAnsi="宋体"/>
                <w:color w:val="auto"/>
                <w:kern w:val="0"/>
                <w:sz w:val="18"/>
                <w:szCs w:val="18"/>
              </w:rPr>
              <w:t>）</w:t>
            </w:r>
            <w:r>
              <w:rPr>
                <w:rFonts w:hint="default"/>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理化特性</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同附录</w:t>
            </w:r>
            <w:r>
              <w:rPr>
                <w:rFonts w:hint="default"/>
                <w:color w:val="auto"/>
                <w:kern w:val="0"/>
                <w:szCs w:val="21"/>
              </w:rPr>
              <w:t xml:space="preserve">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现状监测点位</w:t>
            </w:r>
          </w:p>
        </w:tc>
        <w:tc>
          <w:tcPr>
            <w:tcW w:w="1223"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p>
        </w:tc>
        <w:tc>
          <w:tcPr>
            <w:tcW w:w="1498"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占地范围内</w:t>
            </w:r>
          </w:p>
        </w:tc>
        <w:tc>
          <w:tcPr>
            <w:tcW w:w="1338"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占地范围外</w:t>
            </w:r>
          </w:p>
        </w:tc>
        <w:tc>
          <w:tcPr>
            <w:tcW w:w="1674"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深度</w:t>
            </w:r>
          </w:p>
        </w:tc>
        <w:tc>
          <w:tcPr>
            <w:tcW w:w="1117"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r>
              <w:rPr>
                <w:rFonts w:hint="default" w:hAnsi="宋体"/>
                <w:color w:val="auto"/>
                <w:kern w:val="0"/>
                <w:szCs w:val="21"/>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223"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表层样点数</w:t>
            </w:r>
          </w:p>
        </w:tc>
        <w:tc>
          <w:tcPr>
            <w:tcW w:w="1498"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color w:val="auto"/>
                <w:kern w:val="0"/>
                <w:sz w:val="18"/>
                <w:szCs w:val="18"/>
              </w:rPr>
            </w:pPr>
            <w:r>
              <w:rPr>
                <w:rFonts w:hint="eastAsia"/>
                <w:color w:val="auto"/>
                <w:kern w:val="0"/>
                <w:sz w:val="18"/>
                <w:szCs w:val="18"/>
              </w:rPr>
              <w:t>1</w:t>
            </w:r>
          </w:p>
        </w:tc>
        <w:tc>
          <w:tcPr>
            <w:tcW w:w="1338"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color w:val="auto"/>
                <w:kern w:val="0"/>
                <w:sz w:val="18"/>
                <w:szCs w:val="18"/>
              </w:rPr>
            </w:pPr>
            <w:r>
              <w:rPr>
                <w:rFonts w:hint="eastAsia"/>
                <w:color w:val="auto"/>
                <w:kern w:val="0"/>
                <w:sz w:val="18"/>
                <w:szCs w:val="18"/>
              </w:rPr>
              <w:t>2</w:t>
            </w:r>
          </w:p>
        </w:tc>
        <w:tc>
          <w:tcPr>
            <w:tcW w:w="1674"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0-0.2m</w:t>
            </w:r>
          </w:p>
        </w:tc>
        <w:tc>
          <w:tcPr>
            <w:tcW w:w="1117"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223"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柱状样点数</w:t>
            </w:r>
          </w:p>
        </w:tc>
        <w:tc>
          <w:tcPr>
            <w:tcW w:w="1498" w:type="dxa"/>
            <w:noWrap w:val="0"/>
            <w:vAlign w:val="center"/>
          </w:tcPr>
          <w:p>
            <w:pPr>
              <w:keepNext w:val="0"/>
              <w:keepLines w:val="0"/>
              <w:widowControl/>
              <w:suppressLineNumbers w:val="0"/>
              <w:spacing w:before="0" w:beforeAutospacing="0" w:after="0" w:afterAutospacing="0" w:line="240" w:lineRule="exact"/>
              <w:ind w:left="0" w:right="0"/>
              <w:jc w:val="center"/>
              <w:rPr>
                <w:rFonts w:hint="eastAsia"/>
                <w:color w:val="auto"/>
                <w:kern w:val="0"/>
                <w:sz w:val="18"/>
                <w:szCs w:val="18"/>
              </w:rPr>
            </w:pPr>
            <w:r>
              <w:rPr>
                <w:rFonts w:hint="eastAsia"/>
                <w:color w:val="auto"/>
                <w:kern w:val="0"/>
                <w:sz w:val="18"/>
                <w:szCs w:val="18"/>
              </w:rPr>
              <w:t>3</w:t>
            </w:r>
          </w:p>
        </w:tc>
        <w:tc>
          <w:tcPr>
            <w:tcW w:w="1338"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p>
        </w:tc>
        <w:tc>
          <w:tcPr>
            <w:tcW w:w="1674"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0-0.5m</w:t>
            </w:r>
            <w:r>
              <w:rPr>
                <w:rFonts w:hint="default" w:hAnsi="宋体"/>
                <w:color w:val="auto"/>
                <w:kern w:val="0"/>
                <w:sz w:val="18"/>
                <w:szCs w:val="18"/>
              </w:rPr>
              <w:t>、</w:t>
            </w:r>
            <w:r>
              <w:rPr>
                <w:rFonts w:hint="default"/>
                <w:color w:val="auto"/>
                <w:kern w:val="0"/>
                <w:sz w:val="18"/>
                <w:szCs w:val="18"/>
              </w:rPr>
              <w:t>0.5-1.5m</w:t>
            </w:r>
            <w:r>
              <w:rPr>
                <w:rFonts w:hint="default" w:hAnsi="宋体"/>
                <w:color w:val="auto"/>
                <w:kern w:val="0"/>
                <w:sz w:val="18"/>
                <w:szCs w:val="18"/>
              </w:rPr>
              <w:t>、</w:t>
            </w:r>
            <w:r>
              <w:rPr>
                <w:rFonts w:hint="default"/>
                <w:color w:val="auto"/>
                <w:kern w:val="0"/>
                <w:sz w:val="18"/>
                <w:szCs w:val="18"/>
              </w:rPr>
              <w:t>1.5-3.0m</w:t>
            </w:r>
          </w:p>
        </w:tc>
        <w:tc>
          <w:tcPr>
            <w:tcW w:w="1117"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0"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现状监测因子</w:t>
            </w:r>
          </w:p>
        </w:tc>
        <w:tc>
          <w:tcPr>
            <w:tcW w:w="5733" w:type="dxa"/>
            <w:gridSpan w:val="5"/>
            <w:vMerge w:val="restart"/>
            <w:noWrap w:val="0"/>
            <w:vAlign w:val="center"/>
          </w:tcPr>
          <w:p>
            <w:pPr>
              <w:keepNext w:val="0"/>
              <w:keepLines w:val="0"/>
              <w:widowControl/>
              <w:suppressLineNumbers w:val="0"/>
              <w:spacing w:before="0" w:beforeAutospacing="0" w:after="0" w:afterAutospacing="0" w:line="240" w:lineRule="exact"/>
              <w:ind w:left="0" w:right="0"/>
              <w:rPr>
                <w:rFonts w:hint="default"/>
                <w:color w:val="auto"/>
                <w:kern w:val="0"/>
                <w:sz w:val="18"/>
                <w:szCs w:val="18"/>
              </w:rPr>
            </w:pPr>
            <w:r>
              <w:rPr>
                <w:rFonts w:hint="default" w:hAnsi="宋体"/>
                <w:color w:val="auto"/>
                <w:kern w:val="0"/>
                <w:sz w:val="18"/>
                <w:szCs w:val="18"/>
              </w:rPr>
              <w:t>石油烃、砷、镉、铬（六价）、铜、铅、汞、镍、四氯化碳、氯仿、氯甲烷、</w:t>
            </w:r>
            <w:r>
              <w:rPr>
                <w:rFonts w:hint="default"/>
                <w:color w:val="auto"/>
                <w:kern w:val="0"/>
                <w:sz w:val="18"/>
                <w:szCs w:val="18"/>
              </w:rPr>
              <w:t>1,1-</w:t>
            </w:r>
            <w:r>
              <w:rPr>
                <w:rFonts w:hint="default" w:hAnsi="宋体"/>
                <w:color w:val="auto"/>
                <w:kern w:val="0"/>
                <w:sz w:val="18"/>
                <w:szCs w:val="18"/>
              </w:rPr>
              <w:t>二氯乙烷、</w:t>
            </w:r>
            <w:r>
              <w:rPr>
                <w:rFonts w:hint="default"/>
                <w:color w:val="auto"/>
                <w:kern w:val="0"/>
                <w:sz w:val="18"/>
                <w:szCs w:val="18"/>
              </w:rPr>
              <w:t>1,2-</w:t>
            </w:r>
            <w:r>
              <w:rPr>
                <w:rFonts w:hint="default" w:hAnsi="宋体"/>
                <w:color w:val="auto"/>
                <w:kern w:val="0"/>
                <w:sz w:val="18"/>
                <w:szCs w:val="18"/>
              </w:rPr>
              <w:t>二氯乙烷、</w:t>
            </w:r>
            <w:r>
              <w:rPr>
                <w:rFonts w:hint="default"/>
                <w:color w:val="auto"/>
                <w:kern w:val="0"/>
                <w:sz w:val="18"/>
                <w:szCs w:val="18"/>
              </w:rPr>
              <w:t>1,1-</w:t>
            </w:r>
            <w:r>
              <w:rPr>
                <w:rFonts w:hint="default" w:hAnsi="宋体"/>
                <w:color w:val="auto"/>
                <w:kern w:val="0"/>
                <w:sz w:val="18"/>
                <w:szCs w:val="18"/>
              </w:rPr>
              <w:t>二氯乙烯、顺</w:t>
            </w:r>
            <w:r>
              <w:rPr>
                <w:rFonts w:hint="default"/>
                <w:color w:val="auto"/>
                <w:kern w:val="0"/>
                <w:sz w:val="18"/>
                <w:szCs w:val="18"/>
              </w:rPr>
              <w:t>-1,2-</w:t>
            </w:r>
            <w:r>
              <w:rPr>
                <w:rFonts w:hint="default" w:hAnsi="宋体"/>
                <w:color w:val="auto"/>
                <w:kern w:val="0"/>
                <w:sz w:val="18"/>
                <w:szCs w:val="18"/>
              </w:rPr>
              <w:t>二氯乙烯、反</w:t>
            </w:r>
            <w:r>
              <w:rPr>
                <w:rFonts w:hint="default"/>
                <w:color w:val="auto"/>
                <w:kern w:val="0"/>
                <w:sz w:val="18"/>
                <w:szCs w:val="18"/>
              </w:rPr>
              <w:t>-1,2-</w:t>
            </w:r>
            <w:r>
              <w:rPr>
                <w:rFonts w:hint="default" w:hAnsi="宋体"/>
                <w:color w:val="auto"/>
                <w:kern w:val="0"/>
                <w:sz w:val="18"/>
                <w:szCs w:val="18"/>
              </w:rPr>
              <w:t>二氯乙烯、二氯甲烷、</w:t>
            </w:r>
            <w:r>
              <w:rPr>
                <w:rFonts w:hint="default"/>
                <w:color w:val="auto"/>
                <w:kern w:val="0"/>
                <w:sz w:val="18"/>
                <w:szCs w:val="18"/>
              </w:rPr>
              <w:t>1,2-</w:t>
            </w:r>
            <w:r>
              <w:rPr>
                <w:rFonts w:hint="default" w:hAnsi="宋体"/>
                <w:color w:val="auto"/>
                <w:kern w:val="0"/>
                <w:sz w:val="18"/>
                <w:szCs w:val="18"/>
              </w:rPr>
              <w:t>二氯丙烷、</w:t>
            </w:r>
            <w:r>
              <w:rPr>
                <w:rFonts w:hint="default"/>
                <w:color w:val="auto"/>
                <w:kern w:val="0"/>
                <w:sz w:val="18"/>
                <w:szCs w:val="18"/>
              </w:rPr>
              <w:t>1,1,1,2-</w:t>
            </w:r>
            <w:r>
              <w:rPr>
                <w:rFonts w:hint="default" w:hAnsi="宋体"/>
                <w:color w:val="auto"/>
                <w:kern w:val="0"/>
                <w:sz w:val="18"/>
                <w:szCs w:val="18"/>
              </w:rPr>
              <w:t>四氯乙烷、</w:t>
            </w:r>
            <w:r>
              <w:rPr>
                <w:rFonts w:hint="default"/>
                <w:color w:val="auto"/>
                <w:kern w:val="0"/>
                <w:sz w:val="18"/>
                <w:szCs w:val="18"/>
              </w:rPr>
              <w:t>1,1,2,2-</w:t>
            </w:r>
            <w:r>
              <w:rPr>
                <w:rFonts w:hint="default" w:hAnsi="宋体"/>
                <w:color w:val="auto"/>
                <w:kern w:val="0"/>
                <w:sz w:val="18"/>
                <w:szCs w:val="18"/>
              </w:rPr>
              <w:t>四氯乙烷、四氯乙烯、</w:t>
            </w:r>
            <w:r>
              <w:rPr>
                <w:rFonts w:hint="default"/>
                <w:color w:val="auto"/>
                <w:kern w:val="0"/>
                <w:sz w:val="18"/>
                <w:szCs w:val="18"/>
              </w:rPr>
              <w:t>1,1,1-</w:t>
            </w:r>
            <w:r>
              <w:rPr>
                <w:rFonts w:hint="default" w:hAnsi="宋体"/>
                <w:color w:val="auto"/>
                <w:kern w:val="0"/>
                <w:sz w:val="18"/>
                <w:szCs w:val="18"/>
              </w:rPr>
              <w:t>三氯乙烷、</w:t>
            </w:r>
            <w:r>
              <w:rPr>
                <w:rFonts w:hint="default"/>
                <w:color w:val="auto"/>
                <w:kern w:val="0"/>
                <w:sz w:val="18"/>
                <w:szCs w:val="18"/>
              </w:rPr>
              <w:t>1,1,2-</w:t>
            </w:r>
            <w:r>
              <w:rPr>
                <w:rFonts w:hint="default" w:hAnsi="宋体"/>
                <w:color w:val="auto"/>
                <w:kern w:val="0"/>
                <w:sz w:val="18"/>
                <w:szCs w:val="18"/>
              </w:rPr>
              <w:t>三氯乙烷、三氯乙烯、</w:t>
            </w:r>
            <w:r>
              <w:rPr>
                <w:rFonts w:hint="default"/>
                <w:color w:val="auto"/>
                <w:kern w:val="0"/>
                <w:sz w:val="18"/>
                <w:szCs w:val="18"/>
              </w:rPr>
              <w:t>1,2,3-</w:t>
            </w:r>
            <w:r>
              <w:rPr>
                <w:rFonts w:hint="default" w:hAnsi="宋体"/>
                <w:color w:val="auto"/>
                <w:kern w:val="0"/>
                <w:sz w:val="18"/>
                <w:szCs w:val="18"/>
              </w:rPr>
              <w:t>三氯丙烷、氯乙烯、苯、氯苯、</w:t>
            </w:r>
            <w:r>
              <w:rPr>
                <w:rFonts w:hint="default"/>
                <w:color w:val="auto"/>
                <w:kern w:val="0"/>
                <w:sz w:val="18"/>
                <w:szCs w:val="18"/>
              </w:rPr>
              <w:t>1,2-</w:t>
            </w:r>
            <w:r>
              <w:rPr>
                <w:rFonts w:hint="default" w:hAnsi="宋体"/>
                <w:color w:val="auto"/>
                <w:kern w:val="0"/>
                <w:sz w:val="18"/>
                <w:szCs w:val="18"/>
              </w:rPr>
              <w:t>二氯苯、</w:t>
            </w:r>
            <w:r>
              <w:rPr>
                <w:rFonts w:hint="default"/>
                <w:color w:val="auto"/>
                <w:kern w:val="0"/>
                <w:sz w:val="18"/>
                <w:szCs w:val="18"/>
              </w:rPr>
              <w:t>1,4-</w:t>
            </w:r>
            <w:r>
              <w:rPr>
                <w:rFonts w:hint="default" w:hAnsi="宋体"/>
                <w:color w:val="auto"/>
                <w:kern w:val="0"/>
                <w:sz w:val="18"/>
                <w:szCs w:val="18"/>
              </w:rPr>
              <w:t>二氯苯、乙苯、苯乙烯、甲苯、间二甲苯</w:t>
            </w:r>
            <w:r>
              <w:rPr>
                <w:rFonts w:hint="default"/>
                <w:color w:val="auto"/>
                <w:kern w:val="0"/>
                <w:sz w:val="18"/>
                <w:szCs w:val="18"/>
              </w:rPr>
              <w:t>+</w:t>
            </w:r>
            <w:r>
              <w:rPr>
                <w:rFonts w:hint="default" w:hAnsi="宋体"/>
                <w:color w:val="auto"/>
                <w:kern w:val="0"/>
                <w:sz w:val="18"/>
                <w:szCs w:val="18"/>
              </w:rPr>
              <w:t>对二甲苯、、邻二甲苯、硝基苯、苯胺、</w:t>
            </w:r>
            <w:r>
              <w:rPr>
                <w:rFonts w:hint="default"/>
                <w:color w:val="auto"/>
                <w:kern w:val="0"/>
                <w:sz w:val="18"/>
                <w:szCs w:val="18"/>
              </w:rPr>
              <w:t>2-</w:t>
            </w:r>
            <w:r>
              <w:rPr>
                <w:rFonts w:hint="default" w:hAnsi="宋体"/>
                <w:color w:val="auto"/>
                <w:kern w:val="0"/>
                <w:sz w:val="18"/>
                <w:szCs w:val="18"/>
              </w:rPr>
              <w:t>氯酚、苯并</w:t>
            </w:r>
            <w:r>
              <w:rPr>
                <w:rFonts w:hint="default"/>
                <w:color w:val="auto"/>
                <w:kern w:val="0"/>
                <w:sz w:val="18"/>
                <w:szCs w:val="18"/>
              </w:rPr>
              <w:t>[a]</w:t>
            </w:r>
            <w:r>
              <w:rPr>
                <w:rFonts w:hint="default" w:hAnsi="宋体"/>
                <w:color w:val="auto"/>
                <w:kern w:val="0"/>
                <w:sz w:val="18"/>
                <w:szCs w:val="18"/>
              </w:rPr>
              <w:t>蒽、苯并</w:t>
            </w:r>
            <w:r>
              <w:rPr>
                <w:rFonts w:hint="default"/>
                <w:color w:val="auto"/>
                <w:kern w:val="0"/>
                <w:sz w:val="18"/>
                <w:szCs w:val="18"/>
              </w:rPr>
              <w:t>[a]</w:t>
            </w:r>
            <w:r>
              <w:rPr>
                <w:rFonts w:hint="default" w:hAnsi="宋体"/>
                <w:color w:val="auto"/>
                <w:kern w:val="0"/>
                <w:sz w:val="18"/>
                <w:szCs w:val="18"/>
              </w:rPr>
              <w:t>芘、苯并</w:t>
            </w:r>
            <w:r>
              <w:rPr>
                <w:rFonts w:hint="default"/>
                <w:color w:val="auto"/>
                <w:kern w:val="0"/>
                <w:sz w:val="18"/>
                <w:szCs w:val="18"/>
              </w:rPr>
              <w:t>[b]</w:t>
            </w:r>
            <w:r>
              <w:rPr>
                <w:rFonts w:hint="default" w:hAnsi="宋体"/>
                <w:color w:val="auto"/>
                <w:kern w:val="0"/>
                <w:sz w:val="18"/>
                <w:szCs w:val="18"/>
              </w:rPr>
              <w:t>荧蒽、苯并</w:t>
            </w:r>
            <w:r>
              <w:rPr>
                <w:rFonts w:hint="default"/>
                <w:color w:val="auto"/>
                <w:kern w:val="0"/>
                <w:sz w:val="18"/>
                <w:szCs w:val="18"/>
              </w:rPr>
              <w:t>[k]</w:t>
            </w:r>
            <w:r>
              <w:rPr>
                <w:rFonts w:hint="default" w:hAnsi="宋体"/>
                <w:color w:val="auto"/>
                <w:kern w:val="0"/>
                <w:sz w:val="18"/>
                <w:szCs w:val="18"/>
              </w:rPr>
              <w:t>荧蒽、䓛、二苯并</w:t>
            </w:r>
            <w:r>
              <w:rPr>
                <w:rFonts w:hint="default"/>
                <w:color w:val="auto"/>
                <w:kern w:val="0"/>
                <w:sz w:val="18"/>
                <w:szCs w:val="18"/>
              </w:rPr>
              <w:t>[a, h]</w:t>
            </w:r>
            <w:r>
              <w:rPr>
                <w:rFonts w:hint="default" w:hAnsi="宋体"/>
                <w:color w:val="auto"/>
                <w:kern w:val="0"/>
                <w:sz w:val="18"/>
                <w:szCs w:val="18"/>
              </w:rPr>
              <w:t>蒽、茚并</w:t>
            </w:r>
            <w:r>
              <w:rPr>
                <w:rFonts w:hint="default"/>
                <w:color w:val="auto"/>
                <w:kern w:val="0"/>
                <w:sz w:val="18"/>
                <w:szCs w:val="18"/>
              </w:rPr>
              <w:t>[1,2,3-cd]</w:t>
            </w:r>
            <w:r>
              <w:rPr>
                <w:rFonts w:hint="default" w:hAnsi="宋体"/>
                <w:color w:val="auto"/>
                <w:kern w:val="0"/>
                <w:sz w:val="18"/>
                <w:szCs w:val="18"/>
              </w:rPr>
              <w:t>芘、萘</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422"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现状评价</w:t>
            </w: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评价因子</w:t>
            </w:r>
          </w:p>
        </w:tc>
        <w:tc>
          <w:tcPr>
            <w:tcW w:w="5733" w:type="dxa"/>
            <w:gridSpan w:val="5"/>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评价标准</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GB 15618□√</w:t>
            </w:r>
            <w:r>
              <w:rPr>
                <w:rFonts w:hint="default" w:hAnsi="宋体"/>
                <w:color w:val="auto"/>
                <w:kern w:val="0"/>
                <w:sz w:val="18"/>
                <w:szCs w:val="18"/>
              </w:rPr>
              <w:t>；</w:t>
            </w:r>
            <w:r>
              <w:rPr>
                <w:rFonts w:hint="default"/>
                <w:color w:val="auto"/>
                <w:kern w:val="0"/>
                <w:sz w:val="18"/>
                <w:szCs w:val="18"/>
              </w:rPr>
              <w:t xml:space="preserve">GB </w:t>
            </w:r>
            <w:r>
              <w:rPr>
                <w:rFonts w:hint="default"/>
                <w:color w:val="auto"/>
                <w:spacing w:val="3"/>
                <w:kern w:val="0"/>
                <w:sz w:val="18"/>
                <w:szCs w:val="18"/>
              </w:rPr>
              <w:t>36600□</w:t>
            </w:r>
            <w:r>
              <w:rPr>
                <w:rFonts w:hint="default"/>
                <w:color w:val="auto"/>
                <w:kern w:val="0"/>
                <w:sz w:val="18"/>
                <w:szCs w:val="18"/>
              </w:rPr>
              <w:t>√</w:t>
            </w:r>
            <w:r>
              <w:rPr>
                <w:rFonts w:hint="default" w:hAnsi="宋体"/>
                <w:color w:val="auto"/>
                <w:spacing w:val="3"/>
                <w:kern w:val="0"/>
                <w:sz w:val="18"/>
                <w:szCs w:val="18"/>
              </w:rPr>
              <w:t>；表</w:t>
            </w:r>
            <w:r>
              <w:rPr>
                <w:rFonts w:hint="default"/>
                <w:color w:val="auto"/>
                <w:spacing w:val="3"/>
                <w:kern w:val="0"/>
                <w:sz w:val="18"/>
                <w:szCs w:val="18"/>
              </w:rPr>
              <w:t>D.1□</w:t>
            </w:r>
            <w:r>
              <w:rPr>
                <w:rFonts w:hint="default" w:hAnsi="宋体"/>
                <w:color w:val="auto"/>
                <w:spacing w:val="3"/>
                <w:kern w:val="0"/>
                <w:sz w:val="18"/>
                <w:szCs w:val="18"/>
              </w:rPr>
              <w:t>；表</w:t>
            </w:r>
            <w:r>
              <w:rPr>
                <w:rFonts w:hint="default"/>
                <w:color w:val="auto"/>
                <w:spacing w:val="-55"/>
                <w:kern w:val="0"/>
                <w:sz w:val="18"/>
                <w:szCs w:val="18"/>
              </w:rPr>
              <w:t> </w:t>
            </w:r>
            <w:r>
              <w:rPr>
                <w:rFonts w:hint="default"/>
                <w:color w:val="auto"/>
                <w:kern w:val="0"/>
                <w:sz w:val="18"/>
                <w:szCs w:val="18"/>
              </w:rPr>
              <w:t>D.2□</w:t>
            </w:r>
            <w:r>
              <w:rPr>
                <w:rFonts w:hint="default" w:hAnsi="宋体"/>
                <w:color w:val="auto"/>
                <w:kern w:val="0"/>
                <w:sz w:val="18"/>
                <w:szCs w:val="18"/>
              </w:rPr>
              <w:t>；其他（</w:t>
            </w:r>
            <w:r>
              <w:rPr>
                <w:rFonts w:hint="default"/>
                <w:color w:val="auto"/>
                <w:kern w:val="0"/>
                <w:sz w:val="18"/>
                <w:szCs w:val="18"/>
              </w:rPr>
              <w:t xml:space="preserve"> </w:t>
            </w:r>
            <w:r>
              <w:rPr>
                <w:rFonts w:hint="default" w:hAnsi="宋体"/>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现状评价结论</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rPr>
                <w:rFonts w:hint="default"/>
                <w:color w:val="auto"/>
                <w:kern w:val="0"/>
                <w:sz w:val="18"/>
                <w:szCs w:val="18"/>
              </w:rPr>
            </w:pPr>
            <w:r>
              <w:rPr>
                <w:rFonts w:hint="default" w:hAnsi="宋体"/>
                <w:color w:val="auto"/>
                <w:kern w:val="0"/>
                <w:sz w:val="18"/>
                <w:szCs w:val="18"/>
              </w:rPr>
              <w:t>本项目所在地土壤环境质量满足《土壤质量标准</w:t>
            </w:r>
            <w:r>
              <w:rPr>
                <w:rFonts w:hint="default"/>
                <w:color w:val="auto"/>
                <w:kern w:val="0"/>
                <w:sz w:val="18"/>
                <w:szCs w:val="18"/>
              </w:rPr>
              <w:t xml:space="preserve">  </w:t>
            </w:r>
            <w:r>
              <w:rPr>
                <w:rFonts w:hint="default" w:hAnsi="宋体"/>
                <w:color w:val="auto"/>
                <w:kern w:val="0"/>
                <w:sz w:val="18"/>
                <w:szCs w:val="18"/>
              </w:rPr>
              <w:t>建设用地土壤污染风险管控标准（试行）》中第二类用地筛选值要求及《土壤环境质量农用地土壤污染风险管控标准（试行）》表</w:t>
            </w:r>
            <w:r>
              <w:rPr>
                <w:rFonts w:hint="default"/>
                <w:color w:val="auto"/>
                <w:kern w:val="0"/>
                <w:sz w:val="18"/>
                <w:szCs w:val="18"/>
              </w:rPr>
              <w:t>1</w:t>
            </w:r>
            <w:r>
              <w:rPr>
                <w:rFonts w:hint="default" w:hAnsi="宋体"/>
                <w:color w:val="auto"/>
                <w:kern w:val="0"/>
                <w:sz w:val="18"/>
                <w:szCs w:val="18"/>
              </w:rPr>
              <w:t>农用地土壤污染风险筛选值要求</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影响预测</w:t>
            </w: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预测因子</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预测方法</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附录</w:t>
            </w:r>
            <w:r>
              <w:rPr>
                <w:rFonts w:hint="default"/>
                <w:color w:val="auto"/>
                <w:spacing w:val="-46"/>
                <w:kern w:val="0"/>
                <w:sz w:val="18"/>
                <w:szCs w:val="18"/>
              </w:rPr>
              <w:t> </w:t>
            </w:r>
            <w:r>
              <w:rPr>
                <w:rFonts w:hint="default"/>
                <w:color w:val="auto"/>
                <w:kern w:val="0"/>
                <w:sz w:val="18"/>
                <w:szCs w:val="18"/>
              </w:rPr>
              <w:t>E□</w:t>
            </w:r>
            <w:r>
              <w:rPr>
                <w:rFonts w:hint="default" w:hAnsi="宋体"/>
                <w:color w:val="auto"/>
                <w:kern w:val="0"/>
                <w:sz w:val="18"/>
                <w:szCs w:val="18"/>
              </w:rPr>
              <w:t>；附录</w:t>
            </w:r>
            <w:r>
              <w:rPr>
                <w:rFonts w:hint="default"/>
                <w:color w:val="auto"/>
                <w:spacing w:val="-46"/>
                <w:kern w:val="0"/>
                <w:sz w:val="18"/>
                <w:szCs w:val="18"/>
              </w:rPr>
              <w:t> </w:t>
            </w:r>
            <w:r>
              <w:rPr>
                <w:rFonts w:hint="default"/>
                <w:color w:val="auto"/>
                <w:kern w:val="0"/>
                <w:sz w:val="18"/>
                <w:szCs w:val="18"/>
              </w:rPr>
              <w:t>F□</w:t>
            </w:r>
            <w:r>
              <w:rPr>
                <w:rFonts w:hint="default" w:hAnsi="宋体"/>
                <w:color w:val="auto"/>
                <w:kern w:val="0"/>
                <w:sz w:val="18"/>
                <w:szCs w:val="18"/>
              </w:rPr>
              <w:t>；其他（</w:t>
            </w:r>
            <w:r>
              <w:rPr>
                <w:rFonts w:hint="default"/>
                <w:color w:val="auto"/>
                <w:kern w:val="0"/>
                <w:sz w:val="18"/>
                <w:szCs w:val="18"/>
              </w:rPr>
              <w:t xml:space="preserve"> √ </w:t>
            </w:r>
            <w:r>
              <w:rPr>
                <w:rFonts w:hint="default" w:hAnsi="宋体"/>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预测分析内容</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影响范围（评价范围之内）</w:t>
            </w:r>
          </w:p>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影响程度（较轻）</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预测结论</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达标结论：</w:t>
            </w:r>
            <w:r>
              <w:rPr>
                <w:rFonts w:hint="default"/>
                <w:color w:val="auto"/>
                <w:spacing w:val="-1"/>
                <w:kern w:val="0"/>
                <w:sz w:val="18"/>
                <w:szCs w:val="18"/>
              </w:rPr>
              <w:t>a</w:t>
            </w:r>
            <w:r>
              <w:rPr>
                <w:rFonts w:hint="default" w:hAnsi="宋体"/>
                <w:color w:val="auto"/>
                <w:kern w:val="0"/>
                <w:sz w:val="18"/>
                <w:szCs w:val="18"/>
              </w:rPr>
              <w:t>）</w:t>
            </w:r>
            <w:r>
              <w:rPr>
                <w:rFonts w:hint="default"/>
                <w:color w:val="auto"/>
                <w:kern w:val="0"/>
                <w:sz w:val="18"/>
                <w:szCs w:val="18"/>
              </w:rPr>
              <w:t>□√</w:t>
            </w:r>
            <w:r>
              <w:rPr>
                <w:rFonts w:hint="default" w:hAnsi="宋体"/>
                <w:color w:val="auto"/>
                <w:kern w:val="0"/>
                <w:sz w:val="18"/>
                <w:szCs w:val="18"/>
              </w:rPr>
              <w:t>；</w:t>
            </w:r>
            <w:r>
              <w:rPr>
                <w:rFonts w:hint="default"/>
                <w:color w:val="auto"/>
                <w:spacing w:val="-2"/>
                <w:kern w:val="0"/>
                <w:sz w:val="18"/>
                <w:szCs w:val="18"/>
              </w:rPr>
              <w:t>b</w:t>
            </w:r>
            <w:r>
              <w:rPr>
                <w:rFonts w:hint="default" w:hAnsi="宋体"/>
                <w:color w:val="auto"/>
                <w:kern w:val="0"/>
                <w:sz w:val="18"/>
                <w:szCs w:val="18"/>
              </w:rPr>
              <w:t>）</w:t>
            </w:r>
            <w:r>
              <w:rPr>
                <w:rFonts w:hint="default"/>
                <w:color w:val="auto"/>
                <w:kern w:val="0"/>
                <w:sz w:val="18"/>
                <w:szCs w:val="18"/>
              </w:rPr>
              <w:t>□√</w:t>
            </w:r>
            <w:r>
              <w:rPr>
                <w:rFonts w:hint="default" w:hAnsi="宋体"/>
                <w:color w:val="auto"/>
                <w:kern w:val="0"/>
                <w:sz w:val="18"/>
                <w:szCs w:val="18"/>
              </w:rPr>
              <w:t>；</w:t>
            </w:r>
            <w:r>
              <w:rPr>
                <w:rFonts w:hint="default"/>
                <w:color w:val="auto"/>
                <w:spacing w:val="1"/>
                <w:kern w:val="0"/>
                <w:sz w:val="18"/>
                <w:szCs w:val="18"/>
              </w:rPr>
              <w:t>c</w:t>
            </w:r>
            <w:r>
              <w:rPr>
                <w:rFonts w:hint="default" w:hAnsi="宋体"/>
                <w:color w:val="auto"/>
                <w:kern w:val="0"/>
                <w:sz w:val="18"/>
                <w:szCs w:val="18"/>
              </w:rPr>
              <w:t>）</w:t>
            </w:r>
            <w:r>
              <w:rPr>
                <w:rFonts w:hint="default"/>
                <w:color w:val="auto"/>
                <w:kern w:val="0"/>
                <w:sz w:val="18"/>
                <w:szCs w:val="18"/>
              </w:rPr>
              <w:t>□√</w:t>
            </w:r>
            <w:r>
              <w:rPr>
                <w:rFonts w:hint="default" w:hAnsi="宋体"/>
                <w:color w:val="auto"/>
                <w:kern w:val="0"/>
                <w:sz w:val="18"/>
                <w:szCs w:val="18"/>
              </w:rPr>
              <w:t>；不达标结论：</w:t>
            </w:r>
            <w:r>
              <w:rPr>
                <w:rFonts w:hint="default"/>
                <w:color w:val="auto"/>
                <w:spacing w:val="-1"/>
                <w:kern w:val="0"/>
                <w:sz w:val="18"/>
                <w:szCs w:val="18"/>
              </w:rPr>
              <w:t>a</w:t>
            </w:r>
            <w:r>
              <w:rPr>
                <w:rFonts w:hint="default" w:hAnsi="宋体"/>
                <w:color w:val="auto"/>
                <w:kern w:val="0"/>
                <w:sz w:val="18"/>
                <w:szCs w:val="18"/>
              </w:rPr>
              <w:t>）</w:t>
            </w:r>
            <w:r>
              <w:rPr>
                <w:rFonts w:hint="default"/>
                <w:color w:val="auto"/>
                <w:kern w:val="0"/>
                <w:sz w:val="18"/>
                <w:szCs w:val="18"/>
              </w:rPr>
              <w:t>□</w:t>
            </w:r>
            <w:r>
              <w:rPr>
                <w:rFonts w:hint="default" w:hAnsi="宋体"/>
                <w:color w:val="auto"/>
                <w:kern w:val="0"/>
                <w:sz w:val="18"/>
                <w:szCs w:val="18"/>
              </w:rPr>
              <w:t>；</w:t>
            </w:r>
            <w:r>
              <w:rPr>
                <w:rFonts w:hint="default"/>
                <w:color w:val="auto"/>
                <w:spacing w:val="-2"/>
                <w:kern w:val="0"/>
                <w:sz w:val="18"/>
                <w:szCs w:val="18"/>
              </w:rPr>
              <w:t>b</w:t>
            </w:r>
            <w:r>
              <w:rPr>
                <w:rFonts w:hint="default" w:hAnsi="宋体"/>
                <w:color w:val="auto"/>
                <w:kern w:val="0"/>
                <w:sz w:val="18"/>
                <w:szCs w:val="18"/>
              </w:rPr>
              <w:t>）</w:t>
            </w:r>
            <w:r>
              <w:rPr>
                <w:rFonts w:hint="default"/>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防治措施</w:t>
            </w: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防控措施</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土壤环境质量现状保障</w:t>
            </w:r>
            <w:r>
              <w:rPr>
                <w:rFonts w:hint="default"/>
                <w:color w:val="auto"/>
                <w:kern w:val="0"/>
                <w:sz w:val="18"/>
                <w:szCs w:val="18"/>
              </w:rPr>
              <w:t>□</w:t>
            </w:r>
            <w:r>
              <w:rPr>
                <w:rFonts w:hint="default" w:hAnsi="宋体"/>
                <w:color w:val="auto"/>
                <w:kern w:val="0"/>
                <w:sz w:val="18"/>
                <w:szCs w:val="18"/>
              </w:rPr>
              <w:t>；源头控制</w:t>
            </w:r>
            <w:r>
              <w:rPr>
                <w:rFonts w:hint="default"/>
                <w:color w:val="auto"/>
                <w:kern w:val="0"/>
                <w:sz w:val="18"/>
                <w:szCs w:val="18"/>
              </w:rPr>
              <w:t>□√</w:t>
            </w:r>
            <w:r>
              <w:rPr>
                <w:rFonts w:hint="default" w:hAnsi="宋体"/>
                <w:color w:val="auto"/>
                <w:kern w:val="0"/>
                <w:sz w:val="18"/>
                <w:szCs w:val="18"/>
              </w:rPr>
              <w:t>；过程防控</w:t>
            </w:r>
            <w:r>
              <w:rPr>
                <w:rFonts w:hint="default"/>
                <w:color w:val="auto"/>
                <w:kern w:val="0"/>
                <w:sz w:val="18"/>
                <w:szCs w:val="18"/>
              </w:rPr>
              <w:t>□√</w:t>
            </w:r>
            <w:r>
              <w:rPr>
                <w:rFonts w:hint="default" w:hAnsi="宋体"/>
                <w:color w:val="auto"/>
                <w:kern w:val="0"/>
                <w:sz w:val="18"/>
                <w:szCs w:val="18"/>
              </w:rPr>
              <w:t>；其他（</w:t>
            </w:r>
            <w:r>
              <w:rPr>
                <w:rFonts w:hint="default"/>
                <w:color w:val="auto"/>
                <w:kern w:val="0"/>
                <w:sz w:val="18"/>
                <w:szCs w:val="18"/>
              </w:rPr>
              <w:t>√</w:t>
            </w:r>
            <w:r>
              <w:rPr>
                <w:rFonts w:hint="default" w:hAnsi="宋体"/>
                <w:color w:val="auto"/>
                <w:kern w:val="0"/>
                <w:sz w:val="18"/>
                <w:szCs w:val="18"/>
              </w:rPr>
              <w:t>）</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跟踪监测</w:t>
            </w:r>
          </w:p>
        </w:tc>
        <w:tc>
          <w:tcPr>
            <w:tcW w:w="2721"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监测点数</w:t>
            </w:r>
          </w:p>
        </w:tc>
        <w:tc>
          <w:tcPr>
            <w:tcW w:w="1587"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监测指标</w:t>
            </w:r>
          </w:p>
        </w:tc>
        <w:tc>
          <w:tcPr>
            <w:tcW w:w="1425"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监测频次</w:t>
            </w:r>
          </w:p>
        </w:tc>
        <w:tc>
          <w:tcPr>
            <w:tcW w:w="1117" w:type="dxa"/>
            <w:vMerge w:val="restart"/>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2721"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eastAsia"/>
                <w:color w:val="auto"/>
                <w:kern w:val="0"/>
                <w:sz w:val="18"/>
                <w:szCs w:val="18"/>
              </w:rPr>
            </w:pPr>
            <w:r>
              <w:rPr>
                <w:rFonts w:hint="eastAsia"/>
                <w:color w:val="auto"/>
                <w:kern w:val="0"/>
                <w:sz w:val="18"/>
                <w:szCs w:val="18"/>
              </w:rPr>
              <w:t>1</w:t>
            </w:r>
          </w:p>
        </w:tc>
        <w:tc>
          <w:tcPr>
            <w:tcW w:w="1587"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石油烃</w:t>
            </w:r>
          </w:p>
        </w:tc>
        <w:tc>
          <w:tcPr>
            <w:tcW w:w="1425"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snapToGrid w:val="0"/>
                <w:color w:val="auto"/>
                <w:sz w:val="18"/>
                <w:szCs w:val="18"/>
              </w:rPr>
              <w:t>1</w:t>
            </w:r>
            <w:r>
              <w:rPr>
                <w:rFonts w:hint="default" w:hAnsi="宋体"/>
                <w:snapToGrid w:val="0"/>
                <w:color w:val="auto"/>
                <w:sz w:val="18"/>
                <w:szCs w:val="18"/>
              </w:rPr>
              <w:t>次</w:t>
            </w:r>
            <w:r>
              <w:rPr>
                <w:rFonts w:hint="default"/>
                <w:snapToGrid w:val="0"/>
                <w:color w:val="auto"/>
                <w:sz w:val="18"/>
                <w:szCs w:val="18"/>
              </w:rPr>
              <w:t>/</w:t>
            </w:r>
            <w:r>
              <w:rPr>
                <w:rFonts w:hint="eastAsia"/>
                <w:snapToGrid w:val="0"/>
                <w:color w:val="auto"/>
                <w:sz w:val="18"/>
                <w:szCs w:val="18"/>
              </w:rPr>
              <w:t>5</w:t>
            </w:r>
            <w:r>
              <w:rPr>
                <w:rFonts w:hint="default" w:hAnsi="宋体"/>
                <w:snapToGrid w:val="0"/>
                <w:color w:val="auto"/>
                <w:sz w:val="18"/>
                <w:szCs w:val="18"/>
              </w:rPr>
              <w:t>年</w:t>
            </w:r>
          </w:p>
        </w:tc>
        <w:tc>
          <w:tcPr>
            <w:tcW w:w="1117"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22"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 w:val="18"/>
                <w:szCs w:val="18"/>
              </w:rPr>
            </w:pPr>
          </w:p>
        </w:tc>
        <w:tc>
          <w:tcPr>
            <w:tcW w:w="1809"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信息公开指标</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p>
        </w:tc>
        <w:tc>
          <w:tcPr>
            <w:tcW w:w="1117" w:type="dxa"/>
            <w:vMerge w:val="continue"/>
            <w:noWrap w:val="0"/>
            <w:vAlign w:val="center"/>
          </w:tcPr>
          <w:p>
            <w:pPr>
              <w:keepNext w:val="0"/>
              <w:keepLines w:val="0"/>
              <w:widowControl/>
              <w:suppressLineNumbers w:val="0"/>
              <w:spacing w:before="0" w:beforeAutospacing="0" w:after="0" w:afterAutospacing="0" w:line="240" w:lineRule="exact"/>
              <w:ind w:left="0" w:right="0"/>
              <w:jc w:val="left"/>
              <w:rPr>
                <w:rFonts w:hint="default"/>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2231" w:type="dxa"/>
            <w:gridSpan w:val="2"/>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评价结论</w:t>
            </w:r>
          </w:p>
        </w:tc>
        <w:tc>
          <w:tcPr>
            <w:tcW w:w="5733" w:type="dxa"/>
            <w:gridSpan w:val="5"/>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 w:val="18"/>
                <w:szCs w:val="18"/>
              </w:rPr>
            </w:pPr>
            <w:r>
              <w:rPr>
                <w:rFonts w:hint="eastAsia" w:hAnsi="宋体"/>
                <w:color w:val="auto"/>
                <w:kern w:val="0"/>
                <w:sz w:val="18"/>
                <w:szCs w:val="18"/>
              </w:rPr>
              <w:t>本工程正常工况下对土壤不会造成污染，当事故工况下，由于井场已按要求采取分区防渗措施，对土壤造成的影响较小。</w:t>
            </w:r>
          </w:p>
        </w:tc>
        <w:tc>
          <w:tcPr>
            <w:tcW w:w="1117" w:type="dxa"/>
            <w:noWrap w:val="0"/>
            <w:vAlign w:val="center"/>
          </w:tcPr>
          <w:p>
            <w:pPr>
              <w:keepNext w:val="0"/>
              <w:keepLines w:val="0"/>
              <w:widowControl/>
              <w:suppressLineNumbers w:val="0"/>
              <w:spacing w:before="0" w:beforeAutospacing="0" w:after="0" w:afterAutospacing="0" w:line="240" w:lineRule="exact"/>
              <w:ind w:left="0" w:right="0"/>
              <w:jc w:val="center"/>
              <w:rPr>
                <w:rFonts w:hint="default"/>
                <w:color w:val="auto"/>
                <w:kern w:val="0"/>
                <w:szCs w:val="21"/>
              </w:rPr>
            </w:pPr>
          </w:p>
        </w:tc>
      </w:tr>
    </w:tbl>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outlineLvl w:val="0"/>
        <w:rPr>
          <w:b/>
          <w:color w:val="auto"/>
          <w:sz w:val="28"/>
          <w:szCs w:val="28"/>
        </w:rPr>
      </w:pPr>
      <w:r>
        <w:rPr>
          <w:rFonts w:hint="eastAsia" w:hAnsi="宋体"/>
          <w:color w:val="auto"/>
          <w:sz w:val="28"/>
          <w:szCs w:val="28"/>
        </w:rPr>
        <w:t>附</w:t>
      </w:r>
      <w:r>
        <w:rPr>
          <w:rFonts w:hAnsi="宋体"/>
          <w:color w:val="auto"/>
          <w:sz w:val="28"/>
          <w:szCs w:val="28"/>
        </w:rPr>
        <w:t>表</w:t>
      </w:r>
      <w:r>
        <w:rPr>
          <w:rFonts w:hint="eastAsia"/>
          <w:color w:val="auto"/>
          <w:sz w:val="28"/>
          <w:szCs w:val="28"/>
          <w:lang w:val="en-US" w:eastAsia="zh-CN"/>
        </w:rPr>
        <w:t>2</w:t>
      </w:r>
      <w:r>
        <w:rPr>
          <w:rFonts w:hAnsi="宋体"/>
          <w:color w:val="auto"/>
          <w:sz w:val="28"/>
          <w:szCs w:val="28"/>
        </w:rPr>
        <w:t>建设项目环境风险简单分析内容表</w:t>
      </w:r>
    </w:p>
    <w:tbl>
      <w:tblPr>
        <w:tblStyle w:val="34"/>
        <w:tblW w:w="0" w:type="auto"/>
        <w:jc w:val="center"/>
        <w:tblLayout w:type="fixed"/>
        <w:tblCellMar>
          <w:top w:w="0" w:type="dxa"/>
          <w:left w:w="28" w:type="dxa"/>
          <w:bottom w:w="0" w:type="dxa"/>
          <w:right w:w="28" w:type="dxa"/>
        </w:tblCellMar>
      </w:tblPr>
      <w:tblGrid>
        <w:gridCol w:w="2188"/>
        <w:gridCol w:w="1410"/>
        <w:gridCol w:w="1890"/>
        <w:gridCol w:w="1365"/>
        <w:gridCol w:w="1050"/>
        <w:gridCol w:w="1224"/>
      </w:tblGrid>
      <w:tr>
        <w:tblPrEx>
          <w:tblCellMar>
            <w:top w:w="0" w:type="dxa"/>
            <w:left w:w="28" w:type="dxa"/>
            <w:bottom w:w="0" w:type="dxa"/>
            <w:right w:w="28" w:type="dxa"/>
          </w:tblCellMar>
        </w:tblPrEx>
        <w:trPr>
          <w:trHeight w:val="340" w:hRule="exact"/>
          <w:jc w:val="center"/>
        </w:trPr>
        <w:tc>
          <w:tcPr>
            <w:tcW w:w="2188" w:type="dxa"/>
            <w:tcBorders>
              <w:top w:val="single" w:color="000000" w:sz="8" w:space="0"/>
              <w:left w:val="single" w:color="000000" w:sz="8"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建设项目名称</w:t>
            </w:r>
          </w:p>
        </w:tc>
        <w:tc>
          <w:tcPr>
            <w:tcW w:w="6939" w:type="dxa"/>
            <w:gridSpan w:val="5"/>
            <w:tcBorders>
              <w:top w:val="single" w:color="000000" w:sz="8" w:space="0"/>
              <w:left w:val="single" w:color="000000" w:sz="4" w:space="0"/>
              <w:bottom w:val="single" w:color="000000" w:sz="4" w:space="0"/>
              <w:right w:val="single" w:color="000000" w:sz="8" w:space="0"/>
            </w:tcBorders>
            <w:noWrap w:val="0"/>
            <w:vAlign w:val="center"/>
          </w:tcPr>
          <w:p>
            <w:pPr>
              <w:keepNext w:val="0"/>
              <w:keepLines w:val="0"/>
              <w:suppressLineNumbers w:val="0"/>
              <w:spacing w:before="0" w:beforeAutospacing="0" w:after="0" w:afterAutospacing="0" w:line="240" w:lineRule="exact"/>
              <w:ind w:left="0" w:right="0"/>
              <w:jc w:val="center"/>
              <w:rPr>
                <w:rFonts w:hint="eastAsia" w:eastAsia="宋体"/>
                <w:color w:val="auto"/>
                <w:szCs w:val="21"/>
                <w:lang w:eastAsia="zh-CN"/>
              </w:rPr>
            </w:pPr>
            <w:r>
              <w:rPr>
                <w:rFonts w:hint="eastAsia" w:hAnsi="宋体"/>
                <w:color w:val="auto"/>
                <w:kern w:val="0"/>
                <w:szCs w:val="21"/>
                <w:lang w:eastAsia="zh-CN"/>
              </w:rPr>
              <w:t>大庆升平储气库工程钻</w:t>
            </w:r>
            <w:r>
              <w:rPr>
                <w:rFonts w:hint="eastAsia" w:hAnsi="宋体"/>
                <w:color w:val="auto"/>
                <w:kern w:val="0"/>
                <w:szCs w:val="21"/>
                <w:lang w:val="en-US" w:eastAsia="zh-CN"/>
              </w:rPr>
              <w:t>采</w:t>
            </w:r>
            <w:r>
              <w:rPr>
                <w:rFonts w:hint="eastAsia" w:hAnsi="宋体"/>
                <w:color w:val="auto"/>
                <w:kern w:val="0"/>
                <w:szCs w:val="21"/>
                <w:lang w:eastAsia="zh-CN"/>
              </w:rPr>
              <w:t>工程</w:t>
            </w:r>
          </w:p>
        </w:tc>
      </w:tr>
      <w:tr>
        <w:tblPrEx>
          <w:tblCellMar>
            <w:top w:w="0" w:type="dxa"/>
            <w:left w:w="28" w:type="dxa"/>
            <w:bottom w:w="0" w:type="dxa"/>
            <w:right w:w="28" w:type="dxa"/>
          </w:tblCellMar>
        </w:tblPrEx>
        <w:trPr>
          <w:trHeight w:val="567" w:hRule="exact"/>
          <w:jc w:val="center"/>
        </w:trPr>
        <w:tc>
          <w:tcPr>
            <w:tcW w:w="2188" w:type="dxa"/>
            <w:tcBorders>
              <w:top w:val="single" w:color="000000" w:sz="4" w:space="0"/>
              <w:left w:val="single" w:color="000000" w:sz="8"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建设地点</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tabs>
                <w:tab w:val="left" w:pos="449"/>
              </w:tabs>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（黑龙江）省</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tabs>
                <w:tab w:val="left" w:pos="657"/>
              </w:tabs>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w:t>
            </w:r>
            <w:r>
              <w:rPr>
                <w:rFonts w:hint="default" w:ascii="Times New Roman" w:hAnsi="宋体"/>
                <w:color w:val="auto"/>
                <w:kern w:val="2"/>
                <w:sz w:val="21"/>
                <w:szCs w:val="21"/>
                <w:lang w:eastAsia="zh-CN"/>
              </w:rPr>
              <w:t>绥化</w:t>
            </w:r>
            <w:r>
              <w:rPr>
                <w:rFonts w:hint="default" w:ascii="Times New Roman" w:hAnsi="宋体"/>
                <w:color w:val="auto"/>
                <w:kern w:val="2"/>
                <w:sz w:val="21"/>
                <w:szCs w:val="21"/>
              </w:rPr>
              <w:t>）市</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tabs>
                <w:tab w:val="left" w:pos="449"/>
              </w:tabs>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w:t>
            </w:r>
            <w:r>
              <w:rPr>
                <w:rFonts w:hint="default" w:ascii="Times New Roman" w:hAnsi="Times New Roman"/>
                <w:color w:val="auto"/>
                <w:kern w:val="2"/>
                <w:sz w:val="21"/>
                <w:szCs w:val="21"/>
                <w:lang w:eastAsia="zh-CN"/>
              </w:rPr>
              <w:t xml:space="preserve">   </w:t>
            </w:r>
            <w:r>
              <w:rPr>
                <w:rFonts w:hint="default" w:ascii="Times New Roman" w:hAnsi="宋体"/>
                <w:color w:val="auto"/>
                <w:kern w:val="2"/>
                <w:sz w:val="21"/>
                <w:szCs w:val="21"/>
              </w:rPr>
              <w:t>）区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tabs>
                <w:tab w:val="left" w:pos="525"/>
              </w:tabs>
              <w:kinsoku w:val="0"/>
              <w:overflowPunct w:val="0"/>
              <w:spacing w:before="0" w:beforeAutospacing="0" w:after="0" w:afterAutospacing="0" w:line="240" w:lineRule="exact"/>
              <w:ind w:left="0" w:right="0"/>
              <w:rPr>
                <w:rFonts w:hint="default" w:ascii="Times New Roman" w:hAnsi="Times New Roman"/>
                <w:color w:val="auto"/>
                <w:kern w:val="2"/>
                <w:sz w:val="21"/>
                <w:szCs w:val="21"/>
                <w:lang w:eastAsia="zh-CN"/>
              </w:rPr>
            </w:pPr>
            <w:r>
              <w:rPr>
                <w:rFonts w:hint="default" w:ascii="Times New Roman" w:hAnsi="宋体"/>
                <w:color w:val="auto"/>
                <w:kern w:val="2"/>
                <w:sz w:val="21"/>
                <w:szCs w:val="21"/>
              </w:rPr>
              <w:t>（</w:t>
            </w:r>
            <w:r>
              <w:rPr>
                <w:rFonts w:hint="default" w:ascii="Times New Roman" w:hAnsi="宋体"/>
                <w:color w:val="auto"/>
                <w:kern w:val="2"/>
                <w:sz w:val="21"/>
                <w:szCs w:val="21"/>
                <w:lang w:eastAsia="zh-CN"/>
              </w:rPr>
              <w:t>安达</w:t>
            </w:r>
            <w:r>
              <w:rPr>
                <w:rFonts w:hint="default" w:ascii="Times New Roman" w:hAnsi="宋体"/>
                <w:color w:val="auto"/>
                <w:kern w:val="2"/>
                <w:sz w:val="21"/>
                <w:szCs w:val="21"/>
              </w:rPr>
              <w:t>）</w:t>
            </w:r>
            <w:r>
              <w:rPr>
                <w:rFonts w:hint="default" w:ascii="Times New Roman" w:hAnsi="宋体"/>
                <w:color w:val="auto"/>
                <w:kern w:val="2"/>
                <w:sz w:val="21"/>
                <w:szCs w:val="21"/>
                <w:lang w:eastAsia="zh-CN"/>
              </w:rPr>
              <w:t>市</w:t>
            </w:r>
          </w:p>
        </w:tc>
        <w:tc>
          <w:tcPr>
            <w:tcW w:w="1224" w:type="dxa"/>
            <w:tcBorders>
              <w:top w:val="single" w:color="000000" w:sz="4" w:space="0"/>
              <w:left w:val="single" w:color="000000" w:sz="4" w:space="0"/>
              <w:bottom w:val="single" w:color="000000" w:sz="4" w:space="0"/>
              <w:right w:val="single" w:color="000000" w:sz="8" w:space="0"/>
            </w:tcBorders>
            <w:noWrap w:val="0"/>
            <w:vAlign w:val="center"/>
          </w:tcPr>
          <w:p>
            <w:pPr>
              <w:pStyle w:val="78"/>
              <w:keepNext w:val="0"/>
              <w:keepLines w:val="0"/>
              <w:suppressLineNumbers w:val="0"/>
              <w:tabs>
                <w:tab w:val="left" w:pos="540"/>
              </w:tabs>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w:t>
            </w:r>
            <w:r>
              <w:rPr>
                <w:rFonts w:hint="default" w:ascii="Times New Roman" w:hAnsi="Times New Roman"/>
                <w:color w:val="auto"/>
                <w:kern w:val="2"/>
                <w:sz w:val="21"/>
                <w:szCs w:val="21"/>
              </w:rPr>
              <w:tab/>
            </w:r>
            <w:r>
              <w:rPr>
                <w:rFonts w:hint="default" w:ascii="Times New Roman" w:hAnsi="宋体"/>
                <w:color w:val="auto"/>
                <w:kern w:val="2"/>
                <w:sz w:val="21"/>
                <w:szCs w:val="21"/>
              </w:rPr>
              <w:t>）园区</w:t>
            </w:r>
          </w:p>
        </w:tc>
      </w:tr>
      <w:tr>
        <w:tblPrEx>
          <w:tblCellMar>
            <w:top w:w="0" w:type="dxa"/>
            <w:left w:w="28" w:type="dxa"/>
            <w:bottom w:w="0" w:type="dxa"/>
            <w:right w:w="28" w:type="dxa"/>
          </w:tblCellMar>
        </w:tblPrEx>
        <w:trPr>
          <w:trHeight w:val="567" w:hRule="exact"/>
          <w:jc w:val="center"/>
        </w:trPr>
        <w:tc>
          <w:tcPr>
            <w:tcW w:w="2188" w:type="dxa"/>
            <w:tcBorders>
              <w:top w:val="single" w:color="000000" w:sz="4" w:space="0"/>
              <w:left w:val="single" w:color="000000" w:sz="8"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地理坐标</w:t>
            </w:r>
          </w:p>
        </w:tc>
        <w:tc>
          <w:tcPr>
            <w:tcW w:w="141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经度</w:t>
            </w:r>
          </w:p>
        </w:tc>
        <w:tc>
          <w:tcPr>
            <w:tcW w:w="1890"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color w:val="auto"/>
                <w:sz w:val="21"/>
                <w:szCs w:val="21"/>
                <w:lang w:eastAsia="zh-CN"/>
              </w:rPr>
            </w:pPr>
            <w:r>
              <w:rPr>
                <w:rFonts w:hint="default" w:ascii="Times New Roman" w:hAnsi="Times New Roman"/>
                <w:snapToGrid w:val="0"/>
                <w:color w:val="auto"/>
                <w:sz w:val="21"/>
                <w:szCs w:val="21"/>
              </w:rPr>
              <w:t>125°1</w:t>
            </w:r>
            <w:r>
              <w:rPr>
                <w:rFonts w:hint="eastAsia" w:ascii="Times New Roman" w:hAnsi="Times New Roman"/>
                <w:snapToGrid w:val="0"/>
                <w:color w:val="auto"/>
                <w:sz w:val="21"/>
                <w:szCs w:val="21"/>
                <w:lang w:val="en-US" w:eastAsia="zh-CN"/>
              </w:rPr>
              <w:t>8</w:t>
            </w:r>
            <w:r>
              <w:rPr>
                <w:rFonts w:hint="default" w:ascii="Times New Roman" w:hAnsi="Times New Roman"/>
                <w:snapToGrid w:val="0"/>
                <w:color w:val="auto"/>
                <w:sz w:val="21"/>
                <w:szCs w:val="21"/>
              </w:rPr>
              <w:t>′</w:t>
            </w:r>
            <w:r>
              <w:rPr>
                <w:rFonts w:hint="eastAsia" w:ascii="Times New Roman" w:hAnsi="Times New Roman"/>
                <w:snapToGrid w:val="0"/>
                <w:color w:val="auto"/>
                <w:sz w:val="21"/>
                <w:szCs w:val="21"/>
                <w:lang w:val="en-US" w:eastAsia="zh-CN"/>
              </w:rPr>
              <w:t>4</w:t>
            </w:r>
            <w:r>
              <w:rPr>
                <w:rFonts w:hint="default" w:ascii="Times New Roman" w:hAnsi="Times New Roman"/>
                <w:snapToGrid w:val="0"/>
                <w:color w:val="auto"/>
                <w:sz w:val="21"/>
                <w:szCs w:val="21"/>
              </w:rPr>
              <w:t>.61″</w:t>
            </w:r>
          </w:p>
        </w:tc>
        <w:tc>
          <w:tcPr>
            <w:tcW w:w="1365" w:type="dxa"/>
            <w:tcBorders>
              <w:top w:val="single" w:color="000000" w:sz="4" w:space="0"/>
              <w:left w:val="single" w:color="000000" w:sz="4"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纬度</w:t>
            </w:r>
          </w:p>
        </w:tc>
        <w:tc>
          <w:tcPr>
            <w:tcW w:w="2274" w:type="dxa"/>
            <w:gridSpan w:val="2"/>
            <w:tcBorders>
              <w:top w:val="single" w:color="000000" w:sz="4" w:space="0"/>
              <w:left w:val="single" w:color="000000" w:sz="4" w:space="0"/>
              <w:bottom w:val="single" w:color="000000" w:sz="4" w:space="0"/>
              <w:right w:val="single" w:color="000000" w:sz="8"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color w:val="auto"/>
                <w:kern w:val="2"/>
                <w:sz w:val="21"/>
                <w:szCs w:val="21"/>
              </w:rPr>
            </w:pPr>
            <w:r>
              <w:rPr>
                <w:rFonts w:hint="default" w:ascii="Times New Roman" w:hAnsi="Times New Roman"/>
                <w:snapToGrid w:val="0"/>
                <w:color w:val="auto"/>
                <w:sz w:val="21"/>
                <w:szCs w:val="21"/>
              </w:rPr>
              <w:t>46°</w:t>
            </w:r>
            <w:r>
              <w:rPr>
                <w:rFonts w:hint="eastAsia" w:ascii="Times New Roman" w:hAnsi="Times New Roman"/>
                <w:snapToGrid w:val="0"/>
                <w:color w:val="auto"/>
                <w:sz w:val="21"/>
                <w:szCs w:val="21"/>
                <w:lang w:val="en-US" w:eastAsia="zh-CN"/>
              </w:rPr>
              <w:t>1</w:t>
            </w:r>
            <w:r>
              <w:rPr>
                <w:rFonts w:hint="default" w:ascii="Times New Roman" w:hAnsi="Times New Roman"/>
                <w:snapToGrid w:val="0"/>
                <w:color w:val="auto"/>
                <w:sz w:val="21"/>
                <w:szCs w:val="21"/>
              </w:rPr>
              <w:t>2′</w:t>
            </w:r>
            <w:r>
              <w:rPr>
                <w:rFonts w:hint="eastAsia" w:ascii="Times New Roman" w:hAnsi="Times New Roman"/>
                <w:snapToGrid w:val="0"/>
                <w:color w:val="auto"/>
                <w:sz w:val="21"/>
                <w:szCs w:val="21"/>
                <w:lang w:val="en-US" w:eastAsia="zh-CN"/>
              </w:rPr>
              <w:t>30</w:t>
            </w:r>
            <w:r>
              <w:rPr>
                <w:rFonts w:hint="default" w:ascii="Times New Roman" w:hAnsi="Times New Roman"/>
                <w:snapToGrid w:val="0"/>
                <w:color w:val="auto"/>
                <w:sz w:val="21"/>
                <w:szCs w:val="21"/>
              </w:rPr>
              <w:t>.22″</w:t>
            </w:r>
          </w:p>
        </w:tc>
      </w:tr>
      <w:tr>
        <w:tblPrEx>
          <w:tblCellMar>
            <w:top w:w="0" w:type="dxa"/>
            <w:left w:w="28" w:type="dxa"/>
            <w:bottom w:w="0" w:type="dxa"/>
            <w:right w:w="28" w:type="dxa"/>
          </w:tblCellMar>
        </w:tblPrEx>
        <w:trPr>
          <w:trHeight w:val="816" w:hRule="exact"/>
          <w:jc w:val="center"/>
        </w:trPr>
        <w:tc>
          <w:tcPr>
            <w:tcW w:w="2188" w:type="dxa"/>
            <w:tcBorders>
              <w:top w:val="single" w:color="000000" w:sz="4" w:space="0"/>
              <w:left w:val="single" w:color="000000" w:sz="8"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主要危险物质及分布</w:t>
            </w:r>
          </w:p>
        </w:tc>
        <w:tc>
          <w:tcPr>
            <w:tcW w:w="6939" w:type="dxa"/>
            <w:gridSpan w:val="5"/>
            <w:tcBorders>
              <w:top w:val="single" w:color="000000" w:sz="4" w:space="0"/>
              <w:left w:val="single" w:color="000000" w:sz="4" w:space="0"/>
              <w:bottom w:val="single" w:color="000000" w:sz="4" w:space="0"/>
              <w:right w:val="single" w:color="000000" w:sz="8" w:space="0"/>
            </w:tcBorders>
            <w:noWrap w:val="0"/>
            <w:vAlign w:val="center"/>
          </w:tcPr>
          <w:p>
            <w:pPr>
              <w:keepNext w:val="0"/>
              <w:keepLines w:val="0"/>
              <w:suppressLineNumbers w:val="0"/>
              <w:spacing w:before="0" w:beforeAutospacing="0" w:after="0" w:afterAutospacing="0" w:line="320" w:lineRule="exact"/>
              <w:ind w:left="0" w:right="0"/>
              <w:jc w:val="left"/>
              <w:rPr>
                <w:rFonts w:hint="default"/>
                <w:color w:val="auto"/>
                <w:szCs w:val="21"/>
              </w:rPr>
            </w:pPr>
            <w:r>
              <w:rPr>
                <w:rFonts w:hint="eastAsia" w:ascii="宋体" w:cs="宋体"/>
                <w:color w:val="auto"/>
                <w:kern w:val="0"/>
                <w:szCs w:val="21"/>
              </w:rPr>
              <w:t>本工程钻井施工过程中所涉及的化学物质主要为柴油和天然气。柴油储存于井场</w:t>
            </w:r>
            <w:r>
              <w:rPr>
                <w:rFonts w:hint="default"/>
                <w:color w:val="auto"/>
                <w:kern w:val="0"/>
                <w:szCs w:val="21"/>
              </w:rPr>
              <w:t>2</w:t>
            </w:r>
            <w:r>
              <w:rPr>
                <w:rFonts w:hint="eastAsia" w:ascii="宋体" w:cs="宋体"/>
                <w:color w:val="auto"/>
                <w:kern w:val="0"/>
                <w:szCs w:val="21"/>
              </w:rPr>
              <w:t>座钢制卧式柴油罐内，储量合计约</w:t>
            </w:r>
            <w:r>
              <w:rPr>
                <w:rFonts w:hint="eastAsia"/>
                <w:color w:val="auto"/>
                <w:kern w:val="0"/>
                <w:szCs w:val="21"/>
                <w:lang w:val="en-US" w:eastAsia="zh-CN"/>
              </w:rPr>
              <w:t>5</w:t>
            </w:r>
            <w:r>
              <w:rPr>
                <w:rFonts w:hint="eastAsia"/>
                <w:color w:val="auto"/>
                <w:kern w:val="0"/>
                <w:szCs w:val="21"/>
              </w:rPr>
              <w:t>0</w:t>
            </w:r>
            <w:r>
              <w:rPr>
                <w:rFonts w:hint="default"/>
                <w:color w:val="auto"/>
                <w:kern w:val="0"/>
                <w:szCs w:val="21"/>
              </w:rPr>
              <w:t>t</w:t>
            </w:r>
            <w:r>
              <w:rPr>
                <w:rFonts w:hint="eastAsia" w:ascii="宋体" w:cs="宋体"/>
                <w:color w:val="auto"/>
                <w:kern w:val="0"/>
                <w:szCs w:val="21"/>
              </w:rPr>
              <w:t>。天然气产生于试气作业期间。</w:t>
            </w:r>
          </w:p>
        </w:tc>
      </w:tr>
      <w:tr>
        <w:tblPrEx>
          <w:tblCellMar>
            <w:top w:w="0" w:type="dxa"/>
            <w:left w:w="28" w:type="dxa"/>
            <w:bottom w:w="0" w:type="dxa"/>
            <w:right w:w="28" w:type="dxa"/>
          </w:tblCellMar>
        </w:tblPrEx>
        <w:trPr>
          <w:trHeight w:val="624" w:hRule="exact"/>
          <w:jc w:val="center"/>
        </w:trPr>
        <w:tc>
          <w:tcPr>
            <w:tcW w:w="2188" w:type="dxa"/>
            <w:tcBorders>
              <w:top w:val="single" w:color="000000" w:sz="4" w:space="0"/>
              <w:left w:val="single" w:color="000000" w:sz="8"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jc w:val="both"/>
              <w:rPr>
                <w:rFonts w:hint="default" w:ascii="Times New Roman" w:hAnsi="Times New Roman"/>
                <w:color w:val="auto"/>
                <w:kern w:val="2"/>
                <w:sz w:val="21"/>
                <w:szCs w:val="21"/>
                <w:lang w:eastAsia="zh-CN"/>
              </w:rPr>
            </w:pPr>
            <w:r>
              <w:rPr>
                <w:rFonts w:hint="default" w:ascii="Times New Roman" w:hAnsi="宋体"/>
                <w:color w:val="auto"/>
                <w:kern w:val="2"/>
                <w:sz w:val="21"/>
                <w:szCs w:val="21"/>
                <w:lang w:eastAsia="zh-CN"/>
              </w:rPr>
              <w:t>环境影响途径及危害后果</w:t>
            </w:r>
          </w:p>
        </w:tc>
        <w:tc>
          <w:tcPr>
            <w:tcW w:w="6939" w:type="dxa"/>
            <w:gridSpan w:val="5"/>
            <w:tcBorders>
              <w:top w:val="single" w:color="000000" w:sz="4" w:space="0"/>
              <w:left w:val="single" w:color="000000" w:sz="4" w:space="0"/>
              <w:bottom w:val="single" w:color="000000" w:sz="4" w:space="0"/>
              <w:right w:val="single" w:color="000000" w:sz="8" w:space="0"/>
            </w:tcBorders>
            <w:noWrap w:val="0"/>
            <w:vAlign w:val="center"/>
          </w:tcPr>
          <w:p>
            <w:pPr>
              <w:keepNext w:val="0"/>
              <w:keepLines w:val="0"/>
              <w:suppressLineNumbers w:val="0"/>
              <w:spacing w:before="0" w:beforeAutospacing="0" w:after="0" w:afterAutospacing="0" w:line="320" w:lineRule="exact"/>
              <w:ind w:left="0" w:right="0"/>
              <w:jc w:val="left"/>
              <w:rPr>
                <w:rFonts w:hint="default"/>
                <w:color w:val="auto"/>
                <w:szCs w:val="21"/>
              </w:rPr>
            </w:pPr>
            <w:r>
              <w:rPr>
                <w:rFonts w:hint="default" w:hAnsi="宋体"/>
                <w:snapToGrid w:val="0"/>
                <w:color w:val="auto"/>
                <w:kern w:val="0"/>
                <w:szCs w:val="21"/>
              </w:rPr>
              <w:t>井喷、火灾爆炸、油气泄漏可能影响空气、地</w:t>
            </w:r>
            <w:r>
              <w:rPr>
                <w:rFonts w:hint="eastAsia" w:hAnsi="宋体"/>
                <w:snapToGrid w:val="0"/>
                <w:color w:val="auto"/>
                <w:kern w:val="0"/>
                <w:szCs w:val="21"/>
              </w:rPr>
              <w:t>表</w:t>
            </w:r>
            <w:r>
              <w:rPr>
                <w:rFonts w:hint="default" w:hAnsi="宋体"/>
                <w:snapToGrid w:val="0"/>
                <w:color w:val="auto"/>
                <w:kern w:val="0"/>
                <w:szCs w:val="21"/>
              </w:rPr>
              <w:t>水环境</w:t>
            </w:r>
            <w:r>
              <w:rPr>
                <w:rFonts w:hint="eastAsia" w:hAnsi="宋体"/>
                <w:snapToGrid w:val="0"/>
                <w:color w:val="auto"/>
                <w:kern w:val="0"/>
                <w:szCs w:val="21"/>
              </w:rPr>
              <w:t>、</w:t>
            </w:r>
            <w:r>
              <w:rPr>
                <w:rFonts w:hint="default" w:hAnsi="宋体"/>
                <w:snapToGrid w:val="0"/>
                <w:color w:val="auto"/>
                <w:kern w:val="0"/>
                <w:szCs w:val="21"/>
              </w:rPr>
              <w:t>地下水环境。</w:t>
            </w:r>
          </w:p>
        </w:tc>
      </w:tr>
      <w:tr>
        <w:tblPrEx>
          <w:tblCellMar>
            <w:top w:w="0" w:type="dxa"/>
            <w:left w:w="28" w:type="dxa"/>
            <w:bottom w:w="0" w:type="dxa"/>
            <w:right w:w="28" w:type="dxa"/>
          </w:tblCellMar>
        </w:tblPrEx>
        <w:trPr>
          <w:trHeight w:val="340" w:hRule="exact"/>
          <w:jc w:val="center"/>
        </w:trPr>
        <w:tc>
          <w:tcPr>
            <w:tcW w:w="2188" w:type="dxa"/>
            <w:tcBorders>
              <w:top w:val="single" w:color="000000" w:sz="4" w:space="0"/>
              <w:left w:val="single" w:color="000000" w:sz="8" w:space="0"/>
              <w:bottom w:val="single" w:color="000000" w:sz="4" w:space="0"/>
              <w:right w:val="single" w:color="000000" w:sz="4" w:space="0"/>
            </w:tcBorders>
            <w:noWrap w:val="0"/>
            <w:vAlign w:val="center"/>
          </w:tcPr>
          <w:p>
            <w:pPr>
              <w:pStyle w:val="78"/>
              <w:keepNext w:val="0"/>
              <w:keepLines w:val="0"/>
              <w:suppressLineNumbers w:val="0"/>
              <w:kinsoku w:val="0"/>
              <w:overflowPunct w:val="0"/>
              <w:spacing w:before="0" w:beforeAutospacing="0" w:after="0" w:afterAutospacing="0" w:line="240" w:lineRule="exact"/>
              <w:ind w:left="0" w:right="0"/>
              <w:rPr>
                <w:rFonts w:hint="default" w:ascii="Times New Roman" w:hAnsi="Times New Roman"/>
                <w:color w:val="auto"/>
                <w:kern w:val="2"/>
                <w:sz w:val="21"/>
                <w:szCs w:val="21"/>
              </w:rPr>
            </w:pPr>
            <w:r>
              <w:rPr>
                <w:rFonts w:hint="default" w:ascii="Times New Roman" w:hAnsi="宋体"/>
                <w:color w:val="auto"/>
                <w:kern w:val="2"/>
                <w:sz w:val="21"/>
                <w:szCs w:val="21"/>
              </w:rPr>
              <w:t>风险防范措施要求</w:t>
            </w:r>
          </w:p>
        </w:tc>
        <w:tc>
          <w:tcPr>
            <w:tcW w:w="6939" w:type="dxa"/>
            <w:gridSpan w:val="5"/>
            <w:tcBorders>
              <w:top w:val="single" w:color="000000" w:sz="4" w:space="0"/>
              <w:left w:val="single" w:color="000000" w:sz="4" w:space="0"/>
              <w:bottom w:val="single" w:color="000000" w:sz="4" w:space="0"/>
              <w:right w:val="single" w:color="000000" w:sz="8" w:space="0"/>
            </w:tcBorders>
            <w:noWrap w:val="0"/>
            <w:vAlign w:val="center"/>
          </w:tcPr>
          <w:p>
            <w:pPr>
              <w:keepNext w:val="0"/>
              <w:keepLines w:val="0"/>
              <w:suppressLineNumbers w:val="0"/>
              <w:spacing w:before="0" w:beforeAutospacing="0" w:after="0" w:afterAutospacing="0" w:line="320" w:lineRule="exact"/>
              <w:ind w:left="0" w:right="0"/>
              <w:jc w:val="left"/>
              <w:rPr>
                <w:rFonts w:hint="default"/>
                <w:color w:val="auto"/>
                <w:szCs w:val="21"/>
              </w:rPr>
            </w:pPr>
            <w:r>
              <w:rPr>
                <w:rFonts w:hint="default" w:hAnsi="宋体"/>
                <w:snapToGrid w:val="0"/>
                <w:color w:val="auto"/>
                <w:kern w:val="0"/>
                <w:szCs w:val="21"/>
              </w:rPr>
              <w:t>采取防井喷、防火、防爆、防泄漏、防套损措施</w:t>
            </w:r>
          </w:p>
        </w:tc>
      </w:tr>
      <w:tr>
        <w:tblPrEx>
          <w:tblCellMar>
            <w:top w:w="0" w:type="dxa"/>
            <w:left w:w="28" w:type="dxa"/>
            <w:bottom w:w="0" w:type="dxa"/>
            <w:right w:w="28" w:type="dxa"/>
          </w:tblCellMar>
        </w:tblPrEx>
        <w:trPr>
          <w:trHeight w:val="1565" w:hRule="atLeast"/>
          <w:jc w:val="center"/>
        </w:trPr>
        <w:tc>
          <w:tcPr>
            <w:tcW w:w="9127" w:type="dxa"/>
            <w:gridSpan w:val="6"/>
            <w:tcBorders>
              <w:top w:val="single" w:color="000000" w:sz="4" w:space="0"/>
              <w:left w:val="single" w:color="000000" w:sz="8" w:space="0"/>
              <w:bottom w:val="single" w:color="000000" w:sz="8" w:space="0"/>
              <w:right w:val="single" w:color="000000" w:sz="8" w:space="0"/>
            </w:tcBorders>
            <w:noWrap w:val="0"/>
            <w:vAlign w:val="top"/>
          </w:tcPr>
          <w:p>
            <w:pPr>
              <w:pStyle w:val="78"/>
              <w:keepNext w:val="0"/>
              <w:keepLines w:val="0"/>
              <w:suppressLineNumbers w:val="0"/>
              <w:kinsoku w:val="0"/>
              <w:overflowPunct w:val="0"/>
              <w:spacing w:before="0" w:beforeAutospacing="0" w:after="0" w:afterAutospacing="0" w:line="320" w:lineRule="exact"/>
              <w:ind w:left="0" w:right="0"/>
              <w:jc w:val="both"/>
              <w:rPr>
                <w:rFonts w:hint="default" w:ascii="Times New Roman" w:hAnsi="Times New Roman"/>
                <w:color w:val="auto"/>
                <w:kern w:val="2"/>
                <w:sz w:val="21"/>
                <w:szCs w:val="21"/>
                <w:lang w:eastAsia="zh-CN"/>
              </w:rPr>
            </w:pPr>
            <w:r>
              <w:rPr>
                <w:rFonts w:hint="default" w:ascii="Times New Roman" w:hAnsi="宋体"/>
                <w:color w:val="auto"/>
                <w:kern w:val="2"/>
                <w:sz w:val="21"/>
                <w:szCs w:val="21"/>
                <w:lang w:eastAsia="zh-CN"/>
              </w:rPr>
              <w:t>填表说明（列出项目相关信息及评价说明</w:t>
            </w:r>
            <w:r>
              <w:rPr>
                <w:rFonts w:hint="default" w:ascii="Times New Roman" w:hAnsi="宋体"/>
                <w:color w:val="auto"/>
                <w:spacing w:val="-90"/>
                <w:kern w:val="2"/>
                <w:sz w:val="21"/>
                <w:szCs w:val="21"/>
                <w:lang w:eastAsia="zh-CN"/>
              </w:rPr>
              <w:t>）</w:t>
            </w:r>
            <w:r>
              <w:rPr>
                <w:rFonts w:hint="default" w:ascii="Times New Roman" w:hAnsi="Times New Roman"/>
                <w:color w:val="auto"/>
                <w:kern w:val="2"/>
                <w:sz w:val="21"/>
                <w:szCs w:val="21"/>
                <w:lang w:eastAsia="zh-CN"/>
              </w:rPr>
              <w:t xml:space="preserve">  </w:t>
            </w:r>
            <w:r>
              <w:rPr>
                <w:rFonts w:hint="default" w:ascii="Times New Roman" w:hAnsi="宋体"/>
                <w:color w:val="auto"/>
                <w:kern w:val="2"/>
                <w:sz w:val="21"/>
                <w:szCs w:val="21"/>
                <w:lang w:eastAsia="zh-CN"/>
              </w:rPr>
              <w:t>：</w:t>
            </w:r>
          </w:p>
          <w:p>
            <w:pPr>
              <w:pStyle w:val="78"/>
              <w:keepNext w:val="0"/>
              <w:keepLines w:val="0"/>
              <w:suppressLineNumbers w:val="0"/>
              <w:kinsoku w:val="0"/>
              <w:overflowPunct w:val="0"/>
              <w:spacing w:before="0" w:beforeAutospacing="0" w:after="0" w:afterAutospacing="0" w:line="320" w:lineRule="exact"/>
              <w:ind w:left="0" w:right="0" w:firstLine="440"/>
              <w:jc w:val="both"/>
              <w:rPr>
                <w:rFonts w:hint="default" w:ascii="Times New Roman" w:hAnsi="Times New Roman"/>
                <w:color w:val="auto"/>
                <w:kern w:val="2"/>
                <w:sz w:val="21"/>
                <w:szCs w:val="21"/>
                <w:lang w:eastAsia="zh-CN"/>
              </w:rPr>
            </w:pPr>
            <w:r>
              <w:rPr>
                <w:rFonts w:hint="default" w:ascii="Times New Roman" w:hAnsi="宋体"/>
                <w:color w:val="auto"/>
                <w:sz w:val="21"/>
                <w:szCs w:val="21"/>
                <w:lang w:eastAsia="zh-CN"/>
              </w:rPr>
              <w:t>本</w:t>
            </w:r>
            <w:r>
              <w:rPr>
                <w:rFonts w:hint="default" w:ascii="Times New Roman" w:hAnsi="Times New Roman"/>
                <w:color w:val="auto"/>
                <w:sz w:val="21"/>
                <w:szCs w:val="21"/>
                <w:lang w:eastAsia="zh-CN"/>
              </w:rPr>
              <w:t>工程新钻井1口，本项目危险物质数量与临界量的比值Q为0.024＜1，环境风险潜势为</w:t>
            </w:r>
            <w:r>
              <w:rPr>
                <w:rFonts w:hint="default" w:ascii="宋体" w:hAnsi="宋体"/>
                <w:color w:val="auto"/>
                <w:sz w:val="21"/>
                <w:szCs w:val="21"/>
                <w:lang w:eastAsia="zh-CN"/>
              </w:rPr>
              <w:t>Ⅰ</w:t>
            </w:r>
            <w:r>
              <w:rPr>
                <w:rFonts w:hint="default" w:ascii="Times New Roman" w:hAnsi="Times New Roman"/>
                <w:color w:val="auto"/>
                <w:sz w:val="21"/>
                <w:szCs w:val="21"/>
                <w:lang w:eastAsia="zh-CN"/>
              </w:rPr>
              <w:t>，风险评价等级为简单分析。</w:t>
            </w:r>
            <w:r>
              <w:rPr>
                <w:rFonts w:hint="default" w:ascii="Times New Roman" w:hAnsi="Times New Roman"/>
                <w:color w:val="auto"/>
                <w:kern w:val="2"/>
                <w:sz w:val="21"/>
                <w:szCs w:val="21"/>
                <w:lang w:eastAsia="zh-CN"/>
              </w:rPr>
              <w:t>本工程的主要环境风险是</w:t>
            </w:r>
            <w:r>
              <w:rPr>
                <w:rFonts w:hint="default" w:ascii="Times New Roman" w:hAnsi="Times New Roman"/>
                <w:color w:val="auto"/>
                <w:sz w:val="21"/>
                <w:szCs w:val="21"/>
                <w:lang w:eastAsia="zh-CN"/>
              </w:rPr>
              <w:t>是井喷、</w:t>
            </w:r>
            <w:r>
              <w:rPr>
                <w:rFonts w:hint="default" w:ascii="Times New Roman" w:hAnsi="Times New Roman"/>
                <w:color w:val="auto"/>
                <w:kern w:val="2"/>
                <w:sz w:val="21"/>
                <w:szCs w:val="21"/>
                <w:lang w:eastAsia="zh-CN"/>
              </w:rPr>
              <w:t>油气泄漏和火灾爆炸，</w:t>
            </w:r>
            <w:r>
              <w:rPr>
                <w:rFonts w:hint="default" w:ascii="Times New Roman" w:hAnsi="Times New Roman"/>
                <w:color w:val="auto"/>
                <w:sz w:val="21"/>
                <w:szCs w:val="21"/>
                <w:lang w:eastAsia="zh-CN"/>
              </w:rPr>
              <w:t>对区域内的</w:t>
            </w:r>
            <w:r>
              <w:rPr>
                <w:rFonts w:hint="default" w:ascii="Times New Roman" w:hAnsi="Times New Roman"/>
                <w:snapToGrid w:val="0"/>
                <w:color w:val="auto"/>
                <w:sz w:val="21"/>
                <w:szCs w:val="21"/>
                <w:lang w:eastAsia="zh-CN"/>
              </w:rPr>
              <w:t>地表水环境、</w:t>
            </w:r>
            <w:r>
              <w:rPr>
                <w:rFonts w:hint="default" w:ascii="Times New Roman" w:hAnsi="Times New Roman"/>
                <w:color w:val="auto"/>
                <w:sz w:val="21"/>
                <w:szCs w:val="21"/>
                <w:lang w:eastAsia="zh-CN"/>
              </w:rPr>
              <w:t>地下水环境和空气环境有潜在危害性。在工程采取一系列风险防范措施和应急措施后，可以控制和降低工程发生事故</w:t>
            </w:r>
            <w:r>
              <w:rPr>
                <w:rFonts w:hint="default" w:ascii="Times New Roman" w:hAnsi="宋体"/>
                <w:color w:val="auto"/>
                <w:sz w:val="21"/>
                <w:szCs w:val="21"/>
                <w:lang w:eastAsia="zh-CN"/>
              </w:rPr>
              <w:t>情况下对周围环境的影响。</w:t>
            </w:r>
            <w:r>
              <w:rPr>
                <w:rFonts w:hint="default" w:ascii="Times New Roman" w:hAnsi="宋体"/>
                <w:color w:val="auto"/>
                <w:kern w:val="2"/>
                <w:sz w:val="21"/>
                <w:szCs w:val="21"/>
                <w:lang w:eastAsia="zh-CN"/>
              </w:rPr>
              <w:t>但建设单位应加强员工的环保教育和培训，避免污染事故的发生。</w:t>
            </w:r>
          </w:p>
        </w:tc>
      </w:tr>
    </w:tbl>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snapToGrid w:val="0"/>
        <w:spacing w:line="480" w:lineRule="exact"/>
        <w:jc w:val="center"/>
        <w:rPr>
          <w:rFonts w:hint="eastAsia" w:hAnsi="宋体"/>
          <w:color w:val="auto"/>
          <w:sz w:val="28"/>
          <w:szCs w:val="28"/>
        </w:rPr>
      </w:pPr>
    </w:p>
    <w:p>
      <w:pPr>
        <w:pStyle w:val="41"/>
        <w:rPr>
          <w:rFonts w:hint="eastAsia"/>
          <w:color w:val="auto"/>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outlineLvl w:val="0"/>
        <w:rPr>
          <w:color w:val="auto"/>
          <w:sz w:val="28"/>
          <w:szCs w:val="28"/>
        </w:rPr>
      </w:pPr>
      <w:r>
        <w:rPr>
          <w:rFonts w:hint="eastAsia" w:hAnsi="宋体"/>
          <w:color w:val="auto"/>
          <w:sz w:val="28"/>
          <w:szCs w:val="28"/>
        </w:rPr>
        <w:t>附</w:t>
      </w:r>
      <w:r>
        <w:rPr>
          <w:rFonts w:hAnsi="宋体"/>
          <w:color w:val="auto"/>
          <w:sz w:val="28"/>
          <w:szCs w:val="28"/>
        </w:rPr>
        <w:t>表</w:t>
      </w:r>
      <w:r>
        <w:rPr>
          <w:rFonts w:hint="eastAsia"/>
          <w:color w:val="auto"/>
          <w:sz w:val="28"/>
          <w:szCs w:val="28"/>
          <w:lang w:val="en-US" w:eastAsia="zh-CN"/>
        </w:rPr>
        <w:t xml:space="preserve">3  </w:t>
      </w:r>
      <w:r>
        <w:rPr>
          <w:rFonts w:hAnsi="宋体"/>
          <w:color w:val="auto"/>
          <w:sz w:val="28"/>
          <w:szCs w:val="28"/>
        </w:rPr>
        <w:t>环境风险评价自查表</w:t>
      </w:r>
    </w:p>
    <w:tbl>
      <w:tblPr>
        <w:tblStyle w:val="34"/>
        <w:tblW w:w="9089" w:type="dxa"/>
        <w:jc w:val="center"/>
        <w:tblLayout w:type="fixed"/>
        <w:tblCellMar>
          <w:top w:w="0" w:type="dxa"/>
          <w:left w:w="0" w:type="dxa"/>
          <w:bottom w:w="0" w:type="dxa"/>
          <w:right w:w="0" w:type="dxa"/>
        </w:tblCellMar>
      </w:tblPr>
      <w:tblGrid>
        <w:gridCol w:w="379"/>
        <w:gridCol w:w="1129"/>
        <w:gridCol w:w="1192"/>
        <w:gridCol w:w="300"/>
        <w:gridCol w:w="516"/>
        <w:gridCol w:w="874"/>
        <w:gridCol w:w="102"/>
        <w:gridCol w:w="576"/>
        <w:gridCol w:w="793"/>
        <w:gridCol w:w="725"/>
        <w:gridCol w:w="93"/>
        <w:gridCol w:w="869"/>
        <w:gridCol w:w="776"/>
        <w:gridCol w:w="765"/>
      </w:tblGrid>
      <w:tr>
        <w:tblPrEx>
          <w:tblCellMar>
            <w:top w:w="0" w:type="dxa"/>
            <w:left w:w="0" w:type="dxa"/>
            <w:bottom w:w="0" w:type="dxa"/>
            <w:right w:w="0" w:type="dxa"/>
          </w:tblCellMar>
        </w:tblPrEx>
        <w:trPr>
          <w:trHeight w:val="284" w:hRule="exact"/>
          <w:jc w:val="center"/>
        </w:trPr>
        <w:tc>
          <w:tcPr>
            <w:tcW w:w="1508" w:type="dxa"/>
            <w:gridSpan w:val="2"/>
            <w:tcBorders>
              <w:top w:val="single" w:color="000000" w:sz="6"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工作内容</w:t>
            </w:r>
          </w:p>
        </w:tc>
        <w:tc>
          <w:tcPr>
            <w:tcW w:w="7581" w:type="dxa"/>
            <w:gridSpan w:val="12"/>
            <w:tcBorders>
              <w:top w:val="single" w:color="000000" w:sz="6"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完成情况</w:t>
            </w:r>
          </w:p>
        </w:tc>
      </w:tr>
      <w:tr>
        <w:tblPrEx>
          <w:tblCellMar>
            <w:top w:w="0" w:type="dxa"/>
            <w:left w:w="0" w:type="dxa"/>
            <w:bottom w:w="0" w:type="dxa"/>
            <w:right w:w="0" w:type="dxa"/>
          </w:tblCellMar>
        </w:tblPrEx>
        <w:trPr>
          <w:trHeight w:val="284" w:hRule="exact"/>
          <w:jc w:val="center"/>
        </w:trPr>
        <w:tc>
          <w:tcPr>
            <w:tcW w:w="379" w:type="dxa"/>
            <w:vMerge w:val="restart"/>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风险调查</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危险物质</w:t>
            </w: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名称</w:t>
            </w:r>
          </w:p>
        </w:tc>
        <w:tc>
          <w:tcPr>
            <w:tcW w:w="81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柴油</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KOH</w:t>
            </w:r>
          </w:p>
        </w:tc>
        <w:tc>
          <w:tcPr>
            <w:tcW w:w="67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81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存在总量</w:t>
            </w:r>
            <w:r>
              <w:rPr>
                <w:rFonts w:hint="default"/>
                <w:color w:val="auto"/>
                <w:kern w:val="0"/>
                <w:sz w:val="18"/>
                <w:szCs w:val="18"/>
              </w:rPr>
              <w:t>/t</w:t>
            </w:r>
          </w:p>
        </w:tc>
        <w:tc>
          <w:tcPr>
            <w:tcW w:w="81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eastAsia"/>
                <w:color w:val="auto"/>
                <w:kern w:val="0"/>
                <w:sz w:val="18"/>
                <w:szCs w:val="18"/>
              </w:rPr>
            </w:pPr>
            <w:r>
              <w:rPr>
                <w:rFonts w:hint="eastAsia"/>
                <w:color w:val="auto"/>
                <w:kern w:val="0"/>
                <w:sz w:val="18"/>
                <w:szCs w:val="18"/>
                <w:lang w:val="en-US" w:eastAsia="zh-CN"/>
              </w:rPr>
              <w:t>5</w:t>
            </w:r>
            <w:r>
              <w:rPr>
                <w:rFonts w:hint="eastAsia"/>
                <w:color w:val="auto"/>
                <w:kern w:val="0"/>
                <w:sz w:val="18"/>
                <w:szCs w:val="18"/>
              </w:rPr>
              <w:t>0</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13.5</w:t>
            </w:r>
          </w:p>
        </w:tc>
        <w:tc>
          <w:tcPr>
            <w:tcW w:w="67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7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81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86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7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765" w:type="dxa"/>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环境敏感性</w:t>
            </w:r>
          </w:p>
        </w:tc>
        <w:tc>
          <w:tcPr>
            <w:tcW w:w="119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大气</w:t>
            </w:r>
          </w:p>
        </w:tc>
        <w:tc>
          <w:tcPr>
            <w:tcW w:w="3161"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2611"/>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500 m</w:t>
            </w:r>
            <w:r>
              <w:rPr>
                <w:rFonts w:hint="default"/>
                <w:color w:val="auto"/>
                <w:spacing w:val="-2"/>
                <w:kern w:val="0"/>
                <w:sz w:val="18"/>
                <w:szCs w:val="18"/>
              </w:rPr>
              <w:t xml:space="preserve"> </w:t>
            </w:r>
            <w:r>
              <w:rPr>
                <w:rFonts w:hint="default" w:hAnsi="宋体"/>
                <w:color w:val="auto"/>
                <w:kern w:val="0"/>
                <w:sz w:val="18"/>
                <w:szCs w:val="18"/>
              </w:rPr>
              <w:t>范围内人口数</w:t>
            </w:r>
            <w:r>
              <w:rPr>
                <w:rFonts w:hint="default"/>
                <w:color w:val="auto"/>
                <w:kern w:val="0"/>
                <w:sz w:val="18"/>
                <w:szCs w:val="18"/>
                <w:u w:val="single"/>
              </w:rPr>
              <w:t xml:space="preserve">           </w:t>
            </w:r>
            <w:r>
              <w:rPr>
                <w:rFonts w:hint="default" w:hAnsi="宋体"/>
                <w:color w:val="auto"/>
                <w:kern w:val="0"/>
                <w:sz w:val="18"/>
                <w:szCs w:val="18"/>
              </w:rPr>
              <w:t>人</w:t>
            </w:r>
          </w:p>
        </w:tc>
        <w:tc>
          <w:tcPr>
            <w:tcW w:w="3228" w:type="dxa"/>
            <w:gridSpan w:val="5"/>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tabs>
                <w:tab w:val="left" w:pos="2603"/>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5 km</w:t>
            </w:r>
            <w:r>
              <w:rPr>
                <w:rFonts w:hint="default"/>
                <w:color w:val="auto"/>
                <w:spacing w:val="-2"/>
                <w:kern w:val="0"/>
                <w:sz w:val="18"/>
                <w:szCs w:val="18"/>
              </w:rPr>
              <w:t xml:space="preserve"> </w:t>
            </w:r>
            <w:r>
              <w:rPr>
                <w:rFonts w:hint="default" w:hAnsi="宋体"/>
                <w:color w:val="auto"/>
                <w:kern w:val="0"/>
                <w:sz w:val="18"/>
                <w:szCs w:val="18"/>
              </w:rPr>
              <w:t>范围内人口数</w:t>
            </w:r>
            <w:r>
              <w:rPr>
                <w:rFonts w:hint="default"/>
                <w:color w:val="auto"/>
                <w:kern w:val="0"/>
                <w:sz w:val="18"/>
                <w:szCs w:val="18"/>
                <w:u w:val="single"/>
              </w:rPr>
              <w:tab/>
            </w:r>
            <w:r>
              <w:rPr>
                <w:rFonts w:hint="default" w:hAnsi="宋体"/>
                <w:color w:val="auto"/>
                <w:kern w:val="0"/>
                <w:sz w:val="18"/>
                <w:szCs w:val="18"/>
              </w:rPr>
              <w:t>人</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tabs>
                <w:tab w:val="left" w:pos="2603"/>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2603"/>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2603"/>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4848"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每公里管段周边</w:t>
            </w:r>
            <w:r>
              <w:rPr>
                <w:rFonts w:hint="default"/>
                <w:color w:val="auto"/>
                <w:kern w:val="0"/>
                <w:sz w:val="18"/>
                <w:szCs w:val="18"/>
              </w:rPr>
              <w:t xml:space="preserve"> 200 m </w:t>
            </w:r>
            <w:r>
              <w:rPr>
                <w:rFonts w:hint="default" w:hAnsi="宋体"/>
                <w:color w:val="auto"/>
                <w:kern w:val="0"/>
                <w:sz w:val="18"/>
                <w:szCs w:val="18"/>
              </w:rPr>
              <w:t>范围内人口数（最大）</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tabs>
                <w:tab w:val="left" w:pos="1070"/>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0</w:t>
            </w:r>
            <w:r>
              <w:rPr>
                <w:rFonts w:hint="default" w:hAnsi="宋体"/>
                <w:color w:val="auto"/>
                <w:kern w:val="0"/>
                <w:sz w:val="18"/>
                <w:szCs w:val="18"/>
              </w:rPr>
              <w:t>人</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tabs>
                <w:tab w:val="left" w:pos="1070"/>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1070"/>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地表水</w:t>
            </w: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地表水功能敏感性</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F1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F2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F3 □</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环境敏感目标分级</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S1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S2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S3 □</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地下水</w:t>
            </w: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地下水功能敏感性</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G1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G2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G3 □</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包气带防污性能</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D1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D2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D3 □</w:t>
            </w:r>
          </w:p>
        </w:tc>
      </w:tr>
      <w:tr>
        <w:tblPrEx>
          <w:tblCellMar>
            <w:top w:w="0" w:type="dxa"/>
            <w:left w:w="0" w:type="dxa"/>
            <w:bottom w:w="0" w:type="dxa"/>
            <w:right w:w="0" w:type="dxa"/>
          </w:tblCellMar>
        </w:tblPrEx>
        <w:trPr>
          <w:trHeight w:val="284" w:hRule="exact"/>
          <w:jc w:val="center"/>
        </w:trPr>
        <w:tc>
          <w:tcPr>
            <w:tcW w:w="150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物质及工艺系统危险性</w:t>
            </w: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i/>
                <w:iCs/>
                <w:color w:val="auto"/>
                <w:kern w:val="0"/>
                <w:sz w:val="18"/>
                <w:szCs w:val="18"/>
              </w:rPr>
              <w:t xml:space="preserve">Q </w:t>
            </w:r>
            <w:r>
              <w:rPr>
                <w:rFonts w:hint="default" w:hAnsi="宋体"/>
                <w:color w:val="auto"/>
                <w:kern w:val="0"/>
                <w:sz w:val="18"/>
                <w:szCs w:val="18"/>
              </w:rPr>
              <w:t>值</w:t>
            </w: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i/>
                <w:iCs/>
                <w:color w:val="auto"/>
                <w:kern w:val="0"/>
                <w:sz w:val="18"/>
                <w:szCs w:val="18"/>
              </w:rPr>
              <w:t>Q</w:t>
            </w:r>
            <w:r>
              <w:rPr>
                <w:rFonts w:hint="default" w:hAnsi="宋体"/>
                <w:color w:val="auto"/>
                <w:kern w:val="0"/>
                <w:sz w:val="18"/>
                <w:szCs w:val="18"/>
              </w:rPr>
              <w:t>＜</w:t>
            </w:r>
            <w:r>
              <w:rPr>
                <w:rFonts w:hint="default"/>
                <w:color w:val="auto"/>
                <w:kern w:val="0"/>
                <w:sz w:val="18"/>
                <w:szCs w:val="18"/>
              </w:rPr>
              <w:t>1 □√</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 xml:space="preserve">1≤ </w:t>
            </w:r>
            <w:r>
              <w:rPr>
                <w:rFonts w:hint="default"/>
                <w:i/>
                <w:iCs/>
                <w:color w:val="auto"/>
                <w:kern w:val="0"/>
                <w:sz w:val="18"/>
                <w:szCs w:val="18"/>
              </w:rPr>
              <w:t>Q</w:t>
            </w:r>
            <w:r>
              <w:rPr>
                <w:rFonts w:hint="default" w:hAnsi="宋体"/>
                <w:color w:val="auto"/>
                <w:kern w:val="0"/>
                <w:sz w:val="18"/>
                <w:szCs w:val="18"/>
              </w:rPr>
              <w:t>＜</w:t>
            </w:r>
            <w:r>
              <w:rPr>
                <w:rFonts w:hint="default"/>
                <w:color w:val="auto"/>
                <w:kern w:val="0"/>
                <w:sz w:val="18"/>
                <w:szCs w:val="18"/>
              </w:rPr>
              <w:t>10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 xml:space="preserve">10≤ </w:t>
            </w:r>
            <w:r>
              <w:rPr>
                <w:rFonts w:hint="default"/>
                <w:i/>
                <w:iCs/>
                <w:color w:val="auto"/>
                <w:kern w:val="0"/>
                <w:sz w:val="18"/>
                <w:szCs w:val="18"/>
              </w:rPr>
              <w:t>Q</w:t>
            </w:r>
            <w:r>
              <w:rPr>
                <w:rFonts w:hint="default" w:hAnsi="宋体"/>
                <w:color w:val="auto"/>
                <w:kern w:val="0"/>
                <w:sz w:val="18"/>
                <w:szCs w:val="18"/>
              </w:rPr>
              <w:t>＜</w:t>
            </w:r>
            <w:r>
              <w:rPr>
                <w:rFonts w:hint="default"/>
                <w:color w:val="auto"/>
                <w:kern w:val="0"/>
                <w:sz w:val="18"/>
                <w:szCs w:val="18"/>
              </w:rPr>
              <w:t>100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i/>
                <w:iCs/>
                <w:color w:val="auto"/>
                <w:kern w:val="0"/>
                <w:sz w:val="18"/>
                <w:szCs w:val="18"/>
              </w:rPr>
              <w:t>Q</w:t>
            </w:r>
            <w:r>
              <w:rPr>
                <w:rFonts w:hint="default" w:hAnsi="宋体"/>
                <w:color w:val="auto"/>
                <w:kern w:val="0"/>
                <w:sz w:val="18"/>
                <w:szCs w:val="18"/>
              </w:rPr>
              <w:t>＞</w:t>
            </w:r>
            <w:r>
              <w:rPr>
                <w:rFonts w:hint="default"/>
                <w:color w:val="auto"/>
                <w:kern w:val="0"/>
                <w:sz w:val="18"/>
                <w:szCs w:val="18"/>
              </w:rPr>
              <w:t>100 □</w:t>
            </w:r>
          </w:p>
        </w:tc>
      </w:tr>
      <w:tr>
        <w:tblPrEx>
          <w:tblCellMar>
            <w:top w:w="0" w:type="dxa"/>
            <w:left w:w="0" w:type="dxa"/>
            <w:bottom w:w="0" w:type="dxa"/>
            <w:right w:w="0" w:type="dxa"/>
          </w:tblCellMar>
        </w:tblPrEx>
        <w:trPr>
          <w:trHeight w:val="284" w:hRule="exact"/>
          <w:jc w:val="center"/>
        </w:trPr>
        <w:tc>
          <w:tcPr>
            <w:tcW w:w="150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 xml:space="preserve">M </w:t>
            </w:r>
            <w:r>
              <w:rPr>
                <w:rFonts w:hint="default" w:hAnsi="宋体"/>
                <w:color w:val="auto"/>
                <w:kern w:val="0"/>
                <w:sz w:val="18"/>
                <w:szCs w:val="18"/>
              </w:rPr>
              <w:t>值</w:t>
            </w: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M1 □</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M2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M3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M4 □</w:t>
            </w:r>
          </w:p>
        </w:tc>
      </w:tr>
      <w:tr>
        <w:tblPrEx>
          <w:tblCellMar>
            <w:top w:w="0" w:type="dxa"/>
            <w:left w:w="0" w:type="dxa"/>
            <w:bottom w:w="0" w:type="dxa"/>
            <w:right w:w="0" w:type="dxa"/>
          </w:tblCellMar>
        </w:tblPrEx>
        <w:trPr>
          <w:trHeight w:val="284" w:hRule="exact"/>
          <w:jc w:val="center"/>
        </w:trPr>
        <w:tc>
          <w:tcPr>
            <w:tcW w:w="150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 xml:space="preserve">P </w:t>
            </w:r>
            <w:r>
              <w:rPr>
                <w:rFonts w:hint="default" w:hAnsi="宋体"/>
                <w:color w:val="auto"/>
                <w:kern w:val="0"/>
                <w:sz w:val="18"/>
                <w:szCs w:val="18"/>
              </w:rPr>
              <w:t>值</w:t>
            </w: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P1 □</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P2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P3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P4 □</w:t>
            </w:r>
          </w:p>
        </w:tc>
      </w:tr>
      <w:tr>
        <w:tblPrEx>
          <w:tblCellMar>
            <w:top w:w="0" w:type="dxa"/>
            <w:left w:w="0" w:type="dxa"/>
            <w:bottom w:w="0" w:type="dxa"/>
            <w:right w:w="0" w:type="dxa"/>
          </w:tblCellMar>
        </w:tblPrEx>
        <w:trPr>
          <w:trHeight w:val="284" w:hRule="exact"/>
          <w:jc w:val="center"/>
        </w:trPr>
        <w:tc>
          <w:tcPr>
            <w:tcW w:w="1508"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环境敏感程度</w:t>
            </w: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大气</w:t>
            </w: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E1  □</w:t>
            </w:r>
          </w:p>
        </w:tc>
        <w:tc>
          <w:tcPr>
            <w:tcW w:w="209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E2  □</w:t>
            </w:r>
          </w:p>
        </w:tc>
        <w:tc>
          <w:tcPr>
            <w:tcW w:w="2503" w:type="dxa"/>
            <w:gridSpan w:val="4"/>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E3  □</w:t>
            </w:r>
          </w:p>
        </w:tc>
      </w:tr>
      <w:tr>
        <w:tblPrEx>
          <w:tblCellMar>
            <w:top w:w="0" w:type="dxa"/>
            <w:left w:w="0" w:type="dxa"/>
            <w:bottom w:w="0" w:type="dxa"/>
            <w:right w:w="0" w:type="dxa"/>
          </w:tblCellMar>
        </w:tblPrEx>
        <w:trPr>
          <w:trHeight w:val="284" w:hRule="exact"/>
          <w:jc w:val="center"/>
        </w:trPr>
        <w:tc>
          <w:tcPr>
            <w:tcW w:w="150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地表水</w:t>
            </w: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E1  □</w:t>
            </w:r>
          </w:p>
        </w:tc>
        <w:tc>
          <w:tcPr>
            <w:tcW w:w="209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E2  □</w:t>
            </w:r>
          </w:p>
        </w:tc>
        <w:tc>
          <w:tcPr>
            <w:tcW w:w="2503" w:type="dxa"/>
            <w:gridSpan w:val="4"/>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E3  □</w:t>
            </w:r>
          </w:p>
        </w:tc>
      </w:tr>
      <w:tr>
        <w:tblPrEx>
          <w:tblCellMar>
            <w:top w:w="0" w:type="dxa"/>
            <w:left w:w="0" w:type="dxa"/>
            <w:bottom w:w="0" w:type="dxa"/>
            <w:right w:w="0" w:type="dxa"/>
          </w:tblCellMar>
        </w:tblPrEx>
        <w:trPr>
          <w:trHeight w:val="284" w:hRule="exact"/>
          <w:jc w:val="center"/>
        </w:trPr>
        <w:tc>
          <w:tcPr>
            <w:tcW w:w="1508"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地下水</w:t>
            </w:r>
          </w:p>
        </w:tc>
        <w:tc>
          <w:tcPr>
            <w:tcW w:w="179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E1  □</w:t>
            </w:r>
          </w:p>
        </w:tc>
        <w:tc>
          <w:tcPr>
            <w:tcW w:w="209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E2  □</w:t>
            </w:r>
          </w:p>
        </w:tc>
        <w:tc>
          <w:tcPr>
            <w:tcW w:w="2503" w:type="dxa"/>
            <w:gridSpan w:val="4"/>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E3  □</w:t>
            </w:r>
          </w:p>
        </w:tc>
      </w:tr>
      <w:tr>
        <w:tblPrEx>
          <w:tblCellMar>
            <w:top w:w="0" w:type="dxa"/>
            <w:left w:w="0" w:type="dxa"/>
            <w:bottom w:w="0" w:type="dxa"/>
            <w:right w:w="0" w:type="dxa"/>
          </w:tblCellMar>
        </w:tblPrEx>
        <w:trPr>
          <w:trHeight w:val="284" w:hRule="exact"/>
          <w:jc w:val="center"/>
        </w:trPr>
        <w:tc>
          <w:tcPr>
            <w:tcW w:w="150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环境风险潜势</w:t>
            </w:r>
          </w:p>
        </w:tc>
        <w:tc>
          <w:tcPr>
            <w:tcW w:w="149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Ⅳ</w:t>
            </w:r>
            <w:r>
              <w:rPr>
                <w:rFonts w:hint="default"/>
                <w:color w:val="auto"/>
                <w:kern w:val="0"/>
                <w:position w:val="8"/>
                <w:sz w:val="18"/>
                <w:szCs w:val="18"/>
              </w:rPr>
              <w:t xml:space="preserve">+ </w:t>
            </w:r>
            <w:r>
              <w:rPr>
                <w:rFonts w:hint="default"/>
                <w:color w:val="auto"/>
                <w:kern w:val="0"/>
                <w:sz w:val="18"/>
                <w:szCs w:val="18"/>
              </w:rPr>
              <w:t>□</w:t>
            </w:r>
          </w:p>
        </w:tc>
        <w:tc>
          <w:tcPr>
            <w:tcW w:w="1492"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Ⅳ</w:t>
            </w:r>
            <w:r>
              <w:rPr>
                <w:rFonts w:hint="default"/>
                <w:color w:val="auto"/>
                <w:kern w:val="0"/>
                <w:sz w:val="18"/>
                <w:szCs w:val="18"/>
              </w:rPr>
              <w:t xml:space="preserve"> □</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Ⅲ</w:t>
            </w:r>
            <w:r>
              <w:rPr>
                <w:rFonts w:hint="default"/>
                <w:color w:val="auto"/>
                <w:kern w:val="0"/>
                <w:sz w:val="18"/>
                <w:szCs w:val="18"/>
              </w:rPr>
              <w:t xml:space="preserve">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Ⅱ</w:t>
            </w:r>
            <w:r>
              <w:rPr>
                <w:rFonts w:hint="default"/>
                <w:color w:val="auto"/>
                <w:kern w:val="0"/>
                <w:sz w:val="18"/>
                <w:szCs w:val="18"/>
              </w:rPr>
              <w:t xml:space="preserve">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I  □√</w:t>
            </w:r>
          </w:p>
        </w:tc>
      </w:tr>
      <w:tr>
        <w:tblPrEx>
          <w:tblCellMar>
            <w:top w:w="0" w:type="dxa"/>
            <w:left w:w="0" w:type="dxa"/>
            <w:bottom w:w="0" w:type="dxa"/>
            <w:right w:w="0" w:type="dxa"/>
          </w:tblCellMar>
        </w:tblPrEx>
        <w:trPr>
          <w:trHeight w:val="284" w:hRule="exact"/>
          <w:jc w:val="center"/>
        </w:trPr>
        <w:tc>
          <w:tcPr>
            <w:tcW w:w="1508" w:type="dxa"/>
            <w:gridSpan w:val="2"/>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评价等级</w:t>
            </w:r>
          </w:p>
        </w:tc>
        <w:tc>
          <w:tcPr>
            <w:tcW w:w="2984"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一级</w:t>
            </w:r>
            <w:r>
              <w:rPr>
                <w:rFonts w:hint="default"/>
                <w:color w:val="auto"/>
                <w:kern w:val="0"/>
                <w:sz w:val="18"/>
                <w:szCs w:val="18"/>
              </w:rPr>
              <w:t xml:space="preserve"> □</w:t>
            </w:r>
          </w:p>
        </w:tc>
        <w:tc>
          <w:tcPr>
            <w:tcW w:w="1369"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二级</w:t>
            </w:r>
            <w:r>
              <w:rPr>
                <w:rFonts w:hint="default"/>
                <w:color w:val="auto"/>
                <w:kern w:val="0"/>
                <w:sz w:val="18"/>
                <w:szCs w:val="18"/>
              </w:rPr>
              <w:t xml:space="preserve"> □</w:t>
            </w:r>
          </w:p>
        </w:tc>
        <w:tc>
          <w:tcPr>
            <w:tcW w:w="168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三级</w:t>
            </w:r>
            <w:r>
              <w:rPr>
                <w:rFonts w:hint="default"/>
                <w:color w:val="auto"/>
                <w:kern w:val="0"/>
                <w:sz w:val="18"/>
                <w:szCs w:val="18"/>
              </w:rPr>
              <w:t xml:space="preserve"> □</w:t>
            </w:r>
          </w:p>
        </w:tc>
        <w:tc>
          <w:tcPr>
            <w:tcW w:w="1541" w:type="dxa"/>
            <w:gridSpan w:val="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简单分析</w:t>
            </w:r>
            <w:r>
              <w:rPr>
                <w:rFonts w:hint="default"/>
                <w:color w:val="auto"/>
                <w:kern w:val="0"/>
                <w:sz w:val="18"/>
                <w:szCs w:val="18"/>
              </w:rPr>
              <w:t xml:space="preserve"> □√</w:t>
            </w:r>
          </w:p>
        </w:tc>
      </w:tr>
      <w:tr>
        <w:tblPrEx>
          <w:tblCellMar>
            <w:top w:w="0" w:type="dxa"/>
            <w:left w:w="0" w:type="dxa"/>
            <w:bottom w:w="0" w:type="dxa"/>
            <w:right w:w="0" w:type="dxa"/>
          </w:tblCellMar>
        </w:tblPrEx>
        <w:trPr>
          <w:trHeight w:val="284" w:hRule="exact"/>
          <w:jc w:val="center"/>
        </w:trPr>
        <w:tc>
          <w:tcPr>
            <w:tcW w:w="379" w:type="dxa"/>
            <w:vMerge w:val="restart"/>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风险识别</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物质危险性</w:t>
            </w:r>
          </w:p>
        </w:tc>
        <w:tc>
          <w:tcPr>
            <w:tcW w:w="356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有毒有害</w:t>
            </w:r>
            <w:r>
              <w:rPr>
                <w:rFonts w:hint="default"/>
                <w:color w:val="auto"/>
                <w:kern w:val="0"/>
                <w:sz w:val="18"/>
                <w:szCs w:val="18"/>
              </w:rPr>
              <w:t xml:space="preserve"> □√</w:t>
            </w:r>
          </w:p>
        </w:tc>
        <w:tc>
          <w:tcPr>
            <w:tcW w:w="4021" w:type="dxa"/>
            <w:gridSpan w:val="6"/>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易燃易爆</w:t>
            </w:r>
            <w:r>
              <w:rPr>
                <w:rFonts w:hint="default"/>
                <w:color w:val="auto"/>
                <w:kern w:val="0"/>
                <w:sz w:val="18"/>
                <w:szCs w:val="18"/>
              </w:rPr>
              <w:t xml:space="preserve"> □√</w:t>
            </w:r>
          </w:p>
        </w:tc>
      </w:tr>
      <w:tr>
        <w:tblPrEx>
          <w:tblCellMar>
            <w:top w:w="0" w:type="dxa"/>
            <w:left w:w="0" w:type="dxa"/>
            <w:bottom w:w="0" w:type="dxa"/>
            <w:right w:w="0" w:type="dxa"/>
          </w:tblCellMar>
        </w:tblPrEx>
        <w:trPr>
          <w:trHeight w:val="510"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环境风险</w:t>
            </w:r>
          </w:p>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类型</w:t>
            </w:r>
          </w:p>
        </w:tc>
        <w:tc>
          <w:tcPr>
            <w:tcW w:w="28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泄漏</w:t>
            </w:r>
            <w:r>
              <w:rPr>
                <w:rFonts w:hint="default"/>
                <w:color w:val="auto"/>
                <w:kern w:val="0"/>
                <w:sz w:val="18"/>
                <w:szCs w:val="18"/>
              </w:rPr>
              <w:t xml:space="preserve"> □√</w:t>
            </w:r>
          </w:p>
        </w:tc>
        <w:tc>
          <w:tcPr>
            <w:tcW w:w="4699" w:type="dxa"/>
            <w:gridSpan w:val="8"/>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火灾、爆炸引发伴生</w:t>
            </w:r>
            <w:r>
              <w:rPr>
                <w:rFonts w:hint="default"/>
                <w:color w:val="auto"/>
                <w:kern w:val="0"/>
                <w:sz w:val="18"/>
                <w:szCs w:val="18"/>
              </w:rPr>
              <w:t>/</w:t>
            </w:r>
            <w:r>
              <w:rPr>
                <w:rFonts w:hint="default" w:hAnsi="宋体"/>
                <w:color w:val="auto"/>
                <w:kern w:val="0"/>
                <w:sz w:val="18"/>
                <w:szCs w:val="18"/>
              </w:rPr>
              <w:t>次生污染物排放</w:t>
            </w:r>
            <w:r>
              <w:rPr>
                <w:rFonts w:hint="default"/>
                <w:color w:val="auto"/>
                <w:kern w:val="0"/>
                <w:sz w:val="18"/>
                <w:szCs w:val="18"/>
              </w:rPr>
              <w:t xml:space="preserve"> □√</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影响途径</w:t>
            </w:r>
          </w:p>
        </w:tc>
        <w:tc>
          <w:tcPr>
            <w:tcW w:w="288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大气</w:t>
            </w:r>
            <w:r>
              <w:rPr>
                <w:rFonts w:hint="default"/>
                <w:color w:val="auto"/>
                <w:kern w:val="0"/>
                <w:sz w:val="18"/>
                <w:szCs w:val="18"/>
              </w:rPr>
              <w:t xml:space="preserve"> □√</w:t>
            </w:r>
          </w:p>
        </w:tc>
        <w:tc>
          <w:tcPr>
            <w:tcW w:w="219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地表水</w:t>
            </w:r>
            <w:r>
              <w:rPr>
                <w:rFonts w:hint="default"/>
                <w:color w:val="auto"/>
                <w:kern w:val="0"/>
                <w:sz w:val="18"/>
                <w:szCs w:val="18"/>
              </w:rPr>
              <w:t xml:space="preserve"> □√</w:t>
            </w:r>
          </w:p>
        </w:tc>
        <w:tc>
          <w:tcPr>
            <w:tcW w:w="2503" w:type="dxa"/>
            <w:gridSpan w:val="4"/>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地下水</w:t>
            </w:r>
            <w:r>
              <w:rPr>
                <w:rFonts w:hint="default"/>
                <w:color w:val="auto"/>
                <w:kern w:val="0"/>
                <w:sz w:val="18"/>
                <w:szCs w:val="18"/>
              </w:rPr>
              <w:t xml:space="preserve"> □√</w:t>
            </w:r>
          </w:p>
        </w:tc>
      </w:tr>
      <w:tr>
        <w:tblPrEx>
          <w:tblCellMar>
            <w:top w:w="0" w:type="dxa"/>
            <w:left w:w="0" w:type="dxa"/>
            <w:bottom w:w="0" w:type="dxa"/>
            <w:right w:w="0" w:type="dxa"/>
          </w:tblCellMar>
        </w:tblPrEx>
        <w:trPr>
          <w:trHeight w:val="284" w:hRule="exact"/>
          <w:jc w:val="center"/>
        </w:trPr>
        <w:tc>
          <w:tcPr>
            <w:tcW w:w="1508" w:type="dxa"/>
            <w:gridSpan w:val="2"/>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事故情形分析</w:t>
            </w:r>
          </w:p>
        </w:tc>
        <w:tc>
          <w:tcPr>
            <w:tcW w:w="149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源强设定方法</w:t>
            </w:r>
          </w:p>
        </w:tc>
        <w:tc>
          <w:tcPr>
            <w:tcW w:w="13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计算法</w:t>
            </w:r>
            <w:r>
              <w:rPr>
                <w:rFonts w:hint="default"/>
                <w:color w:val="auto"/>
                <w:kern w:val="0"/>
                <w:sz w:val="18"/>
                <w:szCs w:val="18"/>
              </w:rPr>
              <w:t xml:space="preserve"> □</w:t>
            </w:r>
          </w:p>
        </w:tc>
        <w:tc>
          <w:tcPr>
            <w:tcW w:w="219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经验估算法</w:t>
            </w:r>
            <w:r>
              <w:rPr>
                <w:rFonts w:hint="default"/>
                <w:color w:val="auto"/>
                <w:kern w:val="0"/>
                <w:sz w:val="18"/>
                <w:szCs w:val="18"/>
              </w:rPr>
              <w:t xml:space="preserve"> □</w:t>
            </w:r>
          </w:p>
        </w:tc>
        <w:tc>
          <w:tcPr>
            <w:tcW w:w="2503" w:type="dxa"/>
            <w:gridSpan w:val="4"/>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b/>
                <w:color w:val="auto"/>
                <w:kern w:val="0"/>
                <w:sz w:val="18"/>
                <w:szCs w:val="18"/>
              </w:rPr>
            </w:pPr>
            <w:r>
              <w:rPr>
                <w:rFonts w:hint="default" w:hAnsi="宋体"/>
                <w:color w:val="auto"/>
                <w:kern w:val="0"/>
                <w:sz w:val="18"/>
                <w:szCs w:val="18"/>
              </w:rPr>
              <w:t>其他估算法</w:t>
            </w:r>
            <w:r>
              <w:rPr>
                <w:rFonts w:hint="default"/>
                <w:color w:val="auto"/>
                <w:kern w:val="0"/>
                <w:sz w:val="18"/>
                <w:szCs w:val="18"/>
              </w:rPr>
              <w:t xml:space="preserve"> □√</w:t>
            </w:r>
          </w:p>
        </w:tc>
      </w:tr>
      <w:tr>
        <w:tblPrEx>
          <w:tblCellMar>
            <w:top w:w="0" w:type="dxa"/>
            <w:left w:w="0" w:type="dxa"/>
            <w:bottom w:w="0" w:type="dxa"/>
            <w:right w:w="0" w:type="dxa"/>
          </w:tblCellMar>
        </w:tblPrEx>
        <w:trPr>
          <w:trHeight w:val="284" w:hRule="exact"/>
          <w:jc w:val="center"/>
        </w:trPr>
        <w:tc>
          <w:tcPr>
            <w:tcW w:w="379" w:type="dxa"/>
            <w:vMerge w:val="restart"/>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风险预测与评价</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大气</w:t>
            </w:r>
          </w:p>
        </w:tc>
        <w:tc>
          <w:tcPr>
            <w:tcW w:w="149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预测模型</w:t>
            </w:r>
          </w:p>
        </w:tc>
        <w:tc>
          <w:tcPr>
            <w:tcW w:w="139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SLAB □</w:t>
            </w:r>
          </w:p>
        </w:tc>
        <w:tc>
          <w:tcPr>
            <w:tcW w:w="2196"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color w:val="auto"/>
                <w:kern w:val="0"/>
                <w:sz w:val="18"/>
                <w:szCs w:val="18"/>
              </w:rPr>
              <w:t>AFTOX □</w:t>
            </w:r>
          </w:p>
        </w:tc>
        <w:tc>
          <w:tcPr>
            <w:tcW w:w="2503" w:type="dxa"/>
            <w:gridSpan w:val="4"/>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其他</w:t>
            </w:r>
            <w:r>
              <w:rPr>
                <w:rFonts w:hint="default"/>
                <w:color w:val="auto"/>
                <w:kern w:val="0"/>
                <w:sz w:val="18"/>
                <w:szCs w:val="18"/>
              </w:rPr>
              <w:t xml:space="preserve"> □</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492"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预测结果</w:t>
            </w:r>
          </w:p>
        </w:tc>
        <w:tc>
          <w:tcPr>
            <w:tcW w:w="6089" w:type="dxa"/>
            <w:gridSpan w:val="10"/>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tabs>
                <w:tab w:val="left" w:pos="4612"/>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大气毒性终点浓度</w:t>
            </w:r>
            <w:r>
              <w:rPr>
                <w:rFonts w:hint="default"/>
                <w:color w:val="auto"/>
                <w:kern w:val="0"/>
                <w:sz w:val="18"/>
                <w:szCs w:val="18"/>
              </w:rPr>
              <w:t xml:space="preserve">-1  </w:t>
            </w:r>
            <w:r>
              <w:rPr>
                <w:rFonts w:hint="default" w:hAnsi="宋体"/>
                <w:color w:val="auto"/>
                <w:kern w:val="0"/>
                <w:sz w:val="18"/>
                <w:szCs w:val="18"/>
              </w:rPr>
              <w:t>最大影响范围</w:t>
            </w:r>
            <w:r>
              <w:rPr>
                <w:rFonts w:hint="default"/>
                <w:color w:val="auto"/>
                <w:kern w:val="0"/>
                <w:sz w:val="18"/>
                <w:szCs w:val="18"/>
                <w:u w:val="single"/>
              </w:rPr>
              <w:tab/>
            </w:r>
            <w:r>
              <w:rPr>
                <w:rFonts w:hint="default"/>
                <w:color w:val="auto"/>
                <w:kern w:val="0"/>
                <w:sz w:val="18"/>
                <w:szCs w:val="18"/>
              </w:rPr>
              <w:t>m</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tabs>
                <w:tab w:val="left" w:pos="4612"/>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4612"/>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492"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4612"/>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6089" w:type="dxa"/>
            <w:gridSpan w:val="10"/>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tabs>
                <w:tab w:val="left" w:pos="4612"/>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大气毒性终点浓度</w:t>
            </w:r>
            <w:r>
              <w:rPr>
                <w:rFonts w:hint="default"/>
                <w:color w:val="auto"/>
                <w:kern w:val="0"/>
                <w:sz w:val="18"/>
                <w:szCs w:val="18"/>
              </w:rPr>
              <w:t xml:space="preserve">-2  </w:t>
            </w:r>
            <w:r>
              <w:rPr>
                <w:rFonts w:hint="default" w:hAnsi="宋体"/>
                <w:color w:val="auto"/>
                <w:kern w:val="0"/>
                <w:sz w:val="18"/>
                <w:szCs w:val="18"/>
              </w:rPr>
              <w:t>最大影响范围</w:t>
            </w:r>
            <w:r>
              <w:rPr>
                <w:rFonts w:hint="default"/>
                <w:color w:val="auto"/>
                <w:kern w:val="0"/>
                <w:sz w:val="18"/>
                <w:szCs w:val="18"/>
              </w:rPr>
              <w:t xml:space="preserve"> </w:t>
            </w:r>
            <w:r>
              <w:rPr>
                <w:rFonts w:hint="default"/>
                <w:color w:val="auto"/>
                <w:kern w:val="0"/>
                <w:sz w:val="18"/>
                <w:szCs w:val="18"/>
                <w:u w:val="single"/>
              </w:rPr>
              <w:t xml:space="preserve">           </w:t>
            </w:r>
            <w:r>
              <w:rPr>
                <w:rFonts w:hint="default"/>
                <w:color w:val="auto"/>
                <w:kern w:val="0"/>
                <w:sz w:val="18"/>
                <w:szCs w:val="18"/>
              </w:rPr>
              <w:t>m</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tabs>
                <w:tab w:val="left" w:pos="4612"/>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地表水</w:t>
            </w:r>
          </w:p>
        </w:tc>
        <w:tc>
          <w:tcPr>
            <w:tcW w:w="7581" w:type="dxa"/>
            <w:gridSpan w:val="1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tabs>
                <w:tab w:val="left" w:pos="4168"/>
                <w:tab w:val="left" w:pos="5518"/>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最近环境敏感目标</w:t>
            </w:r>
            <w:r>
              <w:rPr>
                <w:rFonts w:hint="default"/>
                <w:color w:val="auto"/>
                <w:kern w:val="0"/>
                <w:sz w:val="18"/>
                <w:szCs w:val="18"/>
                <w:u w:val="single"/>
              </w:rPr>
              <w:t xml:space="preserve"> /</w:t>
            </w:r>
            <w:r>
              <w:rPr>
                <w:rFonts w:hint="default"/>
                <w:color w:val="auto"/>
                <w:kern w:val="0"/>
                <w:sz w:val="18"/>
                <w:szCs w:val="18"/>
                <w:u w:val="single"/>
              </w:rPr>
              <w:tab/>
            </w:r>
            <w:r>
              <w:rPr>
                <w:rFonts w:hint="default" w:hAnsi="宋体"/>
                <w:color w:val="auto"/>
                <w:kern w:val="0"/>
                <w:sz w:val="18"/>
                <w:szCs w:val="18"/>
              </w:rPr>
              <w:t>，到达时间</w:t>
            </w:r>
            <w:r>
              <w:rPr>
                <w:rFonts w:hint="default"/>
                <w:color w:val="auto"/>
                <w:kern w:val="0"/>
                <w:sz w:val="18"/>
                <w:szCs w:val="18"/>
                <w:u w:val="single"/>
              </w:rPr>
              <w:t xml:space="preserve"> </w:t>
            </w:r>
            <w:r>
              <w:rPr>
                <w:rFonts w:hint="default"/>
                <w:color w:val="auto"/>
                <w:kern w:val="0"/>
                <w:sz w:val="18"/>
                <w:szCs w:val="18"/>
                <w:u w:val="single"/>
              </w:rPr>
              <w:tab/>
            </w:r>
            <w:r>
              <w:rPr>
                <w:rFonts w:hint="default"/>
                <w:color w:val="auto"/>
                <w:kern w:val="0"/>
                <w:sz w:val="18"/>
                <w:szCs w:val="18"/>
                <w:u w:val="single"/>
              </w:rPr>
              <w:t>/</w:t>
            </w:r>
            <w:r>
              <w:rPr>
                <w:rFonts w:hint="default"/>
                <w:color w:val="auto"/>
                <w:kern w:val="0"/>
                <w:sz w:val="18"/>
                <w:szCs w:val="18"/>
              </w:rPr>
              <w:t>h</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tabs>
                <w:tab w:val="left" w:pos="4168"/>
                <w:tab w:val="left" w:pos="5518"/>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地下水</w:t>
            </w:r>
          </w:p>
        </w:tc>
        <w:tc>
          <w:tcPr>
            <w:tcW w:w="7581" w:type="dxa"/>
            <w:gridSpan w:val="1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tabs>
                <w:tab w:val="left" w:pos="2254"/>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下游厂区边界到达时间</w:t>
            </w:r>
            <w:r>
              <w:rPr>
                <w:rFonts w:hint="default"/>
                <w:color w:val="auto"/>
                <w:kern w:val="0"/>
                <w:sz w:val="18"/>
                <w:szCs w:val="18"/>
                <w:u w:val="single"/>
              </w:rPr>
              <w:t xml:space="preserve"> </w:t>
            </w:r>
            <w:r>
              <w:rPr>
                <w:rFonts w:hint="default"/>
                <w:color w:val="auto"/>
                <w:kern w:val="0"/>
                <w:sz w:val="18"/>
                <w:szCs w:val="18"/>
                <w:u w:val="single"/>
              </w:rPr>
              <w:tab/>
            </w:r>
            <w:r>
              <w:rPr>
                <w:rFonts w:hint="default"/>
                <w:color w:val="auto"/>
                <w:kern w:val="0"/>
                <w:sz w:val="18"/>
                <w:szCs w:val="18"/>
              </w:rPr>
              <w:t>d</w:t>
            </w:r>
          </w:p>
        </w:tc>
      </w:tr>
      <w:tr>
        <w:tblPrEx>
          <w:tblCellMar>
            <w:top w:w="0" w:type="dxa"/>
            <w:left w:w="0" w:type="dxa"/>
            <w:bottom w:w="0" w:type="dxa"/>
            <w:right w:w="0" w:type="dxa"/>
          </w:tblCellMar>
        </w:tblPrEx>
        <w:trPr>
          <w:trHeight w:val="284" w:hRule="exact"/>
          <w:jc w:val="center"/>
        </w:trPr>
        <w:tc>
          <w:tcPr>
            <w:tcW w:w="379" w:type="dxa"/>
            <w:vMerge w:val="continue"/>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tabs>
                <w:tab w:val="left" w:pos="2254"/>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2254"/>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p>
        </w:tc>
        <w:tc>
          <w:tcPr>
            <w:tcW w:w="7581" w:type="dxa"/>
            <w:gridSpan w:val="1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tabs>
                <w:tab w:val="left" w:pos="4168"/>
                <w:tab w:val="left" w:pos="5518"/>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最近环境敏感目标</w:t>
            </w:r>
            <w:r>
              <w:rPr>
                <w:rFonts w:hint="default"/>
                <w:color w:val="auto"/>
                <w:kern w:val="0"/>
                <w:sz w:val="18"/>
                <w:szCs w:val="18"/>
                <w:u w:val="single"/>
              </w:rPr>
              <w:t xml:space="preserve"> /</w:t>
            </w:r>
            <w:r>
              <w:rPr>
                <w:rFonts w:hint="default"/>
                <w:color w:val="auto"/>
                <w:kern w:val="0"/>
                <w:sz w:val="18"/>
                <w:szCs w:val="18"/>
                <w:u w:val="single"/>
              </w:rPr>
              <w:tab/>
            </w:r>
            <w:r>
              <w:rPr>
                <w:rFonts w:hint="default" w:hAnsi="宋体"/>
                <w:color w:val="auto"/>
                <w:kern w:val="0"/>
                <w:sz w:val="18"/>
                <w:szCs w:val="18"/>
              </w:rPr>
              <w:t>，到达时间</w:t>
            </w:r>
            <w:r>
              <w:rPr>
                <w:rFonts w:hint="default"/>
                <w:color w:val="auto"/>
                <w:kern w:val="0"/>
                <w:sz w:val="18"/>
                <w:szCs w:val="18"/>
                <w:u w:val="single"/>
              </w:rPr>
              <w:t xml:space="preserve"> /</w:t>
            </w:r>
            <w:r>
              <w:rPr>
                <w:rFonts w:hint="default"/>
                <w:color w:val="auto"/>
                <w:kern w:val="0"/>
                <w:sz w:val="18"/>
                <w:szCs w:val="18"/>
                <w:u w:val="single"/>
              </w:rPr>
              <w:tab/>
            </w:r>
            <w:r>
              <w:rPr>
                <w:rFonts w:hint="default"/>
                <w:color w:val="auto"/>
                <w:kern w:val="0"/>
                <w:sz w:val="18"/>
                <w:szCs w:val="18"/>
                <w:u w:val="single"/>
              </w:rPr>
              <w:t>d</w:t>
            </w:r>
          </w:p>
        </w:tc>
      </w:tr>
      <w:tr>
        <w:tblPrEx>
          <w:tblCellMar>
            <w:top w:w="0" w:type="dxa"/>
            <w:left w:w="0" w:type="dxa"/>
            <w:bottom w:w="0" w:type="dxa"/>
            <w:right w:w="0" w:type="dxa"/>
          </w:tblCellMar>
        </w:tblPrEx>
        <w:trPr>
          <w:trHeight w:val="510" w:hRule="exact"/>
          <w:jc w:val="center"/>
        </w:trPr>
        <w:tc>
          <w:tcPr>
            <w:tcW w:w="1508" w:type="dxa"/>
            <w:gridSpan w:val="2"/>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重点风险防范措施</w:t>
            </w:r>
          </w:p>
        </w:tc>
        <w:tc>
          <w:tcPr>
            <w:tcW w:w="7581" w:type="dxa"/>
            <w:gridSpan w:val="1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snapToGrid w:val="0"/>
                <w:color w:val="auto"/>
                <w:kern w:val="0"/>
                <w:sz w:val="18"/>
                <w:szCs w:val="18"/>
              </w:rPr>
              <w:t>防井喷、防火、防爆、防泄漏、防套损措施</w:t>
            </w:r>
          </w:p>
        </w:tc>
      </w:tr>
      <w:tr>
        <w:tblPrEx>
          <w:tblCellMar>
            <w:top w:w="0" w:type="dxa"/>
            <w:left w:w="0" w:type="dxa"/>
            <w:bottom w:w="0" w:type="dxa"/>
            <w:right w:w="0" w:type="dxa"/>
          </w:tblCellMar>
        </w:tblPrEx>
        <w:trPr>
          <w:trHeight w:val="1024" w:hRule="exact"/>
          <w:jc w:val="center"/>
        </w:trPr>
        <w:tc>
          <w:tcPr>
            <w:tcW w:w="1508" w:type="dxa"/>
            <w:gridSpan w:val="2"/>
            <w:tcBorders>
              <w:top w:val="single" w:color="000000" w:sz="4" w:space="0"/>
              <w:left w:val="single" w:color="000000" w:sz="6" w:space="0"/>
              <w:bottom w:val="single" w:color="000000" w:sz="4" w:space="0"/>
              <w:right w:val="single" w:color="000000" w:sz="4" w:space="0"/>
            </w:tcBorders>
            <w:noWrap w:val="0"/>
            <w:vAlign w:val="center"/>
          </w:tcPr>
          <w:p>
            <w:pPr>
              <w:keepNext w:val="0"/>
              <w:keepLines w:val="0"/>
              <w:suppressLineNumbers w:val="0"/>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评价结论与建议</w:t>
            </w:r>
          </w:p>
        </w:tc>
        <w:tc>
          <w:tcPr>
            <w:tcW w:w="7581" w:type="dxa"/>
            <w:gridSpan w:val="12"/>
            <w:tcBorders>
              <w:top w:val="single" w:color="000000" w:sz="4" w:space="0"/>
              <w:left w:val="single" w:color="000000" w:sz="4" w:space="0"/>
              <w:bottom w:val="single" w:color="000000" w:sz="4" w:space="0"/>
              <w:right w:val="single" w:color="000000" w:sz="6" w:space="0"/>
            </w:tcBorders>
            <w:noWrap w:val="0"/>
            <w:vAlign w:val="center"/>
          </w:tcPr>
          <w:p>
            <w:pPr>
              <w:keepNext w:val="0"/>
              <w:keepLines w:val="0"/>
              <w:suppressLineNumbers w:val="0"/>
              <w:autoSpaceDE w:val="0"/>
              <w:autoSpaceDN w:val="0"/>
              <w:adjustRightInd w:val="0"/>
              <w:spacing w:before="0" w:beforeAutospacing="0" w:after="0" w:afterAutospacing="0" w:line="240" w:lineRule="exact"/>
              <w:ind w:left="0" w:right="0"/>
              <w:rPr>
                <w:rFonts w:hint="default"/>
                <w:color w:val="auto"/>
                <w:kern w:val="0"/>
                <w:sz w:val="18"/>
                <w:szCs w:val="18"/>
              </w:rPr>
            </w:pPr>
            <w:r>
              <w:rPr>
                <w:rFonts w:hint="default" w:hAnsi="宋体"/>
                <w:color w:val="auto"/>
                <w:sz w:val="18"/>
                <w:szCs w:val="18"/>
              </w:rPr>
              <w:t>本工程的主要环境风险是是井喷、油气泄漏和火灾爆炸，对区域内的地表水环境、地下水环境和空气环境有潜在危害性。在工程采取一系列风险防范措施和应急措施后，可以控制和降低工程发生事故情况下对周围环境的影响。但建设单位应加强员工的环保教育和培训，避免污染事故的发生。</w:t>
            </w:r>
          </w:p>
        </w:tc>
      </w:tr>
      <w:tr>
        <w:tblPrEx>
          <w:tblCellMar>
            <w:top w:w="0" w:type="dxa"/>
            <w:left w:w="0" w:type="dxa"/>
            <w:bottom w:w="0" w:type="dxa"/>
            <w:right w:w="0" w:type="dxa"/>
          </w:tblCellMar>
        </w:tblPrEx>
        <w:trPr>
          <w:trHeight w:val="284" w:hRule="exact"/>
          <w:jc w:val="center"/>
        </w:trPr>
        <w:tc>
          <w:tcPr>
            <w:tcW w:w="9089" w:type="dxa"/>
            <w:gridSpan w:val="14"/>
            <w:tcBorders>
              <w:top w:val="single" w:color="000000" w:sz="4" w:space="0"/>
              <w:left w:val="single" w:color="000000" w:sz="6" w:space="0"/>
              <w:bottom w:val="single" w:color="000000" w:sz="6" w:space="0"/>
              <w:right w:val="single" w:color="000000" w:sz="6" w:space="0"/>
            </w:tcBorders>
            <w:noWrap w:val="0"/>
            <w:vAlign w:val="center"/>
          </w:tcPr>
          <w:p>
            <w:pPr>
              <w:keepNext w:val="0"/>
              <w:keepLines w:val="0"/>
              <w:suppressLineNumbers w:val="0"/>
              <w:tabs>
                <w:tab w:val="left" w:pos="2348"/>
              </w:tabs>
              <w:kinsoku w:val="0"/>
              <w:overflowPunct w:val="0"/>
              <w:autoSpaceDE w:val="0"/>
              <w:autoSpaceDN w:val="0"/>
              <w:adjustRightInd w:val="0"/>
              <w:spacing w:before="0" w:beforeAutospacing="0" w:after="0" w:afterAutospacing="0" w:line="240" w:lineRule="exact"/>
              <w:ind w:left="0" w:right="0"/>
              <w:jc w:val="center"/>
              <w:rPr>
                <w:rFonts w:hint="default"/>
                <w:color w:val="auto"/>
                <w:kern w:val="0"/>
                <w:sz w:val="18"/>
                <w:szCs w:val="18"/>
              </w:rPr>
            </w:pPr>
            <w:r>
              <w:rPr>
                <w:rFonts w:hint="default" w:hAnsi="宋体"/>
                <w:color w:val="auto"/>
                <w:kern w:val="0"/>
                <w:sz w:val="18"/>
                <w:szCs w:val="18"/>
              </w:rPr>
              <w:t>注：</w:t>
            </w:r>
            <w:r>
              <w:rPr>
                <w:rFonts w:hint="default"/>
                <w:color w:val="auto"/>
                <w:kern w:val="0"/>
                <w:sz w:val="18"/>
                <w:szCs w:val="18"/>
              </w:rPr>
              <w:t>“□”</w:t>
            </w:r>
            <w:r>
              <w:rPr>
                <w:rFonts w:hint="default" w:hAnsi="宋体"/>
                <w:color w:val="auto"/>
                <w:kern w:val="0"/>
                <w:sz w:val="18"/>
                <w:szCs w:val="18"/>
              </w:rPr>
              <w:t>为勾选项，</w:t>
            </w:r>
            <w:r>
              <w:rPr>
                <w:rFonts w:hint="default"/>
                <w:color w:val="auto"/>
                <w:kern w:val="0"/>
                <w:sz w:val="18"/>
                <w:szCs w:val="18"/>
              </w:rPr>
              <w:t>“</w:t>
            </w:r>
            <w:r>
              <w:rPr>
                <w:rFonts w:hint="default"/>
                <w:color w:val="auto"/>
                <w:kern w:val="0"/>
                <w:sz w:val="18"/>
                <w:szCs w:val="18"/>
                <w:u w:val="single"/>
              </w:rPr>
              <w:t xml:space="preserve"> </w:t>
            </w:r>
            <w:r>
              <w:rPr>
                <w:rFonts w:hint="default"/>
                <w:color w:val="auto"/>
                <w:kern w:val="0"/>
                <w:sz w:val="18"/>
                <w:szCs w:val="18"/>
                <w:u w:val="single"/>
              </w:rPr>
              <w:tab/>
            </w:r>
            <w:r>
              <w:rPr>
                <w:rFonts w:hint="default"/>
                <w:color w:val="auto"/>
                <w:kern w:val="0"/>
                <w:sz w:val="18"/>
                <w:szCs w:val="18"/>
              </w:rPr>
              <w:t>”</w:t>
            </w:r>
            <w:r>
              <w:rPr>
                <w:rFonts w:hint="default" w:hAnsi="宋体"/>
                <w:color w:val="auto"/>
                <w:kern w:val="0"/>
                <w:sz w:val="18"/>
                <w:szCs w:val="18"/>
              </w:rPr>
              <w:t>为填写项。</w:t>
            </w:r>
          </w:p>
        </w:tc>
      </w:tr>
    </w:tbl>
    <w:p>
      <w:pPr>
        <w:snapToGrid w:val="0"/>
        <w:spacing w:line="480" w:lineRule="exact"/>
        <w:ind w:firstLine="560" w:firstLineChars="200"/>
        <w:rPr>
          <w:rFonts w:hint="eastAsia"/>
          <w:snapToGrid w:val="0"/>
          <w:color w:val="auto"/>
          <w:kern w:val="0"/>
          <w:sz w:val="28"/>
          <w:szCs w:val="28"/>
        </w:rPr>
      </w:pPr>
    </w:p>
    <w:p>
      <w:pPr>
        <w:snapToGrid w:val="0"/>
        <w:spacing w:line="500" w:lineRule="exact"/>
        <w:rPr>
          <w:rFonts w:hint="eastAsia"/>
          <w:color w:val="auto"/>
          <w:sz w:val="28"/>
          <w:szCs w:val="28"/>
        </w:rPr>
      </w:pPr>
    </w:p>
    <w:p>
      <w:pPr>
        <w:rPr>
          <w:color w:val="auto"/>
        </w:rPr>
      </w:pPr>
    </w:p>
    <w:bookmarkEnd w:id="36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Pr>
        <w:pStyle w:val="33"/>
        <w:rPr>
          <w:color w:val="auto"/>
        </w:rPr>
      </w:pPr>
    </w:p>
    <w:sectPr>
      <w:headerReference r:id="rId13" w:type="default"/>
      <w:footerReference r:id="rId14" w:type="default"/>
      <w:pgSz w:w="11906" w:h="16838"/>
      <w:pgMar w:top="1417" w:right="1417" w:bottom="1417" w:left="1417" w:header="851" w:footer="935" w:gutter="0"/>
      <w:cols w:space="720" w:num="1"/>
      <w:docGrid w:type="lines" w:linePitch="326" w:charSpace="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报告书.表格调整"/>
    </wne:keymap>
    <wne:keymap wne:kcmPrimary="0432">
      <wne:macro wne:macroName="PROJECT.报告书.正文格式"/>
    </wne:keymap>
    <wne:keymap wne:kcmPrimary="0433">
      <wne:macro wne:macroName="PROJECT.报告书.表格题注引用"/>
    </wne:keymap>
    <wne:keymap wne:kcmPrimary="0434">
      <wne:macro wne:macroName="PROJECT.报告书.图题注引用"/>
    </wne:keymap>
    <wne:keymap wne:kcmPrimary="0435">
      <wne:macro wne:macroName="PROJECT.报告书.批注记录修改时间"/>
    </wne:keymap>
    <wne:keymap wne:kcmPrimary="0451">
      <wne:macro wne:macroName="PROJECT.报告书.表头格式应用"/>
    </wne:keymap>
    <wne:keymap wne:kcmPrimary="0457">
      <wne:macro wne:macroName="PROJECT.报告书.重复标题行"/>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r>
      <w:fldChar w:fldCharType="begin"/>
    </w:r>
    <w:r>
      <w:instrText xml:space="preserve">PAGE   \* MERGEFORMAT</w:instrText>
    </w:r>
    <w:r>
      <w:fldChar w:fldCharType="separate"/>
    </w:r>
    <w:r>
      <w:rPr>
        <w:lang w:val="zh-CN"/>
      </w:rPr>
      <w:t>V</w:t>
    </w:r>
    <w:r>
      <w:fldChar w:fldCharType="end"/>
    </w:r>
  </w:p>
  <w:p>
    <w:pPr>
      <w:ind w:right="360"/>
      <w:rPr>
        <w:rFonts w:ascii="楷体" w:hAnsi="楷体" w:eastAsia="楷体" w:cs="楷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rPr>
        <w:rFonts w:ascii="楷体" w:hAnsi="楷体" w:eastAsia="楷体" w:cs="楷体"/>
      </w:rPr>
    </w:pPr>
    <w:r>
      <w:rPr>
        <w:rFonts w:ascii="楷体" w:hAnsi="楷体" w:eastAsia="楷体" w:cs="楷体"/>
      </w:rPr>
      <mc:AlternateContent>
        <mc:Choice Requires="wps">
          <w:drawing>
            <wp:anchor distT="0" distB="0" distL="114300" distR="114300" simplePos="0" relativeHeight="251663360" behindDoc="0" locked="0" layoutInCell="1" allowOverlap="1">
              <wp:simplePos x="0" y="0"/>
              <wp:positionH relativeFrom="margin">
                <wp:posOffset>2708910</wp:posOffset>
              </wp:positionH>
              <wp:positionV relativeFrom="paragraph">
                <wp:posOffset>69850</wp:posOffset>
              </wp:positionV>
              <wp:extent cx="817880" cy="214630"/>
              <wp:effectExtent l="0" t="0" r="2540" b="0"/>
              <wp:wrapNone/>
              <wp:docPr id="3" name="Text Box 8"/>
              <wp:cNvGraphicFramePr/>
              <a:graphic xmlns:a="http://schemas.openxmlformats.org/drawingml/2006/main">
                <a:graphicData uri="http://schemas.microsoft.com/office/word/2010/wordprocessingShape">
                  <wps:wsp>
                    <wps:cNvSpPr txBox="1">
                      <a:spLocks noChangeArrowheads="1"/>
                    </wps:cNvSpPr>
                    <wps:spPr bwMode="auto">
                      <a:xfrm>
                        <a:off x="0" y="0"/>
                        <a:ext cx="817880" cy="214630"/>
                      </a:xfrm>
                      <a:prstGeom prst="rect">
                        <a:avLst/>
                      </a:prstGeom>
                      <a:noFill/>
                      <a:ln>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rot="0" vert="horz" wrap="square" lIns="0" tIns="0" rIns="0" bIns="0" anchor="t" anchorCtr="0" upright="1">
                      <a:noAutofit/>
                    </wps:bodyPr>
                  </wps:wsp>
                </a:graphicData>
              </a:graphic>
            </wp:anchor>
          </w:drawing>
        </mc:Choice>
        <mc:Fallback>
          <w:pict>
            <v:shape id="Text Box 8" o:spid="_x0000_s1026" o:spt="202" type="#_x0000_t202" style="position:absolute;left:0pt;margin-left:213.3pt;margin-top:5.5pt;height:16.9pt;width:64.4pt;mso-position-horizontal-relative:margin;z-index:251663360;mso-width-relative:page;mso-height-relative:page;" filled="f" stroked="f" coordsize="21600,21600" o:gfxdata="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2hzldcAAAAJAQAADwAAAAAAAAABACAAAAAiAAAAZHJzL2Rvd25yZXYu&#10;eG1sUEsBAhQAFAAAAAgAh07iQCsGE+/8AQAAAwQAAA4AAAAAAAAAAQAgAAAAJgEAAGRycy9lMm9E&#10;b2MueG1sUEsFBgAAAAAGAAYAWQEAAJQFAAAAAA==&#10;">
              <v:fill on="f" focussize="0,0"/>
              <v:stroke on="f"/>
              <v:imagedata o:title=""/>
              <o:lock v:ext="edit" aspectratio="f"/>
              <v:textbox inset="0mm,0mm,0mm,0mm">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r>
      <w:rPr>
        <w:rFonts w:ascii="楷体" w:hAnsi="楷体" w:eastAsia="楷体" w:cs="楷体"/>
      </w:rPr>
      <w:t>大庆</w:t>
    </w:r>
    <w:r>
      <w:rPr>
        <w:rFonts w:hint="eastAsia" w:ascii="楷体" w:hAnsi="楷体" w:eastAsia="楷体" w:cs="楷体"/>
      </w:rPr>
      <w:t>恒安评价检测有限</w:t>
    </w:r>
    <w:r>
      <w:rPr>
        <w:rFonts w:ascii="楷体" w:hAnsi="楷体" w:eastAsia="楷体" w:cs="楷体"/>
      </w:rPr>
      <w:t>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rPr>
        <w:rFonts w:ascii="楷体" w:hAnsi="楷体" w:eastAsia="楷体" w:cs="楷体"/>
      </w:rPr>
    </w:pPr>
    <w:r>
      <w:rPr>
        <w:rFonts w:ascii="楷体" w:hAnsi="楷体" w:eastAsia="楷体" w:cs="楷体"/>
      </w:rPr>
      <mc:AlternateContent>
        <mc:Choice Requires="wps">
          <w:drawing>
            <wp:anchor distT="0" distB="0" distL="114300" distR="114300" simplePos="0" relativeHeight="251660288" behindDoc="0" locked="0" layoutInCell="1" allowOverlap="1">
              <wp:simplePos x="0" y="0"/>
              <wp:positionH relativeFrom="margin">
                <wp:posOffset>2708910</wp:posOffset>
              </wp:positionH>
              <wp:positionV relativeFrom="paragraph">
                <wp:posOffset>69850</wp:posOffset>
              </wp:positionV>
              <wp:extent cx="723265" cy="214630"/>
              <wp:effectExtent l="0" t="0" r="1905" b="0"/>
              <wp:wrapNone/>
              <wp:docPr id="2" name="文本框 2065"/>
              <wp:cNvGraphicFramePr/>
              <a:graphic xmlns:a="http://schemas.openxmlformats.org/drawingml/2006/main">
                <a:graphicData uri="http://schemas.microsoft.com/office/word/2010/wordprocessingShape">
                  <wps:wsp>
                    <wps:cNvSpPr txBox="1">
                      <a:spLocks noChangeArrowheads="1"/>
                    </wps:cNvSpPr>
                    <wps:spPr bwMode="auto">
                      <a:xfrm>
                        <a:off x="0" y="0"/>
                        <a:ext cx="723265" cy="214630"/>
                      </a:xfrm>
                      <a:prstGeom prst="rect">
                        <a:avLst/>
                      </a:prstGeom>
                      <a:noFill/>
                      <a:ln>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24</w:t>
                          </w:r>
                          <w:r>
                            <w:rPr>
                              <w:rFonts w:hint="eastAsia"/>
                              <w:sz w:val="18"/>
                            </w:rPr>
                            <w:fldChar w:fldCharType="end"/>
                          </w:r>
                        </w:p>
                      </w:txbxContent>
                    </wps:txbx>
                    <wps:bodyPr rot="0" vert="horz" wrap="square" lIns="0" tIns="0" rIns="0" bIns="0" anchor="t" anchorCtr="0" upright="1">
                      <a:noAutofit/>
                    </wps:bodyPr>
                  </wps:wsp>
                </a:graphicData>
              </a:graphic>
            </wp:anchor>
          </w:drawing>
        </mc:Choice>
        <mc:Fallback>
          <w:pict>
            <v:shape id="文本框 2065" o:spid="_x0000_s1026" o:spt="202" type="#_x0000_t202" style="position:absolute;left:0pt;margin-left:213.3pt;margin-top:5.5pt;height:16.9pt;width:56.95pt;mso-position-horizontal-relative:margin;z-index:251660288;mso-width-relative:page;mso-height-relative:page;" filled="f" stroked="f" coordsize="21600,21600" o:gfxdata="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ejmp/XAAAACQEAAA8AAAAAAAAAAQAg&#10;AAAAIgAAAGRycy9kb3ducmV2LnhtbFBLAQIUABQAAAAIAIdO4kBUKh2BDwIAAAcEAAAOAAAAAAAA&#10;AAEAIAAAACYBAABkcnMvZTJvRG9jLnhtbFBLBQYAAAAABgAGAFkBAACnBQAAAAA=&#10;">
              <v:fill on="f" focussize="0,0"/>
              <v:stroke on="f"/>
              <v:imagedata o:title=""/>
              <o:lock v:ext="edit" aspectratio="f"/>
              <v:textbox inset="0mm,0mm,0mm,0mm">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24</w:t>
                    </w:r>
                    <w:r>
                      <w:rPr>
                        <w:rFonts w:hint="eastAsia"/>
                        <w:sz w:val="18"/>
                      </w:rPr>
                      <w:fldChar w:fldCharType="end"/>
                    </w:r>
                  </w:p>
                </w:txbxContent>
              </v:textbox>
            </v:shape>
          </w:pict>
        </mc:Fallback>
      </mc:AlternateContent>
    </w:r>
    <w:r>
      <w:rPr>
        <w:rFonts w:ascii="楷体" w:hAnsi="楷体" w:eastAsia="楷体" w:cs="楷体"/>
      </w:rPr>
      <w:t>大庆</w:t>
    </w:r>
    <w:r>
      <w:rPr>
        <w:rFonts w:hint="eastAsia" w:ascii="楷体" w:hAnsi="楷体" w:eastAsia="楷体" w:cs="楷体"/>
      </w:rPr>
      <w:t>恒安评价检测有限</w:t>
    </w:r>
    <w:r>
      <w:rPr>
        <w:rFonts w:ascii="楷体" w:hAnsi="楷体" w:eastAsia="楷体" w:cs="楷体"/>
      </w:rPr>
      <w:t>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rPr>
        <w:rFonts w:ascii="楷体" w:hAnsi="楷体" w:eastAsia="楷体" w:cs="楷体"/>
      </w:rPr>
    </w:pPr>
    <w:r>
      <w:rPr>
        <w:rFonts w:ascii="楷体" w:hAnsi="楷体" w:eastAsia="楷体" w:cs="楷体"/>
      </w:rPr>
      <mc:AlternateContent>
        <mc:Choice Requires="wps">
          <w:drawing>
            <wp:anchor distT="0" distB="0" distL="114300" distR="114300" simplePos="0" relativeHeight="251661312" behindDoc="0" locked="0" layoutInCell="1" allowOverlap="1">
              <wp:simplePos x="0" y="0"/>
              <wp:positionH relativeFrom="margin">
                <wp:posOffset>2708910</wp:posOffset>
              </wp:positionH>
              <wp:positionV relativeFrom="paragraph">
                <wp:posOffset>69850</wp:posOffset>
              </wp:positionV>
              <wp:extent cx="723265" cy="214630"/>
              <wp:effectExtent l="0" t="0" r="1905" b="0"/>
              <wp:wrapNone/>
              <wp:docPr id="1" name="Text Box 5"/>
              <wp:cNvGraphicFramePr/>
              <a:graphic xmlns:a="http://schemas.openxmlformats.org/drawingml/2006/main">
                <a:graphicData uri="http://schemas.microsoft.com/office/word/2010/wordprocessingShape">
                  <wps:wsp>
                    <wps:cNvSpPr txBox="1">
                      <a:spLocks noChangeArrowheads="1"/>
                    </wps:cNvSpPr>
                    <wps:spPr bwMode="auto">
                      <a:xfrm>
                        <a:off x="0" y="0"/>
                        <a:ext cx="723265" cy="214630"/>
                      </a:xfrm>
                      <a:prstGeom prst="rect">
                        <a:avLst/>
                      </a:prstGeom>
                      <a:noFill/>
                      <a:ln>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308</w:t>
                          </w:r>
                          <w:r>
                            <w:rPr>
                              <w:rFonts w:hint="eastAsia"/>
                              <w:sz w:val="18"/>
                            </w:rPr>
                            <w:fldChar w:fldCharType="end"/>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213.3pt;margin-top:5.5pt;height:16.9pt;width:56.95pt;mso-position-horizontal-relative:margin;z-index:251661312;mso-width-relative:page;mso-height-relative:page;" filled="f" stroked="f" coordsize="21600,21600" o:gfxdata="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ejmp/XAAAACQEAAA8AAAAAAAAAAQAgAAAAIgAAAGRycy9kb3ducmV2&#10;LnhtbFBLAQIUABQAAAAIAIdO4kCMWlBX/QEAAAMEAAAOAAAAAAAAAAEAIAAAACYBAABkcnMvZTJv&#10;RG9jLnhtbFBLBQYAAAAABgAGAFkBAACVBQAAAAA=&#10;">
              <v:fill on="f" focussize="0,0"/>
              <v:stroke on="f"/>
              <v:imagedata o:title=""/>
              <o:lock v:ext="edit" aspectratio="f"/>
              <v:textbox inset="0mm,0mm,0mm,0mm">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308</w:t>
                    </w:r>
                    <w:r>
                      <w:rPr>
                        <w:rFonts w:hint="eastAsia"/>
                        <w:sz w:val="18"/>
                      </w:rPr>
                      <w:fldChar w:fldCharType="end"/>
                    </w:r>
                  </w:p>
                </w:txbxContent>
              </v:textbox>
            </v:shape>
          </w:pict>
        </mc:Fallback>
      </mc:AlternateContent>
    </w:r>
    <w:r>
      <w:rPr>
        <w:rFonts w:hint="eastAsia" w:ascii="楷体" w:hAnsi="楷体" w:eastAsia="楷体" w:cs="楷体"/>
      </w:rPr>
      <w:t>大庆恒安评价检测有限公司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rPr>
        <w:rFonts w:ascii="楷体" w:hAnsi="楷体" w:eastAsia="楷体"/>
      </w:rPr>
    </w:pPr>
    <w:r>
      <w:rPr>
        <w:rFonts w:ascii="楷体" w:hAnsi="楷体" w:eastAsia="楷体"/>
      </w:rPr>
      <mc:AlternateContent>
        <mc:Choice Requires="wps">
          <w:drawing>
            <wp:anchor distT="0" distB="0" distL="114300" distR="114300" simplePos="0" relativeHeight="251662336" behindDoc="0" locked="0" layoutInCell="1" allowOverlap="1">
              <wp:simplePos x="0" y="0"/>
              <wp:positionH relativeFrom="margin">
                <wp:posOffset>2708910</wp:posOffset>
              </wp:positionH>
              <wp:positionV relativeFrom="paragraph">
                <wp:posOffset>69850</wp:posOffset>
              </wp:positionV>
              <wp:extent cx="817880" cy="21463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817880" cy="214630"/>
                      </a:xfrm>
                      <a:prstGeom prst="rect">
                        <a:avLst/>
                      </a:prstGeom>
                      <a:noFill/>
                      <a:ln>
                        <a:noFill/>
                      </a:ln>
                      <a:effectLst/>
                    </wps:spPr>
                    <wps:txbx>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325</w:t>
                          </w:r>
                          <w:r>
                            <w:rPr>
                              <w:sz w:val="18"/>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3.3pt;margin-top:5.5pt;height:16.9pt;width:64.4pt;mso-position-horizontal-relative:margin;z-index:251662336;mso-width-relative:page;mso-height-relative:page;" filled="f" stroked="f" coordsize="21600,21600" o:gfxdata="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toc5XXAAAACQEAAA8AAAAAAAAA&#10;AQAgAAAAIgAAAGRycy9kb3ducmV2LnhtbFBLAQIUABQAAAAIAIdO4kBNB7lfEgIAABIEAAAOAAAA&#10;AAAAAAEAIAAAACYBAABkcnMvZTJvRG9jLnhtbFBLBQYAAAAABgAGAFkBAACqBQAAAAA=&#10;">
              <v:fill on="f" focussize="0,0"/>
              <v:stroke on="f"/>
              <v:imagedata o:title=""/>
              <o:lock v:ext="edit" aspectratio="f"/>
              <v:textbox inset="0mm,0mm,0mm,0mm">
                <w:txbxContent>
                  <w:p>
                    <w:pPr>
                      <w:snapToGrid w:val="0"/>
                      <w:ind w:firstLine="360"/>
                      <w:rPr>
                        <w:sz w:val="18"/>
                      </w:rPr>
                    </w:pPr>
                    <w:r>
                      <w:rPr>
                        <w:sz w:val="18"/>
                      </w:rPr>
                      <w:fldChar w:fldCharType="begin"/>
                    </w:r>
                    <w:r>
                      <w:rPr>
                        <w:sz w:val="18"/>
                      </w:rPr>
                      <w:instrText xml:space="preserve"> PAGE  \* MERGEFORMAT </w:instrText>
                    </w:r>
                    <w:r>
                      <w:rPr>
                        <w:sz w:val="18"/>
                      </w:rPr>
                      <w:fldChar w:fldCharType="separate"/>
                    </w:r>
                    <w:r>
                      <w:rPr>
                        <w:sz w:val="18"/>
                      </w:rPr>
                      <w:t>325</w:t>
                    </w:r>
                    <w:r>
                      <w:rPr>
                        <w:sz w:val="18"/>
                      </w:rPr>
                      <w:fldChar w:fldCharType="end"/>
                    </w:r>
                  </w:p>
                </w:txbxContent>
              </v:textbox>
            </v:shape>
          </w:pict>
        </mc:Fallback>
      </mc:AlternateContent>
    </w:r>
    <w:r>
      <w:rPr>
        <w:rFonts w:hint="eastAsia" w:ascii="楷体" w:hAnsi="楷体" w:eastAsia="楷体"/>
      </w:rPr>
      <w:t>大庆恒安评价检测有限公司</w:t>
    </w:r>
  </w:p>
  <w:p>
    <w:pPr>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right"/>
    </w:pPr>
    <w:r>
      <w:rPr>
        <w:rFonts w:hint="eastAsia" w:ascii="楷体" w:hAnsi="楷体" w:eastAsia="楷体" w:cs="楷体"/>
      </w:rPr>
      <w:t xml:space="preserve">大庆升平储气库工程 </w:t>
    </w:r>
    <w:r>
      <w:rPr>
        <w:rFonts w:hint="eastAsia" w:ascii="宋体" w:hAnsi="宋体" w:cs="宋体"/>
      </w:rPr>
      <w:t xml:space="preserve">  </w:t>
    </w:r>
    <w:r>
      <w:rPr>
        <w:rFonts w:hint="eastAsia"/>
      </w:rPr>
      <w:t xml:space="preserve">                                     </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right"/>
      <w:rPr>
        <w:rFonts w:hint="eastAsia" w:eastAsia="楷体"/>
        <w:lang w:eastAsia="zh-CN"/>
      </w:rPr>
    </w:pPr>
    <w:r>
      <w:rPr>
        <w:rFonts w:hint="eastAsia" w:ascii="楷体" w:hAnsi="楷体" w:eastAsia="楷体" w:cs="楷体"/>
      </w:rPr>
      <w:t>大庆升平储气库工程</w:t>
    </w:r>
    <w:r>
      <w:rPr>
        <w:rFonts w:hint="eastAsia" w:ascii="楷体" w:hAnsi="楷体" w:eastAsia="楷体" w:cs="楷体"/>
        <w:lang w:eastAsia="zh-CN"/>
      </w:rPr>
      <w:t>钻井工程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rPr>
        <w:rFonts w:ascii="楷体" w:hAnsi="楷体" w:eastAsia="楷体" w:cs="楷体"/>
      </w:rPr>
    </w:pPr>
    <w:r>
      <w:rPr>
        <w:rFonts w:hint="eastAsia" w:ascii="楷体" w:hAnsi="楷体" w:eastAsia="楷体" w:cs="楷体"/>
      </w:rPr>
      <w:t>大庆升平储气库工程</w:t>
    </w:r>
  </w:p>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DBD13F"/>
    <w:multiLevelType w:val="multilevel"/>
    <w:tmpl w:val="91DBD13F"/>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lvlRestart w:val="2"/>
      <w:pStyle w:val="7"/>
      <w:lvlText w:val="表%1.%2-%5  "/>
      <w:lvlJc w:val="left"/>
      <w:pPr>
        <w:ind w:left="1008" w:hanging="1008"/>
      </w:pPr>
      <w:rPr>
        <w:rFonts w:hint="default" w:ascii="Times New Roman" w:hAnsi="Times New Roman" w:eastAsia="宋体" w:cs="Times New Roman"/>
      </w:rPr>
    </w:lvl>
    <w:lvl w:ilvl="5" w:tentative="0">
      <w:start w:val="1"/>
      <w:numFmt w:val="decimal"/>
      <w:pStyle w:val="8"/>
      <w:lvlText w:val="图%1.%2-%6  "/>
      <w:lvlJc w:val="left"/>
      <w:pPr>
        <w:ind w:left="1151" w:hanging="1151"/>
      </w:pPr>
      <w:rPr>
        <w:rFonts w:hint="default" w:ascii="Times New Roman" w:hAnsi="Times New Roman" w:eastAsia="宋体" w:cs="Times New Roman"/>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
    <w:nsid w:val="D6EBE377"/>
    <w:multiLevelType w:val="singleLevel"/>
    <w:tmpl w:val="D6EBE377"/>
    <w:lvl w:ilvl="0" w:tentative="0">
      <w:start w:val="1"/>
      <w:numFmt w:val="decimal"/>
      <w:suff w:val="nothing"/>
      <w:lvlText w:val="（%1）"/>
      <w:lvlJc w:val="left"/>
    </w:lvl>
  </w:abstractNum>
  <w:abstractNum w:abstractNumId="2">
    <w:nsid w:val="0C80178E"/>
    <w:multiLevelType w:val="singleLevel"/>
    <w:tmpl w:val="0C80178E"/>
    <w:lvl w:ilvl="0" w:tentative="0">
      <w:start w:val="1"/>
      <w:numFmt w:val="decimal"/>
      <w:suff w:val="nothing"/>
      <w:lvlText w:val="%1）"/>
      <w:lvlJc w:val="left"/>
    </w:lvl>
  </w:abstractNum>
  <w:abstractNum w:abstractNumId="3">
    <w:nsid w:val="0D515A74"/>
    <w:multiLevelType w:val="singleLevel"/>
    <w:tmpl w:val="0D515A74"/>
    <w:lvl w:ilvl="0" w:tentative="0">
      <w:start w:val="1"/>
      <w:numFmt w:val="decimal"/>
      <w:suff w:val="nothing"/>
      <w:lvlText w:val="（%1）"/>
      <w:lvlJc w:val="left"/>
    </w:lvl>
  </w:abstractNum>
  <w:abstractNum w:abstractNumId="4">
    <w:nsid w:val="1EBA28BD"/>
    <w:multiLevelType w:val="singleLevel"/>
    <w:tmpl w:val="1EBA28BD"/>
    <w:lvl w:ilvl="0" w:tentative="0">
      <w:start w:val="1"/>
      <w:numFmt w:val="decimal"/>
      <w:suff w:val="nothing"/>
      <w:lvlText w:val="（%1）"/>
      <w:lvlJc w:val="left"/>
    </w:lvl>
  </w:abstractNum>
  <w:abstractNum w:abstractNumId="5">
    <w:nsid w:val="341E29CC"/>
    <w:multiLevelType w:val="singleLevel"/>
    <w:tmpl w:val="341E29CC"/>
    <w:lvl w:ilvl="0" w:tentative="0">
      <w:start w:val="3"/>
      <w:numFmt w:val="decimal"/>
      <w:suff w:val="nothing"/>
      <w:lvlText w:val="%1、"/>
      <w:lvlJc w:val="left"/>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displayBackgroundShape w:val="1"/>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58F"/>
    <w:rsid w:val="00000839"/>
    <w:rsid w:val="00002896"/>
    <w:rsid w:val="00002E43"/>
    <w:rsid w:val="00002F6D"/>
    <w:rsid w:val="0000317F"/>
    <w:rsid w:val="00005F67"/>
    <w:rsid w:val="00006147"/>
    <w:rsid w:val="000064EA"/>
    <w:rsid w:val="000065BC"/>
    <w:rsid w:val="00007108"/>
    <w:rsid w:val="000075A5"/>
    <w:rsid w:val="00007C40"/>
    <w:rsid w:val="00007C5B"/>
    <w:rsid w:val="000106B6"/>
    <w:rsid w:val="00010734"/>
    <w:rsid w:val="00011319"/>
    <w:rsid w:val="000123D5"/>
    <w:rsid w:val="0001381D"/>
    <w:rsid w:val="00013A62"/>
    <w:rsid w:val="00015992"/>
    <w:rsid w:val="00016F26"/>
    <w:rsid w:val="00020757"/>
    <w:rsid w:val="00020F95"/>
    <w:rsid w:val="00021605"/>
    <w:rsid w:val="000234AF"/>
    <w:rsid w:val="000236B9"/>
    <w:rsid w:val="00023743"/>
    <w:rsid w:val="00024078"/>
    <w:rsid w:val="0002470B"/>
    <w:rsid w:val="00025084"/>
    <w:rsid w:val="00026015"/>
    <w:rsid w:val="00026905"/>
    <w:rsid w:val="000270C0"/>
    <w:rsid w:val="00027DF6"/>
    <w:rsid w:val="00027F66"/>
    <w:rsid w:val="00030F71"/>
    <w:rsid w:val="00031A10"/>
    <w:rsid w:val="00031FCE"/>
    <w:rsid w:val="0003232D"/>
    <w:rsid w:val="0003243E"/>
    <w:rsid w:val="000328D0"/>
    <w:rsid w:val="00033348"/>
    <w:rsid w:val="000335CD"/>
    <w:rsid w:val="0003444E"/>
    <w:rsid w:val="0003458E"/>
    <w:rsid w:val="00035CF9"/>
    <w:rsid w:val="00036894"/>
    <w:rsid w:val="00037511"/>
    <w:rsid w:val="000402A1"/>
    <w:rsid w:val="00041265"/>
    <w:rsid w:val="000456ED"/>
    <w:rsid w:val="0004589E"/>
    <w:rsid w:val="000477DA"/>
    <w:rsid w:val="000479C0"/>
    <w:rsid w:val="00051C81"/>
    <w:rsid w:val="000527B9"/>
    <w:rsid w:val="00052CA0"/>
    <w:rsid w:val="00053C89"/>
    <w:rsid w:val="000549B3"/>
    <w:rsid w:val="000549F7"/>
    <w:rsid w:val="00054E2D"/>
    <w:rsid w:val="000554F0"/>
    <w:rsid w:val="000555EA"/>
    <w:rsid w:val="00055631"/>
    <w:rsid w:val="0005693B"/>
    <w:rsid w:val="00057001"/>
    <w:rsid w:val="00060BA8"/>
    <w:rsid w:val="0006130E"/>
    <w:rsid w:val="00061E2E"/>
    <w:rsid w:val="00062A90"/>
    <w:rsid w:val="000636C5"/>
    <w:rsid w:val="00063A3D"/>
    <w:rsid w:val="00063A91"/>
    <w:rsid w:val="00063F17"/>
    <w:rsid w:val="00064028"/>
    <w:rsid w:val="00064819"/>
    <w:rsid w:val="00064ED4"/>
    <w:rsid w:val="00065529"/>
    <w:rsid w:val="0006607E"/>
    <w:rsid w:val="00066C3E"/>
    <w:rsid w:val="00067258"/>
    <w:rsid w:val="000679B2"/>
    <w:rsid w:val="00070104"/>
    <w:rsid w:val="000702B7"/>
    <w:rsid w:val="00070771"/>
    <w:rsid w:val="00071118"/>
    <w:rsid w:val="000719F6"/>
    <w:rsid w:val="000724F2"/>
    <w:rsid w:val="0007263F"/>
    <w:rsid w:val="000726B1"/>
    <w:rsid w:val="000730A5"/>
    <w:rsid w:val="0007401C"/>
    <w:rsid w:val="000742EE"/>
    <w:rsid w:val="000752B4"/>
    <w:rsid w:val="00076A17"/>
    <w:rsid w:val="000800E4"/>
    <w:rsid w:val="0008062D"/>
    <w:rsid w:val="000807C7"/>
    <w:rsid w:val="0008146E"/>
    <w:rsid w:val="00082B58"/>
    <w:rsid w:val="00082CF0"/>
    <w:rsid w:val="00083B6C"/>
    <w:rsid w:val="00083BC7"/>
    <w:rsid w:val="00084D31"/>
    <w:rsid w:val="00085D13"/>
    <w:rsid w:val="000861A1"/>
    <w:rsid w:val="000871E6"/>
    <w:rsid w:val="0008770A"/>
    <w:rsid w:val="00087DFD"/>
    <w:rsid w:val="00090300"/>
    <w:rsid w:val="00090393"/>
    <w:rsid w:val="00091517"/>
    <w:rsid w:val="00092375"/>
    <w:rsid w:val="000923D5"/>
    <w:rsid w:val="000928F6"/>
    <w:rsid w:val="000930CC"/>
    <w:rsid w:val="0009365D"/>
    <w:rsid w:val="000937AE"/>
    <w:rsid w:val="00093A86"/>
    <w:rsid w:val="00093D15"/>
    <w:rsid w:val="000944C5"/>
    <w:rsid w:val="0009465F"/>
    <w:rsid w:val="00094C69"/>
    <w:rsid w:val="0009591D"/>
    <w:rsid w:val="00095979"/>
    <w:rsid w:val="000961EA"/>
    <w:rsid w:val="000965B9"/>
    <w:rsid w:val="00096C02"/>
    <w:rsid w:val="00097D76"/>
    <w:rsid w:val="000A0C9A"/>
    <w:rsid w:val="000A0FA3"/>
    <w:rsid w:val="000A1333"/>
    <w:rsid w:val="000A1B91"/>
    <w:rsid w:val="000A203A"/>
    <w:rsid w:val="000A2B7D"/>
    <w:rsid w:val="000A2EB8"/>
    <w:rsid w:val="000A320E"/>
    <w:rsid w:val="000A3798"/>
    <w:rsid w:val="000A3822"/>
    <w:rsid w:val="000A3AE7"/>
    <w:rsid w:val="000A58FE"/>
    <w:rsid w:val="000A6C75"/>
    <w:rsid w:val="000A7F50"/>
    <w:rsid w:val="000B06DE"/>
    <w:rsid w:val="000B1DBD"/>
    <w:rsid w:val="000B2612"/>
    <w:rsid w:val="000B2876"/>
    <w:rsid w:val="000B3C1E"/>
    <w:rsid w:val="000B4043"/>
    <w:rsid w:val="000B5007"/>
    <w:rsid w:val="000B61EF"/>
    <w:rsid w:val="000B7F1B"/>
    <w:rsid w:val="000C00CE"/>
    <w:rsid w:val="000C0428"/>
    <w:rsid w:val="000C172A"/>
    <w:rsid w:val="000C256B"/>
    <w:rsid w:val="000C2FF2"/>
    <w:rsid w:val="000C342E"/>
    <w:rsid w:val="000C39F1"/>
    <w:rsid w:val="000C3BA5"/>
    <w:rsid w:val="000C4267"/>
    <w:rsid w:val="000C44FB"/>
    <w:rsid w:val="000C487C"/>
    <w:rsid w:val="000C50A2"/>
    <w:rsid w:val="000C6172"/>
    <w:rsid w:val="000C62E3"/>
    <w:rsid w:val="000C641C"/>
    <w:rsid w:val="000C6C95"/>
    <w:rsid w:val="000C6CAD"/>
    <w:rsid w:val="000C6D57"/>
    <w:rsid w:val="000D204D"/>
    <w:rsid w:val="000D25CC"/>
    <w:rsid w:val="000D2762"/>
    <w:rsid w:val="000D282B"/>
    <w:rsid w:val="000D2A8A"/>
    <w:rsid w:val="000D3692"/>
    <w:rsid w:val="000D36D5"/>
    <w:rsid w:val="000D441D"/>
    <w:rsid w:val="000D4AD4"/>
    <w:rsid w:val="000D4D67"/>
    <w:rsid w:val="000D65A4"/>
    <w:rsid w:val="000D7831"/>
    <w:rsid w:val="000D7DB2"/>
    <w:rsid w:val="000D7F6D"/>
    <w:rsid w:val="000E00FF"/>
    <w:rsid w:val="000E015E"/>
    <w:rsid w:val="000E0D9E"/>
    <w:rsid w:val="000E1A70"/>
    <w:rsid w:val="000E25EF"/>
    <w:rsid w:val="000E26E3"/>
    <w:rsid w:val="000E352F"/>
    <w:rsid w:val="000E35BE"/>
    <w:rsid w:val="000E430D"/>
    <w:rsid w:val="000E4890"/>
    <w:rsid w:val="000E4D60"/>
    <w:rsid w:val="000E503D"/>
    <w:rsid w:val="000E5512"/>
    <w:rsid w:val="000E58BD"/>
    <w:rsid w:val="000E5A41"/>
    <w:rsid w:val="000E60FA"/>
    <w:rsid w:val="000E6616"/>
    <w:rsid w:val="000E6D01"/>
    <w:rsid w:val="000E6E56"/>
    <w:rsid w:val="000E6E8E"/>
    <w:rsid w:val="000E7630"/>
    <w:rsid w:val="000E7DC7"/>
    <w:rsid w:val="000F1C2F"/>
    <w:rsid w:val="000F3600"/>
    <w:rsid w:val="000F38A2"/>
    <w:rsid w:val="000F402F"/>
    <w:rsid w:val="000F5956"/>
    <w:rsid w:val="000F5C59"/>
    <w:rsid w:val="000F60A8"/>
    <w:rsid w:val="000F61DF"/>
    <w:rsid w:val="000F7189"/>
    <w:rsid w:val="000F7385"/>
    <w:rsid w:val="001006AD"/>
    <w:rsid w:val="00100833"/>
    <w:rsid w:val="00100895"/>
    <w:rsid w:val="00101130"/>
    <w:rsid w:val="0010132C"/>
    <w:rsid w:val="00101532"/>
    <w:rsid w:val="001023BE"/>
    <w:rsid w:val="00102A0A"/>
    <w:rsid w:val="00102B63"/>
    <w:rsid w:val="00102BE5"/>
    <w:rsid w:val="00103410"/>
    <w:rsid w:val="0010420A"/>
    <w:rsid w:val="0010674C"/>
    <w:rsid w:val="00106A6D"/>
    <w:rsid w:val="00107EC5"/>
    <w:rsid w:val="001105C8"/>
    <w:rsid w:val="00110638"/>
    <w:rsid w:val="00110F22"/>
    <w:rsid w:val="00112703"/>
    <w:rsid w:val="0011308E"/>
    <w:rsid w:val="00113213"/>
    <w:rsid w:val="001136C6"/>
    <w:rsid w:val="00113706"/>
    <w:rsid w:val="001138B8"/>
    <w:rsid w:val="001138F4"/>
    <w:rsid w:val="00113A1F"/>
    <w:rsid w:val="00114C0B"/>
    <w:rsid w:val="00115B19"/>
    <w:rsid w:val="00117105"/>
    <w:rsid w:val="00117DF9"/>
    <w:rsid w:val="00117F59"/>
    <w:rsid w:val="001204E9"/>
    <w:rsid w:val="00120595"/>
    <w:rsid w:val="00120914"/>
    <w:rsid w:val="0012131F"/>
    <w:rsid w:val="00122B26"/>
    <w:rsid w:val="001242D1"/>
    <w:rsid w:val="00124DD0"/>
    <w:rsid w:val="0012549B"/>
    <w:rsid w:val="00125D54"/>
    <w:rsid w:val="001262ED"/>
    <w:rsid w:val="001264E7"/>
    <w:rsid w:val="00130E8D"/>
    <w:rsid w:val="00130FA2"/>
    <w:rsid w:val="00131B4C"/>
    <w:rsid w:val="00131F83"/>
    <w:rsid w:val="001323D0"/>
    <w:rsid w:val="001337AA"/>
    <w:rsid w:val="0013419B"/>
    <w:rsid w:val="00134797"/>
    <w:rsid w:val="001358BB"/>
    <w:rsid w:val="001359CD"/>
    <w:rsid w:val="0013758C"/>
    <w:rsid w:val="00137749"/>
    <w:rsid w:val="0013799A"/>
    <w:rsid w:val="00140CA5"/>
    <w:rsid w:val="00141235"/>
    <w:rsid w:val="00141C7E"/>
    <w:rsid w:val="00141DE1"/>
    <w:rsid w:val="001421BB"/>
    <w:rsid w:val="00142200"/>
    <w:rsid w:val="00142FA7"/>
    <w:rsid w:val="00143443"/>
    <w:rsid w:val="00144359"/>
    <w:rsid w:val="00144A85"/>
    <w:rsid w:val="00145E3A"/>
    <w:rsid w:val="001465B3"/>
    <w:rsid w:val="00146B58"/>
    <w:rsid w:val="00146F36"/>
    <w:rsid w:val="0014776C"/>
    <w:rsid w:val="00150E8F"/>
    <w:rsid w:val="001522FD"/>
    <w:rsid w:val="00152AB7"/>
    <w:rsid w:val="00152FD8"/>
    <w:rsid w:val="00153489"/>
    <w:rsid w:val="001535EF"/>
    <w:rsid w:val="00153BC1"/>
    <w:rsid w:val="00153FA8"/>
    <w:rsid w:val="00154737"/>
    <w:rsid w:val="00154AC5"/>
    <w:rsid w:val="00155C77"/>
    <w:rsid w:val="0015690A"/>
    <w:rsid w:val="001604AC"/>
    <w:rsid w:val="001608E2"/>
    <w:rsid w:val="001627B8"/>
    <w:rsid w:val="00162DF1"/>
    <w:rsid w:val="00164124"/>
    <w:rsid w:val="00164493"/>
    <w:rsid w:val="00164B0E"/>
    <w:rsid w:val="00164F34"/>
    <w:rsid w:val="00165003"/>
    <w:rsid w:val="00165234"/>
    <w:rsid w:val="00165C56"/>
    <w:rsid w:val="00165F2C"/>
    <w:rsid w:val="00166C84"/>
    <w:rsid w:val="001671E0"/>
    <w:rsid w:val="00167371"/>
    <w:rsid w:val="00170F09"/>
    <w:rsid w:val="0017133D"/>
    <w:rsid w:val="0017140E"/>
    <w:rsid w:val="001715A9"/>
    <w:rsid w:val="00171B46"/>
    <w:rsid w:val="00171C32"/>
    <w:rsid w:val="00171DB9"/>
    <w:rsid w:val="00171EC0"/>
    <w:rsid w:val="001732D2"/>
    <w:rsid w:val="00173C65"/>
    <w:rsid w:val="00174A31"/>
    <w:rsid w:val="00174A6A"/>
    <w:rsid w:val="0017621F"/>
    <w:rsid w:val="0017743A"/>
    <w:rsid w:val="00177556"/>
    <w:rsid w:val="00177ED2"/>
    <w:rsid w:val="0018105D"/>
    <w:rsid w:val="001810FF"/>
    <w:rsid w:val="0018240D"/>
    <w:rsid w:val="00183375"/>
    <w:rsid w:val="001847A9"/>
    <w:rsid w:val="00184B34"/>
    <w:rsid w:val="00185054"/>
    <w:rsid w:val="001853C4"/>
    <w:rsid w:val="001857A4"/>
    <w:rsid w:val="00185C6D"/>
    <w:rsid w:val="00186E8C"/>
    <w:rsid w:val="0018785E"/>
    <w:rsid w:val="00187A51"/>
    <w:rsid w:val="00190373"/>
    <w:rsid w:val="00190C72"/>
    <w:rsid w:val="00191D70"/>
    <w:rsid w:val="001926A4"/>
    <w:rsid w:val="00192A71"/>
    <w:rsid w:val="00193299"/>
    <w:rsid w:val="00193FD9"/>
    <w:rsid w:val="001941F5"/>
    <w:rsid w:val="00195815"/>
    <w:rsid w:val="00195AED"/>
    <w:rsid w:val="00195E2E"/>
    <w:rsid w:val="0019646D"/>
    <w:rsid w:val="0019693D"/>
    <w:rsid w:val="001969B5"/>
    <w:rsid w:val="001A0A1A"/>
    <w:rsid w:val="001A0CE0"/>
    <w:rsid w:val="001A0D81"/>
    <w:rsid w:val="001A2A80"/>
    <w:rsid w:val="001A6699"/>
    <w:rsid w:val="001A7FF6"/>
    <w:rsid w:val="001B1B1E"/>
    <w:rsid w:val="001B2D57"/>
    <w:rsid w:val="001B2F9D"/>
    <w:rsid w:val="001B35A9"/>
    <w:rsid w:val="001B4663"/>
    <w:rsid w:val="001B57C9"/>
    <w:rsid w:val="001B610B"/>
    <w:rsid w:val="001B74E3"/>
    <w:rsid w:val="001C1442"/>
    <w:rsid w:val="001C2421"/>
    <w:rsid w:val="001C26F5"/>
    <w:rsid w:val="001C30AA"/>
    <w:rsid w:val="001C38FD"/>
    <w:rsid w:val="001C40DC"/>
    <w:rsid w:val="001C486C"/>
    <w:rsid w:val="001C4CE4"/>
    <w:rsid w:val="001C5267"/>
    <w:rsid w:val="001C5B4C"/>
    <w:rsid w:val="001C5BC2"/>
    <w:rsid w:val="001C7754"/>
    <w:rsid w:val="001C781E"/>
    <w:rsid w:val="001D0019"/>
    <w:rsid w:val="001D0238"/>
    <w:rsid w:val="001D02B5"/>
    <w:rsid w:val="001D06DC"/>
    <w:rsid w:val="001D1298"/>
    <w:rsid w:val="001D1320"/>
    <w:rsid w:val="001D2FCC"/>
    <w:rsid w:val="001D38EB"/>
    <w:rsid w:val="001D4902"/>
    <w:rsid w:val="001D4A78"/>
    <w:rsid w:val="001D5526"/>
    <w:rsid w:val="001D5DC3"/>
    <w:rsid w:val="001D6023"/>
    <w:rsid w:val="001D7924"/>
    <w:rsid w:val="001D7C59"/>
    <w:rsid w:val="001E0227"/>
    <w:rsid w:val="001E0DA7"/>
    <w:rsid w:val="001E15C6"/>
    <w:rsid w:val="001E16ED"/>
    <w:rsid w:val="001E1707"/>
    <w:rsid w:val="001E171D"/>
    <w:rsid w:val="001E1DC2"/>
    <w:rsid w:val="001E3C01"/>
    <w:rsid w:val="001E59F2"/>
    <w:rsid w:val="001E5BA6"/>
    <w:rsid w:val="001E5C80"/>
    <w:rsid w:val="001E5CD1"/>
    <w:rsid w:val="001E6136"/>
    <w:rsid w:val="001E62DC"/>
    <w:rsid w:val="001E6910"/>
    <w:rsid w:val="001E6B9E"/>
    <w:rsid w:val="001E741D"/>
    <w:rsid w:val="001E754D"/>
    <w:rsid w:val="001E783C"/>
    <w:rsid w:val="001E7AB1"/>
    <w:rsid w:val="001F0730"/>
    <w:rsid w:val="001F1291"/>
    <w:rsid w:val="001F1C0F"/>
    <w:rsid w:val="001F2999"/>
    <w:rsid w:val="001F2CBE"/>
    <w:rsid w:val="001F3003"/>
    <w:rsid w:val="001F301D"/>
    <w:rsid w:val="001F303E"/>
    <w:rsid w:val="001F4E96"/>
    <w:rsid w:val="001F672D"/>
    <w:rsid w:val="001F746C"/>
    <w:rsid w:val="001F76FD"/>
    <w:rsid w:val="001F777C"/>
    <w:rsid w:val="0020020A"/>
    <w:rsid w:val="002004E6"/>
    <w:rsid w:val="002006DC"/>
    <w:rsid w:val="00201668"/>
    <w:rsid w:val="00201EB4"/>
    <w:rsid w:val="002034CE"/>
    <w:rsid w:val="00203A3B"/>
    <w:rsid w:val="00204351"/>
    <w:rsid w:val="002047A8"/>
    <w:rsid w:val="00204DE7"/>
    <w:rsid w:val="002056DC"/>
    <w:rsid w:val="00205E3C"/>
    <w:rsid w:val="0020634F"/>
    <w:rsid w:val="0020717B"/>
    <w:rsid w:val="00210545"/>
    <w:rsid w:val="002105D9"/>
    <w:rsid w:val="002106D7"/>
    <w:rsid w:val="00210852"/>
    <w:rsid w:val="00210E4F"/>
    <w:rsid w:val="00211997"/>
    <w:rsid w:val="0021226C"/>
    <w:rsid w:val="00212DE6"/>
    <w:rsid w:val="00213881"/>
    <w:rsid w:val="00213991"/>
    <w:rsid w:val="00213B58"/>
    <w:rsid w:val="0021488E"/>
    <w:rsid w:val="00214C96"/>
    <w:rsid w:val="00214D80"/>
    <w:rsid w:val="00214E80"/>
    <w:rsid w:val="002154A2"/>
    <w:rsid w:val="002156CF"/>
    <w:rsid w:val="00215F1E"/>
    <w:rsid w:val="002160D8"/>
    <w:rsid w:val="00216A63"/>
    <w:rsid w:val="00216C81"/>
    <w:rsid w:val="00217110"/>
    <w:rsid w:val="00217EE6"/>
    <w:rsid w:val="00220209"/>
    <w:rsid w:val="00220376"/>
    <w:rsid w:val="002211BA"/>
    <w:rsid w:val="00221474"/>
    <w:rsid w:val="00221D6B"/>
    <w:rsid w:val="0022396D"/>
    <w:rsid w:val="00223DD3"/>
    <w:rsid w:val="002244E2"/>
    <w:rsid w:val="00224D4F"/>
    <w:rsid w:val="00225A70"/>
    <w:rsid w:val="002265FA"/>
    <w:rsid w:val="00226ABB"/>
    <w:rsid w:val="00230FAC"/>
    <w:rsid w:val="00231109"/>
    <w:rsid w:val="00231618"/>
    <w:rsid w:val="00232527"/>
    <w:rsid w:val="0023464E"/>
    <w:rsid w:val="00235713"/>
    <w:rsid w:val="00235F2A"/>
    <w:rsid w:val="00237943"/>
    <w:rsid w:val="002420F3"/>
    <w:rsid w:val="0024220A"/>
    <w:rsid w:val="002426D8"/>
    <w:rsid w:val="002429CC"/>
    <w:rsid w:val="00242FB0"/>
    <w:rsid w:val="00244071"/>
    <w:rsid w:val="00244700"/>
    <w:rsid w:val="0024474C"/>
    <w:rsid w:val="00245490"/>
    <w:rsid w:val="002466FB"/>
    <w:rsid w:val="00246DA9"/>
    <w:rsid w:val="0024743F"/>
    <w:rsid w:val="00247849"/>
    <w:rsid w:val="00247870"/>
    <w:rsid w:val="00247E48"/>
    <w:rsid w:val="00250795"/>
    <w:rsid w:val="00251FD9"/>
    <w:rsid w:val="002526EB"/>
    <w:rsid w:val="00252859"/>
    <w:rsid w:val="002534E7"/>
    <w:rsid w:val="00254352"/>
    <w:rsid w:val="00254CE3"/>
    <w:rsid w:val="00256501"/>
    <w:rsid w:val="002576AC"/>
    <w:rsid w:val="00257DB5"/>
    <w:rsid w:val="00257EBA"/>
    <w:rsid w:val="002617C9"/>
    <w:rsid w:val="00262BD2"/>
    <w:rsid w:val="0026385A"/>
    <w:rsid w:val="00263ACC"/>
    <w:rsid w:val="00263D70"/>
    <w:rsid w:val="00263D9C"/>
    <w:rsid w:val="00265729"/>
    <w:rsid w:val="00265D7F"/>
    <w:rsid w:val="002664FE"/>
    <w:rsid w:val="00266D23"/>
    <w:rsid w:val="002675B9"/>
    <w:rsid w:val="0026791E"/>
    <w:rsid w:val="002705EF"/>
    <w:rsid w:val="0027124E"/>
    <w:rsid w:val="00272A12"/>
    <w:rsid w:val="00272AA8"/>
    <w:rsid w:val="00273007"/>
    <w:rsid w:val="0027463A"/>
    <w:rsid w:val="002746F8"/>
    <w:rsid w:val="00277F5F"/>
    <w:rsid w:val="00280D16"/>
    <w:rsid w:val="002815BC"/>
    <w:rsid w:val="00283285"/>
    <w:rsid w:val="002839C4"/>
    <w:rsid w:val="0028493A"/>
    <w:rsid w:val="00284B80"/>
    <w:rsid w:val="00285726"/>
    <w:rsid w:val="00287148"/>
    <w:rsid w:val="00287460"/>
    <w:rsid w:val="00290256"/>
    <w:rsid w:val="0029027A"/>
    <w:rsid w:val="00291127"/>
    <w:rsid w:val="00291218"/>
    <w:rsid w:val="002918D0"/>
    <w:rsid w:val="00291DCC"/>
    <w:rsid w:val="002920FD"/>
    <w:rsid w:val="00292EBB"/>
    <w:rsid w:val="00292F87"/>
    <w:rsid w:val="0029337C"/>
    <w:rsid w:val="00293D3A"/>
    <w:rsid w:val="00294731"/>
    <w:rsid w:val="00294A5D"/>
    <w:rsid w:val="00294A92"/>
    <w:rsid w:val="00294B06"/>
    <w:rsid w:val="00295F70"/>
    <w:rsid w:val="002968BF"/>
    <w:rsid w:val="00296BBE"/>
    <w:rsid w:val="002970D6"/>
    <w:rsid w:val="002972FE"/>
    <w:rsid w:val="0029777A"/>
    <w:rsid w:val="00297B1C"/>
    <w:rsid w:val="002A041B"/>
    <w:rsid w:val="002A1303"/>
    <w:rsid w:val="002A27E5"/>
    <w:rsid w:val="002A2E7B"/>
    <w:rsid w:val="002A365C"/>
    <w:rsid w:val="002A36D8"/>
    <w:rsid w:val="002A3C62"/>
    <w:rsid w:val="002A40B6"/>
    <w:rsid w:val="002A4B4C"/>
    <w:rsid w:val="002A548B"/>
    <w:rsid w:val="002A5B12"/>
    <w:rsid w:val="002A5B9C"/>
    <w:rsid w:val="002A5D03"/>
    <w:rsid w:val="002A6609"/>
    <w:rsid w:val="002A7230"/>
    <w:rsid w:val="002A7CD3"/>
    <w:rsid w:val="002B02D1"/>
    <w:rsid w:val="002B178B"/>
    <w:rsid w:val="002B1CB2"/>
    <w:rsid w:val="002B2436"/>
    <w:rsid w:val="002B303D"/>
    <w:rsid w:val="002B34D1"/>
    <w:rsid w:val="002B36FC"/>
    <w:rsid w:val="002B3886"/>
    <w:rsid w:val="002B3B62"/>
    <w:rsid w:val="002B448C"/>
    <w:rsid w:val="002B4BE1"/>
    <w:rsid w:val="002B574B"/>
    <w:rsid w:val="002B7C46"/>
    <w:rsid w:val="002C0A7C"/>
    <w:rsid w:val="002C0D9D"/>
    <w:rsid w:val="002C0DBC"/>
    <w:rsid w:val="002C134C"/>
    <w:rsid w:val="002C2E02"/>
    <w:rsid w:val="002C4811"/>
    <w:rsid w:val="002C4C56"/>
    <w:rsid w:val="002C58B2"/>
    <w:rsid w:val="002C5C6A"/>
    <w:rsid w:val="002C5F1E"/>
    <w:rsid w:val="002C5F21"/>
    <w:rsid w:val="002C6FC2"/>
    <w:rsid w:val="002C74A7"/>
    <w:rsid w:val="002D1946"/>
    <w:rsid w:val="002D265E"/>
    <w:rsid w:val="002D2C71"/>
    <w:rsid w:val="002D3E44"/>
    <w:rsid w:val="002D439A"/>
    <w:rsid w:val="002D68B7"/>
    <w:rsid w:val="002D71CC"/>
    <w:rsid w:val="002D7524"/>
    <w:rsid w:val="002E08E7"/>
    <w:rsid w:val="002E16AD"/>
    <w:rsid w:val="002E27CB"/>
    <w:rsid w:val="002E3B3E"/>
    <w:rsid w:val="002E4AD9"/>
    <w:rsid w:val="002E6778"/>
    <w:rsid w:val="002E6ECB"/>
    <w:rsid w:val="002E6F73"/>
    <w:rsid w:val="002E73A9"/>
    <w:rsid w:val="002E7CCD"/>
    <w:rsid w:val="002F1405"/>
    <w:rsid w:val="002F1E4D"/>
    <w:rsid w:val="002F26BF"/>
    <w:rsid w:val="002F2E39"/>
    <w:rsid w:val="002F3149"/>
    <w:rsid w:val="002F31E6"/>
    <w:rsid w:val="002F48B6"/>
    <w:rsid w:val="002F4D82"/>
    <w:rsid w:val="002F4ECA"/>
    <w:rsid w:val="002F5042"/>
    <w:rsid w:val="002F5276"/>
    <w:rsid w:val="002F6939"/>
    <w:rsid w:val="002F7118"/>
    <w:rsid w:val="002F7462"/>
    <w:rsid w:val="002F7F03"/>
    <w:rsid w:val="00300756"/>
    <w:rsid w:val="00300901"/>
    <w:rsid w:val="00300CA4"/>
    <w:rsid w:val="003013D6"/>
    <w:rsid w:val="003015EC"/>
    <w:rsid w:val="00301F5F"/>
    <w:rsid w:val="00302018"/>
    <w:rsid w:val="0030319D"/>
    <w:rsid w:val="003037BB"/>
    <w:rsid w:val="00303E2A"/>
    <w:rsid w:val="00304E6A"/>
    <w:rsid w:val="003059F5"/>
    <w:rsid w:val="00305B5B"/>
    <w:rsid w:val="003068C6"/>
    <w:rsid w:val="00307485"/>
    <w:rsid w:val="00307D98"/>
    <w:rsid w:val="00311F68"/>
    <w:rsid w:val="00312568"/>
    <w:rsid w:val="0031381A"/>
    <w:rsid w:val="00313862"/>
    <w:rsid w:val="00313F1D"/>
    <w:rsid w:val="00314056"/>
    <w:rsid w:val="00314905"/>
    <w:rsid w:val="003149D7"/>
    <w:rsid w:val="00314EAF"/>
    <w:rsid w:val="003152D4"/>
    <w:rsid w:val="00315BC7"/>
    <w:rsid w:val="0031654E"/>
    <w:rsid w:val="003167B1"/>
    <w:rsid w:val="00317617"/>
    <w:rsid w:val="00321133"/>
    <w:rsid w:val="00321F78"/>
    <w:rsid w:val="003224BF"/>
    <w:rsid w:val="00322AD9"/>
    <w:rsid w:val="003231F3"/>
    <w:rsid w:val="003243C9"/>
    <w:rsid w:val="00324B6E"/>
    <w:rsid w:val="00324D2F"/>
    <w:rsid w:val="003253F5"/>
    <w:rsid w:val="0032548B"/>
    <w:rsid w:val="003254A7"/>
    <w:rsid w:val="00326129"/>
    <w:rsid w:val="0032619A"/>
    <w:rsid w:val="00326976"/>
    <w:rsid w:val="0032717B"/>
    <w:rsid w:val="0032796D"/>
    <w:rsid w:val="003308E6"/>
    <w:rsid w:val="003310C7"/>
    <w:rsid w:val="003323D1"/>
    <w:rsid w:val="0033244B"/>
    <w:rsid w:val="00332625"/>
    <w:rsid w:val="00333854"/>
    <w:rsid w:val="00333A2E"/>
    <w:rsid w:val="00335D56"/>
    <w:rsid w:val="00336132"/>
    <w:rsid w:val="003361DE"/>
    <w:rsid w:val="003365CB"/>
    <w:rsid w:val="0033689C"/>
    <w:rsid w:val="00336F47"/>
    <w:rsid w:val="00337BE8"/>
    <w:rsid w:val="00340648"/>
    <w:rsid w:val="003406C7"/>
    <w:rsid w:val="003408AE"/>
    <w:rsid w:val="00341CDD"/>
    <w:rsid w:val="00341DF3"/>
    <w:rsid w:val="003435BD"/>
    <w:rsid w:val="00343FD4"/>
    <w:rsid w:val="00344DBC"/>
    <w:rsid w:val="00344E91"/>
    <w:rsid w:val="003463AB"/>
    <w:rsid w:val="003469B3"/>
    <w:rsid w:val="00346BDB"/>
    <w:rsid w:val="00347CBE"/>
    <w:rsid w:val="0035008E"/>
    <w:rsid w:val="00352101"/>
    <w:rsid w:val="00352416"/>
    <w:rsid w:val="00352A98"/>
    <w:rsid w:val="00352E88"/>
    <w:rsid w:val="00352F5B"/>
    <w:rsid w:val="003536FC"/>
    <w:rsid w:val="0035568A"/>
    <w:rsid w:val="0035584D"/>
    <w:rsid w:val="00355E8C"/>
    <w:rsid w:val="003569AA"/>
    <w:rsid w:val="00360D14"/>
    <w:rsid w:val="00360E4A"/>
    <w:rsid w:val="0036156B"/>
    <w:rsid w:val="0036178A"/>
    <w:rsid w:val="00361F3C"/>
    <w:rsid w:val="003623C3"/>
    <w:rsid w:val="0036274A"/>
    <w:rsid w:val="0036297F"/>
    <w:rsid w:val="00362FAE"/>
    <w:rsid w:val="00363067"/>
    <w:rsid w:val="00363618"/>
    <w:rsid w:val="00364681"/>
    <w:rsid w:val="003671C8"/>
    <w:rsid w:val="00367384"/>
    <w:rsid w:val="00367B14"/>
    <w:rsid w:val="00367E9D"/>
    <w:rsid w:val="0037032B"/>
    <w:rsid w:val="0037095F"/>
    <w:rsid w:val="003717A7"/>
    <w:rsid w:val="003717FA"/>
    <w:rsid w:val="003728A7"/>
    <w:rsid w:val="00372EA9"/>
    <w:rsid w:val="00373397"/>
    <w:rsid w:val="00373C45"/>
    <w:rsid w:val="003741FB"/>
    <w:rsid w:val="0037490A"/>
    <w:rsid w:val="003762F8"/>
    <w:rsid w:val="003768CD"/>
    <w:rsid w:val="00376D91"/>
    <w:rsid w:val="0037714E"/>
    <w:rsid w:val="003771C3"/>
    <w:rsid w:val="00377852"/>
    <w:rsid w:val="0038137F"/>
    <w:rsid w:val="003813C1"/>
    <w:rsid w:val="00381833"/>
    <w:rsid w:val="00381840"/>
    <w:rsid w:val="003819AE"/>
    <w:rsid w:val="00382922"/>
    <w:rsid w:val="00382959"/>
    <w:rsid w:val="0038295C"/>
    <w:rsid w:val="00382984"/>
    <w:rsid w:val="003835AB"/>
    <w:rsid w:val="00383789"/>
    <w:rsid w:val="003839B8"/>
    <w:rsid w:val="003844FC"/>
    <w:rsid w:val="00384AB3"/>
    <w:rsid w:val="003850B0"/>
    <w:rsid w:val="00385BFA"/>
    <w:rsid w:val="00385C64"/>
    <w:rsid w:val="00387F8E"/>
    <w:rsid w:val="003901DE"/>
    <w:rsid w:val="0039056F"/>
    <w:rsid w:val="00390888"/>
    <w:rsid w:val="00390CC3"/>
    <w:rsid w:val="0039100D"/>
    <w:rsid w:val="003910D4"/>
    <w:rsid w:val="003917ED"/>
    <w:rsid w:val="003919D2"/>
    <w:rsid w:val="0039281C"/>
    <w:rsid w:val="00392851"/>
    <w:rsid w:val="0039293D"/>
    <w:rsid w:val="003935EA"/>
    <w:rsid w:val="003940D7"/>
    <w:rsid w:val="00395299"/>
    <w:rsid w:val="00395514"/>
    <w:rsid w:val="00396485"/>
    <w:rsid w:val="0039686C"/>
    <w:rsid w:val="00397EC4"/>
    <w:rsid w:val="003A045F"/>
    <w:rsid w:val="003A3C9D"/>
    <w:rsid w:val="003A51DD"/>
    <w:rsid w:val="003A5B29"/>
    <w:rsid w:val="003A6CAD"/>
    <w:rsid w:val="003A727E"/>
    <w:rsid w:val="003A74B2"/>
    <w:rsid w:val="003A7791"/>
    <w:rsid w:val="003B034C"/>
    <w:rsid w:val="003B04A3"/>
    <w:rsid w:val="003B0EA1"/>
    <w:rsid w:val="003B170E"/>
    <w:rsid w:val="003B1DC6"/>
    <w:rsid w:val="003B3DBC"/>
    <w:rsid w:val="003B45D7"/>
    <w:rsid w:val="003B496C"/>
    <w:rsid w:val="003B628E"/>
    <w:rsid w:val="003B71F7"/>
    <w:rsid w:val="003B72A1"/>
    <w:rsid w:val="003B780F"/>
    <w:rsid w:val="003B7E81"/>
    <w:rsid w:val="003B7EB6"/>
    <w:rsid w:val="003C02B6"/>
    <w:rsid w:val="003C115F"/>
    <w:rsid w:val="003C122F"/>
    <w:rsid w:val="003C1B6B"/>
    <w:rsid w:val="003C2E7B"/>
    <w:rsid w:val="003C3C8B"/>
    <w:rsid w:val="003C451D"/>
    <w:rsid w:val="003C49B6"/>
    <w:rsid w:val="003C4D81"/>
    <w:rsid w:val="003C4E01"/>
    <w:rsid w:val="003C56D5"/>
    <w:rsid w:val="003C5719"/>
    <w:rsid w:val="003C5D32"/>
    <w:rsid w:val="003C620E"/>
    <w:rsid w:val="003C6310"/>
    <w:rsid w:val="003C6739"/>
    <w:rsid w:val="003C67C9"/>
    <w:rsid w:val="003C7BCA"/>
    <w:rsid w:val="003C7F21"/>
    <w:rsid w:val="003D000A"/>
    <w:rsid w:val="003D060F"/>
    <w:rsid w:val="003D0875"/>
    <w:rsid w:val="003D1E7D"/>
    <w:rsid w:val="003D2357"/>
    <w:rsid w:val="003D260F"/>
    <w:rsid w:val="003D2970"/>
    <w:rsid w:val="003D3B41"/>
    <w:rsid w:val="003D47D6"/>
    <w:rsid w:val="003D47EF"/>
    <w:rsid w:val="003D4BFF"/>
    <w:rsid w:val="003D5740"/>
    <w:rsid w:val="003D593B"/>
    <w:rsid w:val="003D5DEF"/>
    <w:rsid w:val="003E054D"/>
    <w:rsid w:val="003E1C0F"/>
    <w:rsid w:val="003E279A"/>
    <w:rsid w:val="003E308E"/>
    <w:rsid w:val="003E3E45"/>
    <w:rsid w:val="003E4597"/>
    <w:rsid w:val="003E4D10"/>
    <w:rsid w:val="003E517E"/>
    <w:rsid w:val="003E53FA"/>
    <w:rsid w:val="003E62FB"/>
    <w:rsid w:val="003E67D0"/>
    <w:rsid w:val="003E6FE7"/>
    <w:rsid w:val="003E7272"/>
    <w:rsid w:val="003E737F"/>
    <w:rsid w:val="003E767A"/>
    <w:rsid w:val="003E76A7"/>
    <w:rsid w:val="003E7904"/>
    <w:rsid w:val="003F07A5"/>
    <w:rsid w:val="003F0A21"/>
    <w:rsid w:val="003F0D32"/>
    <w:rsid w:val="003F1FA6"/>
    <w:rsid w:val="003F2113"/>
    <w:rsid w:val="003F23F8"/>
    <w:rsid w:val="003F282D"/>
    <w:rsid w:val="003F4A4F"/>
    <w:rsid w:val="003F5485"/>
    <w:rsid w:val="003F55CB"/>
    <w:rsid w:val="003F5C59"/>
    <w:rsid w:val="003F6B6B"/>
    <w:rsid w:val="003F6FAC"/>
    <w:rsid w:val="003F7D69"/>
    <w:rsid w:val="0040023E"/>
    <w:rsid w:val="004003BD"/>
    <w:rsid w:val="00400417"/>
    <w:rsid w:val="004006AC"/>
    <w:rsid w:val="004023CB"/>
    <w:rsid w:val="004027F5"/>
    <w:rsid w:val="00403C1C"/>
    <w:rsid w:val="0040407E"/>
    <w:rsid w:val="0040410C"/>
    <w:rsid w:val="00404812"/>
    <w:rsid w:val="004052D1"/>
    <w:rsid w:val="00405403"/>
    <w:rsid w:val="0040548A"/>
    <w:rsid w:val="0040592E"/>
    <w:rsid w:val="004059E3"/>
    <w:rsid w:val="00406401"/>
    <w:rsid w:val="00406C0D"/>
    <w:rsid w:val="00406C20"/>
    <w:rsid w:val="0040722F"/>
    <w:rsid w:val="004072F7"/>
    <w:rsid w:val="00410059"/>
    <w:rsid w:val="00410D78"/>
    <w:rsid w:val="004139D0"/>
    <w:rsid w:val="00414C0B"/>
    <w:rsid w:val="00415063"/>
    <w:rsid w:val="00415334"/>
    <w:rsid w:val="004156A0"/>
    <w:rsid w:val="0041658A"/>
    <w:rsid w:val="00416595"/>
    <w:rsid w:val="00416A07"/>
    <w:rsid w:val="00416A31"/>
    <w:rsid w:val="00417570"/>
    <w:rsid w:val="004176AD"/>
    <w:rsid w:val="00417989"/>
    <w:rsid w:val="00417BC1"/>
    <w:rsid w:val="00420492"/>
    <w:rsid w:val="004209FF"/>
    <w:rsid w:val="00420B48"/>
    <w:rsid w:val="00422A54"/>
    <w:rsid w:val="0042318B"/>
    <w:rsid w:val="00423DA3"/>
    <w:rsid w:val="004243E1"/>
    <w:rsid w:val="00425911"/>
    <w:rsid w:val="00425CD1"/>
    <w:rsid w:val="00430465"/>
    <w:rsid w:val="00430666"/>
    <w:rsid w:val="00430A28"/>
    <w:rsid w:val="00431F3C"/>
    <w:rsid w:val="00432F3B"/>
    <w:rsid w:val="00432FB2"/>
    <w:rsid w:val="00433064"/>
    <w:rsid w:val="0043334B"/>
    <w:rsid w:val="00433D3F"/>
    <w:rsid w:val="00434533"/>
    <w:rsid w:val="00434535"/>
    <w:rsid w:val="0043498F"/>
    <w:rsid w:val="004367B8"/>
    <w:rsid w:val="00436D84"/>
    <w:rsid w:val="00437D0C"/>
    <w:rsid w:val="00437F28"/>
    <w:rsid w:val="004400F2"/>
    <w:rsid w:val="004408D3"/>
    <w:rsid w:val="00441CB8"/>
    <w:rsid w:val="00441D89"/>
    <w:rsid w:val="00442089"/>
    <w:rsid w:val="0044269C"/>
    <w:rsid w:val="00442C80"/>
    <w:rsid w:val="004434E7"/>
    <w:rsid w:val="004447EA"/>
    <w:rsid w:val="004448EE"/>
    <w:rsid w:val="00444CE0"/>
    <w:rsid w:val="00445FFD"/>
    <w:rsid w:val="0044690D"/>
    <w:rsid w:val="00446DC1"/>
    <w:rsid w:val="00446F53"/>
    <w:rsid w:val="004471F0"/>
    <w:rsid w:val="00447DFF"/>
    <w:rsid w:val="00451528"/>
    <w:rsid w:val="0045170C"/>
    <w:rsid w:val="00451AB8"/>
    <w:rsid w:val="00452392"/>
    <w:rsid w:val="0045261B"/>
    <w:rsid w:val="00452B9D"/>
    <w:rsid w:val="00452D2B"/>
    <w:rsid w:val="00453E39"/>
    <w:rsid w:val="004541B3"/>
    <w:rsid w:val="004543BA"/>
    <w:rsid w:val="00454C89"/>
    <w:rsid w:val="00454D4B"/>
    <w:rsid w:val="00455B72"/>
    <w:rsid w:val="004571F9"/>
    <w:rsid w:val="00457BF1"/>
    <w:rsid w:val="00460B46"/>
    <w:rsid w:val="00460FAC"/>
    <w:rsid w:val="004614E8"/>
    <w:rsid w:val="0046197F"/>
    <w:rsid w:val="00461EE3"/>
    <w:rsid w:val="0046207D"/>
    <w:rsid w:val="004625A4"/>
    <w:rsid w:val="00462E09"/>
    <w:rsid w:val="00464EEA"/>
    <w:rsid w:val="0046551C"/>
    <w:rsid w:val="00466805"/>
    <w:rsid w:val="00466CD8"/>
    <w:rsid w:val="00467221"/>
    <w:rsid w:val="00467986"/>
    <w:rsid w:val="00467D73"/>
    <w:rsid w:val="00470D13"/>
    <w:rsid w:val="00470E96"/>
    <w:rsid w:val="004719E4"/>
    <w:rsid w:val="00471CFD"/>
    <w:rsid w:val="00472669"/>
    <w:rsid w:val="00472B8C"/>
    <w:rsid w:val="0047459A"/>
    <w:rsid w:val="00474966"/>
    <w:rsid w:val="00474A88"/>
    <w:rsid w:val="00475011"/>
    <w:rsid w:val="00475842"/>
    <w:rsid w:val="004769A7"/>
    <w:rsid w:val="00476FD5"/>
    <w:rsid w:val="00477FA0"/>
    <w:rsid w:val="00480948"/>
    <w:rsid w:val="00480A47"/>
    <w:rsid w:val="00480A79"/>
    <w:rsid w:val="00481F73"/>
    <w:rsid w:val="00482132"/>
    <w:rsid w:val="00483363"/>
    <w:rsid w:val="00483574"/>
    <w:rsid w:val="00483A4E"/>
    <w:rsid w:val="00484CB3"/>
    <w:rsid w:val="00485304"/>
    <w:rsid w:val="00485B84"/>
    <w:rsid w:val="004860D7"/>
    <w:rsid w:val="00486BA6"/>
    <w:rsid w:val="004872DB"/>
    <w:rsid w:val="004872E3"/>
    <w:rsid w:val="00487E6E"/>
    <w:rsid w:val="00487F00"/>
    <w:rsid w:val="004900C4"/>
    <w:rsid w:val="00490551"/>
    <w:rsid w:val="004905B8"/>
    <w:rsid w:val="004908E5"/>
    <w:rsid w:val="0049111E"/>
    <w:rsid w:val="004927AE"/>
    <w:rsid w:val="00492A19"/>
    <w:rsid w:val="00492F25"/>
    <w:rsid w:val="0049447B"/>
    <w:rsid w:val="004949FA"/>
    <w:rsid w:val="00494A94"/>
    <w:rsid w:val="004951F2"/>
    <w:rsid w:val="004A0C69"/>
    <w:rsid w:val="004A114D"/>
    <w:rsid w:val="004A1502"/>
    <w:rsid w:val="004A1924"/>
    <w:rsid w:val="004A3DC6"/>
    <w:rsid w:val="004A3E59"/>
    <w:rsid w:val="004A4526"/>
    <w:rsid w:val="004A4A9F"/>
    <w:rsid w:val="004A4E13"/>
    <w:rsid w:val="004A4F54"/>
    <w:rsid w:val="004A5F84"/>
    <w:rsid w:val="004A6137"/>
    <w:rsid w:val="004A63A1"/>
    <w:rsid w:val="004A6A58"/>
    <w:rsid w:val="004A7012"/>
    <w:rsid w:val="004A729B"/>
    <w:rsid w:val="004B040F"/>
    <w:rsid w:val="004B05B8"/>
    <w:rsid w:val="004B081E"/>
    <w:rsid w:val="004B11BC"/>
    <w:rsid w:val="004B158F"/>
    <w:rsid w:val="004B2100"/>
    <w:rsid w:val="004B32A9"/>
    <w:rsid w:val="004B3431"/>
    <w:rsid w:val="004B3533"/>
    <w:rsid w:val="004B356B"/>
    <w:rsid w:val="004B37D8"/>
    <w:rsid w:val="004B3D29"/>
    <w:rsid w:val="004B4256"/>
    <w:rsid w:val="004B4B11"/>
    <w:rsid w:val="004B4E34"/>
    <w:rsid w:val="004B511F"/>
    <w:rsid w:val="004B5E18"/>
    <w:rsid w:val="004B5EE7"/>
    <w:rsid w:val="004B6575"/>
    <w:rsid w:val="004B6804"/>
    <w:rsid w:val="004B7C94"/>
    <w:rsid w:val="004C2672"/>
    <w:rsid w:val="004C30DE"/>
    <w:rsid w:val="004C3B78"/>
    <w:rsid w:val="004C3EB4"/>
    <w:rsid w:val="004C4B29"/>
    <w:rsid w:val="004C4BC5"/>
    <w:rsid w:val="004C553D"/>
    <w:rsid w:val="004C6856"/>
    <w:rsid w:val="004C6943"/>
    <w:rsid w:val="004C6A4E"/>
    <w:rsid w:val="004C6AED"/>
    <w:rsid w:val="004D054C"/>
    <w:rsid w:val="004D0B6D"/>
    <w:rsid w:val="004D216A"/>
    <w:rsid w:val="004D2240"/>
    <w:rsid w:val="004D2F99"/>
    <w:rsid w:val="004D46E0"/>
    <w:rsid w:val="004D4728"/>
    <w:rsid w:val="004D4C2C"/>
    <w:rsid w:val="004D5E29"/>
    <w:rsid w:val="004D61AE"/>
    <w:rsid w:val="004D6922"/>
    <w:rsid w:val="004D72B2"/>
    <w:rsid w:val="004D7DB2"/>
    <w:rsid w:val="004E0AB0"/>
    <w:rsid w:val="004E0E40"/>
    <w:rsid w:val="004E134F"/>
    <w:rsid w:val="004E1864"/>
    <w:rsid w:val="004E1C5C"/>
    <w:rsid w:val="004E2C3C"/>
    <w:rsid w:val="004E38D4"/>
    <w:rsid w:val="004E474E"/>
    <w:rsid w:val="004E4943"/>
    <w:rsid w:val="004E520C"/>
    <w:rsid w:val="004E5606"/>
    <w:rsid w:val="004E6542"/>
    <w:rsid w:val="004E71E6"/>
    <w:rsid w:val="004E7CA2"/>
    <w:rsid w:val="004E7CF1"/>
    <w:rsid w:val="004F12C9"/>
    <w:rsid w:val="004F1DE9"/>
    <w:rsid w:val="004F1E9C"/>
    <w:rsid w:val="004F31B7"/>
    <w:rsid w:val="004F43C9"/>
    <w:rsid w:val="004F5B81"/>
    <w:rsid w:val="004F6369"/>
    <w:rsid w:val="004F6662"/>
    <w:rsid w:val="004F6DDD"/>
    <w:rsid w:val="004F7753"/>
    <w:rsid w:val="004F7C4F"/>
    <w:rsid w:val="004F7F02"/>
    <w:rsid w:val="00500AFD"/>
    <w:rsid w:val="005015ED"/>
    <w:rsid w:val="00501632"/>
    <w:rsid w:val="00501ED9"/>
    <w:rsid w:val="00502285"/>
    <w:rsid w:val="005035C3"/>
    <w:rsid w:val="005047B3"/>
    <w:rsid w:val="00504C8C"/>
    <w:rsid w:val="005053EA"/>
    <w:rsid w:val="0050548F"/>
    <w:rsid w:val="00506111"/>
    <w:rsid w:val="00506738"/>
    <w:rsid w:val="00507237"/>
    <w:rsid w:val="005079C8"/>
    <w:rsid w:val="005079F0"/>
    <w:rsid w:val="005079FE"/>
    <w:rsid w:val="005104AA"/>
    <w:rsid w:val="0051193A"/>
    <w:rsid w:val="00511A08"/>
    <w:rsid w:val="00512A4B"/>
    <w:rsid w:val="00512B34"/>
    <w:rsid w:val="00513CDB"/>
    <w:rsid w:val="00514A34"/>
    <w:rsid w:val="00514AF4"/>
    <w:rsid w:val="00514B54"/>
    <w:rsid w:val="00516153"/>
    <w:rsid w:val="00516684"/>
    <w:rsid w:val="00516BBC"/>
    <w:rsid w:val="005210B7"/>
    <w:rsid w:val="00521472"/>
    <w:rsid w:val="00521E9D"/>
    <w:rsid w:val="00521F04"/>
    <w:rsid w:val="00522D79"/>
    <w:rsid w:val="00522F2F"/>
    <w:rsid w:val="00524625"/>
    <w:rsid w:val="0052679C"/>
    <w:rsid w:val="0052780C"/>
    <w:rsid w:val="0052782D"/>
    <w:rsid w:val="00527F33"/>
    <w:rsid w:val="00531067"/>
    <w:rsid w:val="00531133"/>
    <w:rsid w:val="0053125F"/>
    <w:rsid w:val="00531A3A"/>
    <w:rsid w:val="00532192"/>
    <w:rsid w:val="005331BF"/>
    <w:rsid w:val="00533AA2"/>
    <w:rsid w:val="00533BDB"/>
    <w:rsid w:val="00534C78"/>
    <w:rsid w:val="00534D8C"/>
    <w:rsid w:val="00535479"/>
    <w:rsid w:val="00535D9A"/>
    <w:rsid w:val="00535F33"/>
    <w:rsid w:val="00537146"/>
    <w:rsid w:val="00537966"/>
    <w:rsid w:val="005402FF"/>
    <w:rsid w:val="00540397"/>
    <w:rsid w:val="00540D72"/>
    <w:rsid w:val="0054140D"/>
    <w:rsid w:val="00541826"/>
    <w:rsid w:val="005418A1"/>
    <w:rsid w:val="00541E14"/>
    <w:rsid w:val="005420A6"/>
    <w:rsid w:val="00542CE1"/>
    <w:rsid w:val="005434A2"/>
    <w:rsid w:val="00543A76"/>
    <w:rsid w:val="00544E11"/>
    <w:rsid w:val="00545282"/>
    <w:rsid w:val="0054558B"/>
    <w:rsid w:val="0054606A"/>
    <w:rsid w:val="0054674A"/>
    <w:rsid w:val="00547B74"/>
    <w:rsid w:val="00551726"/>
    <w:rsid w:val="00551C1F"/>
    <w:rsid w:val="00553057"/>
    <w:rsid w:val="00556DC8"/>
    <w:rsid w:val="00557010"/>
    <w:rsid w:val="00560636"/>
    <w:rsid w:val="005607C0"/>
    <w:rsid w:val="005629C7"/>
    <w:rsid w:val="00563073"/>
    <w:rsid w:val="00563789"/>
    <w:rsid w:val="005651F0"/>
    <w:rsid w:val="00565B65"/>
    <w:rsid w:val="00566BBB"/>
    <w:rsid w:val="00571085"/>
    <w:rsid w:val="00571B0F"/>
    <w:rsid w:val="00572242"/>
    <w:rsid w:val="0057244D"/>
    <w:rsid w:val="0057306E"/>
    <w:rsid w:val="00573166"/>
    <w:rsid w:val="00573807"/>
    <w:rsid w:val="005748C5"/>
    <w:rsid w:val="005762DF"/>
    <w:rsid w:val="00576340"/>
    <w:rsid w:val="005765A5"/>
    <w:rsid w:val="00576B6D"/>
    <w:rsid w:val="0057793C"/>
    <w:rsid w:val="0058035C"/>
    <w:rsid w:val="00580A22"/>
    <w:rsid w:val="00580E5F"/>
    <w:rsid w:val="00581A1E"/>
    <w:rsid w:val="00581FE9"/>
    <w:rsid w:val="00582434"/>
    <w:rsid w:val="0058332A"/>
    <w:rsid w:val="005852A9"/>
    <w:rsid w:val="00585356"/>
    <w:rsid w:val="00585D7C"/>
    <w:rsid w:val="00586EB2"/>
    <w:rsid w:val="00587131"/>
    <w:rsid w:val="00587A43"/>
    <w:rsid w:val="00590121"/>
    <w:rsid w:val="0059102F"/>
    <w:rsid w:val="005917CA"/>
    <w:rsid w:val="00592358"/>
    <w:rsid w:val="005937F4"/>
    <w:rsid w:val="0059479A"/>
    <w:rsid w:val="00594A2A"/>
    <w:rsid w:val="00594F15"/>
    <w:rsid w:val="00595021"/>
    <w:rsid w:val="005953B3"/>
    <w:rsid w:val="005955BD"/>
    <w:rsid w:val="00595DE3"/>
    <w:rsid w:val="00596304"/>
    <w:rsid w:val="00597EE0"/>
    <w:rsid w:val="005A15A3"/>
    <w:rsid w:val="005A15A6"/>
    <w:rsid w:val="005A2096"/>
    <w:rsid w:val="005A29DF"/>
    <w:rsid w:val="005A3F85"/>
    <w:rsid w:val="005A664A"/>
    <w:rsid w:val="005A6BF4"/>
    <w:rsid w:val="005A71E4"/>
    <w:rsid w:val="005A7584"/>
    <w:rsid w:val="005B034C"/>
    <w:rsid w:val="005B112A"/>
    <w:rsid w:val="005B1BA0"/>
    <w:rsid w:val="005B2B88"/>
    <w:rsid w:val="005B30E5"/>
    <w:rsid w:val="005B3AF2"/>
    <w:rsid w:val="005B47B0"/>
    <w:rsid w:val="005B4971"/>
    <w:rsid w:val="005B4B26"/>
    <w:rsid w:val="005B6686"/>
    <w:rsid w:val="005C0A06"/>
    <w:rsid w:val="005C1FF8"/>
    <w:rsid w:val="005C29A5"/>
    <w:rsid w:val="005C2E72"/>
    <w:rsid w:val="005C432C"/>
    <w:rsid w:val="005C5895"/>
    <w:rsid w:val="005C58F6"/>
    <w:rsid w:val="005C68C3"/>
    <w:rsid w:val="005C6954"/>
    <w:rsid w:val="005C6D38"/>
    <w:rsid w:val="005C7119"/>
    <w:rsid w:val="005C7187"/>
    <w:rsid w:val="005C74CF"/>
    <w:rsid w:val="005D02C8"/>
    <w:rsid w:val="005D05A9"/>
    <w:rsid w:val="005D084A"/>
    <w:rsid w:val="005D10CB"/>
    <w:rsid w:val="005D2700"/>
    <w:rsid w:val="005D2AAE"/>
    <w:rsid w:val="005D3AA6"/>
    <w:rsid w:val="005D42E9"/>
    <w:rsid w:val="005D46E4"/>
    <w:rsid w:val="005D4F98"/>
    <w:rsid w:val="005D5B27"/>
    <w:rsid w:val="005D6DFF"/>
    <w:rsid w:val="005E0B65"/>
    <w:rsid w:val="005E1313"/>
    <w:rsid w:val="005E1A47"/>
    <w:rsid w:val="005E1A85"/>
    <w:rsid w:val="005E33E4"/>
    <w:rsid w:val="005E359E"/>
    <w:rsid w:val="005E3C76"/>
    <w:rsid w:val="005E3D0F"/>
    <w:rsid w:val="005E435F"/>
    <w:rsid w:val="005E481B"/>
    <w:rsid w:val="005E497C"/>
    <w:rsid w:val="005E52B7"/>
    <w:rsid w:val="005E5A00"/>
    <w:rsid w:val="005E6D92"/>
    <w:rsid w:val="005E6EE1"/>
    <w:rsid w:val="005E73D0"/>
    <w:rsid w:val="005E7B91"/>
    <w:rsid w:val="005E7C70"/>
    <w:rsid w:val="005F0FFA"/>
    <w:rsid w:val="005F18D4"/>
    <w:rsid w:val="005F1A47"/>
    <w:rsid w:val="005F1A64"/>
    <w:rsid w:val="005F1F53"/>
    <w:rsid w:val="005F21D8"/>
    <w:rsid w:val="005F2D04"/>
    <w:rsid w:val="005F33D2"/>
    <w:rsid w:val="005F3CEA"/>
    <w:rsid w:val="005F3F48"/>
    <w:rsid w:val="005F4084"/>
    <w:rsid w:val="005F457A"/>
    <w:rsid w:val="005F70EF"/>
    <w:rsid w:val="005F7537"/>
    <w:rsid w:val="005F7BB0"/>
    <w:rsid w:val="005F7D22"/>
    <w:rsid w:val="00602046"/>
    <w:rsid w:val="00602134"/>
    <w:rsid w:val="006035AD"/>
    <w:rsid w:val="00603AA8"/>
    <w:rsid w:val="0060408D"/>
    <w:rsid w:val="00604222"/>
    <w:rsid w:val="00605AD6"/>
    <w:rsid w:val="00605DF9"/>
    <w:rsid w:val="00607353"/>
    <w:rsid w:val="00607625"/>
    <w:rsid w:val="006105B6"/>
    <w:rsid w:val="00610914"/>
    <w:rsid w:val="006114B9"/>
    <w:rsid w:val="00611CAC"/>
    <w:rsid w:val="00612283"/>
    <w:rsid w:val="00613805"/>
    <w:rsid w:val="00613DD3"/>
    <w:rsid w:val="00615D21"/>
    <w:rsid w:val="0061609E"/>
    <w:rsid w:val="00616469"/>
    <w:rsid w:val="00620145"/>
    <w:rsid w:val="00620877"/>
    <w:rsid w:val="0062145B"/>
    <w:rsid w:val="00621FA5"/>
    <w:rsid w:val="006242A4"/>
    <w:rsid w:val="00624393"/>
    <w:rsid w:val="00624F67"/>
    <w:rsid w:val="00626E60"/>
    <w:rsid w:val="00627783"/>
    <w:rsid w:val="00630E5F"/>
    <w:rsid w:val="00631023"/>
    <w:rsid w:val="00631C5E"/>
    <w:rsid w:val="00632C58"/>
    <w:rsid w:val="006352BF"/>
    <w:rsid w:val="0063669F"/>
    <w:rsid w:val="00636861"/>
    <w:rsid w:val="00636C90"/>
    <w:rsid w:val="00636DED"/>
    <w:rsid w:val="00636EAD"/>
    <w:rsid w:val="006400C4"/>
    <w:rsid w:val="00640B92"/>
    <w:rsid w:val="00640D63"/>
    <w:rsid w:val="00641E54"/>
    <w:rsid w:val="00642173"/>
    <w:rsid w:val="00642F50"/>
    <w:rsid w:val="00644160"/>
    <w:rsid w:val="00644200"/>
    <w:rsid w:val="0064424B"/>
    <w:rsid w:val="006442D2"/>
    <w:rsid w:val="006442EE"/>
    <w:rsid w:val="006443A0"/>
    <w:rsid w:val="00644494"/>
    <w:rsid w:val="006455ED"/>
    <w:rsid w:val="006458EC"/>
    <w:rsid w:val="00646621"/>
    <w:rsid w:val="00646C32"/>
    <w:rsid w:val="00647E02"/>
    <w:rsid w:val="006517C4"/>
    <w:rsid w:val="00652AD3"/>
    <w:rsid w:val="00652BEA"/>
    <w:rsid w:val="00652E5B"/>
    <w:rsid w:val="00653431"/>
    <w:rsid w:val="00653A44"/>
    <w:rsid w:val="00653FC4"/>
    <w:rsid w:val="006541BA"/>
    <w:rsid w:val="006549EB"/>
    <w:rsid w:val="00655CE9"/>
    <w:rsid w:val="00657748"/>
    <w:rsid w:val="00657961"/>
    <w:rsid w:val="0066148E"/>
    <w:rsid w:val="00661AB1"/>
    <w:rsid w:val="00661AD9"/>
    <w:rsid w:val="00661C1A"/>
    <w:rsid w:val="00662486"/>
    <w:rsid w:val="00663357"/>
    <w:rsid w:val="0066370C"/>
    <w:rsid w:val="00664183"/>
    <w:rsid w:val="00664327"/>
    <w:rsid w:val="00664F78"/>
    <w:rsid w:val="006655B8"/>
    <w:rsid w:val="00665D47"/>
    <w:rsid w:val="00665D97"/>
    <w:rsid w:val="006666E3"/>
    <w:rsid w:val="00666F25"/>
    <w:rsid w:val="006676F8"/>
    <w:rsid w:val="00667DF5"/>
    <w:rsid w:val="006700B1"/>
    <w:rsid w:val="006703C0"/>
    <w:rsid w:val="00673238"/>
    <w:rsid w:val="006735CE"/>
    <w:rsid w:val="00673D86"/>
    <w:rsid w:val="006740A1"/>
    <w:rsid w:val="006742A5"/>
    <w:rsid w:val="0067442B"/>
    <w:rsid w:val="00674B41"/>
    <w:rsid w:val="00674E78"/>
    <w:rsid w:val="00677017"/>
    <w:rsid w:val="00680DCE"/>
    <w:rsid w:val="006818C2"/>
    <w:rsid w:val="00682FA0"/>
    <w:rsid w:val="0068305C"/>
    <w:rsid w:val="00683DE4"/>
    <w:rsid w:val="00684255"/>
    <w:rsid w:val="00684357"/>
    <w:rsid w:val="00684DDD"/>
    <w:rsid w:val="0068561C"/>
    <w:rsid w:val="00685BA5"/>
    <w:rsid w:val="00686640"/>
    <w:rsid w:val="006875CA"/>
    <w:rsid w:val="00687E55"/>
    <w:rsid w:val="00690C97"/>
    <w:rsid w:val="00690D2E"/>
    <w:rsid w:val="00690FAB"/>
    <w:rsid w:val="00691062"/>
    <w:rsid w:val="00691074"/>
    <w:rsid w:val="0069130A"/>
    <w:rsid w:val="006920E8"/>
    <w:rsid w:val="00692246"/>
    <w:rsid w:val="00692450"/>
    <w:rsid w:val="00692471"/>
    <w:rsid w:val="00692BD4"/>
    <w:rsid w:val="00692C54"/>
    <w:rsid w:val="00692D67"/>
    <w:rsid w:val="0069317E"/>
    <w:rsid w:val="006935B1"/>
    <w:rsid w:val="00693D8F"/>
    <w:rsid w:val="00694B88"/>
    <w:rsid w:val="0069532C"/>
    <w:rsid w:val="0069591A"/>
    <w:rsid w:val="00695C48"/>
    <w:rsid w:val="006967D6"/>
    <w:rsid w:val="0069692E"/>
    <w:rsid w:val="00697714"/>
    <w:rsid w:val="006A0152"/>
    <w:rsid w:val="006A0C8A"/>
    <w:rsid w:val="006A10DB"/>
    <w:rsid w:val="006A28F2"/>
    <w:rsid w:val="006A2E72"/>
    <w:rsid w:val="006A308C"/>
    <w:rsid w:val="006A56F8"/>
    <w:rsid w:val="006A632A"/>
    <w:rsid w:val="006A668E"/>
    <w:rsid w:val="006A6AE1"/>
    <w:rsid w:val="006A6EAE"/>
    <w:rsid w:val="006B0EF7"/>
    <w:rsid w:val="006B163F"/>
    <w:rsid w:val="006B1F2E"/>
    <w:rsid w:val="006B2050"/>
    <w:rsid w:val="006B2959"/>
    <w:rsid w:val="006B2B7F"/>
    <w:rsid w:val="006B2D60"/>
    <w:rsid w:val="006B3437"/>
    <w:rsid w:val="006B3604"/>
    <w:rsid w:val="006B423B"/>
    <w:rsid w:val="006B454C"/>
    <w:rsid w:val="006B7F16"/>
    <w:rsid w:val="006C01A5"/>
    <w:rsid w:val="006C04EE"/>
    <w:rsid w:val="006C06A1"/>
    <w:rsid w:val="006C1529"/>
    <w:rsid w:val="006C1DD0"/>
    <w:rsid w:val="006C23B5"/>
    <w:rsid w:val="006C268E"/>
    <w:rsid w:val="006C2B2F"/>
    <w:rsid w:val="006C2B32"/>
    <w:rsid w:val="006C3320"/>
    <w:rsid w:val="006C34B7"/>
    <w:rsid w:val="006C39C9"/>
    <w:rsid w:val="006C4E87"/>
    <w:rsid w:val="006C5370"/>
    <w:rsid w:val="006C59F9"/>
    <w:rsid w:val="006C5ADC"/>
    <w:rsid w:val="006C6699"/>
    <w:rsid w:val="006C6C1D"/>
    <w:rsid w:val="006C6D7B"/>
    <w:rsid w:val="006C7455"/>
    <w:rsid w:val="006D0478"/>
    <w:rsid w:val="006D09E2"/>
    <w:rsid w:val="006D1981"/>
    <w:rsid w:val="006D2C2C"/>
    <w:rsid w:val="006D3B7E"/>
    <w:rsid w:val="006D407D"/>
    <w:rsid w:val="006D4115"/>
    <w:rsid w:val="006D4387"/>
    <w:rsid w:val="006D6386"/>
    <w:rsid w:val="006D64D0"/>
    <w:rsid w:val="006D7744"/>
    <w:rsid w:val="006D7821"/>
    <w:rsid w:val="006D7842"/>
    <w:rsid w:val="006E2156"/>
    <w:rsid w:val="006E221C"/>
    <w:rsid w:val="006E28DB"/>
    <w:rsid w:val="006E2B2A"/>
    <w:rsid w:val="006E3718"/>
    <w:rsid w:val="006E39EA"/>
    <w:rsid w:val="006E3B65"/>
    <w:rsid w:val="006E4F28"/>
    <w:rsid w:val="006E52A3"/>
    <w:rsid w:val="006E592F"/>
    <w:rsid w:val="006E66C5"/>
    <w:rsid w:val="006F0D9E"/>
    <w:rsid w:val="006F0FBC"/>
    <w:rsid w:val="006F25E9"/>
    <w:rsid w:val="006F27E4"/>
    <w:rsid w:val="006F317C"/>
    <w:rsid w:val="006F374E"/>
    <w:rsid w:val="006F3A99"/>
    <w:rsid w:val="006F3EA4"/>
    <w:rsid w:val="006F42D6"/>
    <w:rsid w:val="006F4C02"/>
    <w:rsid w:val="006F553A"/>
    <w:rsid w:val="006F56DA"/>
    <w:rsid w:val="006F5ED1"/>
    <w:rsid w:val="006F67D6"/>
    <w:rsid w:val="006F6850"/>
    <w:rsid w:val="006F695D"/>
    <w:rsid w:val="006F76D4"/>
    <w:rsid w:val="006F7EBF"/>
    <w:rsid w:val="0070019D"/>
    <w:rsid w:val="007017BD"/>
    <w:rsid w:val="007017F8"/>
    <w:rsid w:val="00701E47"/>
    <w:rsid w:val="007021D1"/>
    <w:rsid w:val="0070370D"/>
    <w:rsid w:val="00704A21"/>
    <w:rsid w:val="00704EB5"/>
    <w:rsid w:val="00706AEC"/>
    <w:rsid w:val="00710627"/>
    <w:rsid w:val="007106D6"/>
    <w:rsid w:val="007119CE"/>
    <w:rsid w:val="00711D0E"/>
    <w:rsid w:val="0071466A"/>
    <w:rsid w:val="00715A38"/>
    <w:rsid w:val="00715A59"/>
    <w:rsid w:val="00715AB3"/>
    <w:rsid w:val="00716582"/>
    <w:rsid w:val="00716714"/>
    <w:rsid w:val="00716C86"/>
    <w:rsid w:val="00717A1C"/>
    <w:rsid w:val="00720A9B"/>
    <w:rsid w:val="00720D30"/>
    <w:rsid w:val="00721246"/>
    <w:rsid w:val="007218D3"/>
    <w:rsid w:val="00721A06"/>
    <w:rsid w:val="007225FB"/>
    <w:rsid w:val="007234B9"/>
    <w:rsid w:val="00724708"/>
    <w:rsid w:val="00724D29"/>
    <w:rsid w:val="007276E2"/>
    <w:rsid w:val="007279FC"/>
    <w:rsid w:val="00730232"/>
    <w:rsid w:val="00730856"/>
    <w:rsid w:val="00731207"/>
    <w:rsid w:val="00731619"/>
    <w:rsid w:val="00732538"/>
    <w:rsid w:val="00732831"/>
    <w:rsid w:val="00733E3F"/>
    <w:rsid w:val="00734575"/>
    <w:rsid w:val="00735920"/>
    <w:rsid w:val="00736B9E"/>
    <w:rsid w:val="00736FC5"/>
    <w:rsid w:val="007408ED"/>
    <w:rsid w:val="00740DC1"/>
    <w:rsid w:val="007416F0"/>
    <w:rsid w:val="0074245A"/>
    <w:rsid w:val="00743888"/>
    <w:rsid w:val="007445C7"/>
    <w:rsid w:val="007459A2"/>
    <w:rsid w:val="007469F4"/>
    <w:rsid w:val="0075045E"/>
    <w:rsid w:val="007508FE"/>
    <w:rsid w:val="00750B7C"/>
    <w:rsid w:val="0075129B"/>
    <w:rsid w:val="00751AEA"/>
    <w:rsid w:val="00752B2C"/>
    <w:rsid w:val="00754C8B"/>
    <w:rsid w:val="00756508"/>
    <w:rsid w:val="00756B2B"/>
    <w:rsid w:val="00760D28"/>
    <w:rsid w:val="00761193"/>
    <w:rsid w:val="007615DE"/>
    <w:rsid w:val="00761FB3"/>
    <w:rsid w:val="00762F70"/>
    <w:rsid w:val="00763125"/>
    <w:rsid w:val="00763BCD"/>
    <w:rsid w:val="00764361"/>
    <w:rsid w:val="00764FCE"/>
    <w:rsid w:val="00765439"/>
    <w:rsid w:val="00765767"/>
    <w:rsid w:val="00765980"/>
    <w:rsid w:val="00765A5C"/>
    <w:rsid w:val="00766E88"/>
    <w:rsid w:val="0077050F"/>
    <w:rsid w:val="00770FA4"/>
    <w:rsid w:val="00771162"/>
    <w:rsid w:val="00772B0F"/>
    <w:rsid w:val="00772D7E"/>
    <w:rsid w:val="00773221"/>
    <w:rsid w:val="00773C87"/>
    <w:rsid w:val="00773CE3"/>
    <w:rsid w:val="00774B93"/>
    <w:rsid w:val="00775536"/>
    <w:rsid w:val="007757B1"/>
    <w:rsid w:val="00775AE9"/>
    <w:rsid w:val="00775C8C"/>
    <w:rsid w:val="00775CFE"/>
    <w:rsid w:val="00776BA5"/>
    <w:rsid w:val="0077705F"/>
    <w:rsid w:val="00777D28"/>
    <w:rsid w:val="00777DAA"/>
    <w:rsid w:val="00780749"/>
    <w:rsid w:val="0078084C"/>
    <w:rsid w:val="00780FDE"/>
    <w:rsid w:val="00781DE6"/>
    <w:rsid w:val="007837BF"/>
    <w:rsid w:val="00783A93"/>
    <w:rsid w:val="00784746"/>
    <w:rsid w:val="00785873"/>
    <w:rsid w:val="00785DA8"/>
    <w:rsid w:val="00787A36"/>
    <w:rsid w:val="00787A69"/>
    <w:rsid w:val="00787C35"/>
    <w:rsid w:val="007905B4"/>
    <w:rsid w:val="007925E8"/>
    <w:rsid w:val="007931CB"/>
    <w:rsid w:val="00793313"/>
    <w:rsid w:val="0079385A"/>
    <w:rsid w:val="00793A1A"/>
    <w:rsid w:val="00793FF8"/>
    <w:rsid w:val="007946A3"/>
    <w:rsid w:val="00794EFE"/>
    <w:rsid w:val="00795C44"/>
    <w:rsid w:val="007975AC"/>
    <w:rsid w:val="00797E95"/>
    <w:rsid w:val="007A0608"/>
    <w:rsid w:val="007A0622"/>
    <w:rsid w:val="007A0681"/>
    <w:rsid w:val="007A09F1"/>
    <w:rsid w:val="007A1504"/>
    <w:rsid w:val="007A1900"/>
    <w:rsid w:val="007A2B2F"/>
    <w:rsid w:val="007A4120"/>
    <w:rsid w:val="007A4D82"/>
    <w:rsid w:val="007A4F0A"/>
    <w:rsid w:val="007A51AE"/>
    <w:rsid w:val="007A54A7"/>
    <w:rsid w:val="007A5DBF"/>
    <w:rsid w:val="007A6C3E"/>
    <w:rsid w:val="007A6E7C"/>
    <w:rsid w:val="007B0F4B"/>
    <w:rsid w:val="007B1333"/>
    <w:rsid w:val="007B1483"/>
    <w:rsid w:val="007B37EB"/>
    <w:rsid w:val="007B4368"/>
    <w:rsid w:val="007B52B2"/>
    <w:rsid w:val="007B652A"/>
    <w:rsid w:val="007B6569"/>
    <w:rsid w:val="007B67D6"/>
    <w:rsid w:val="007B6970"/>
    <w:rsid w:val="007B6CF0"/>
    <w:rsid w:val="007C115A"/>
    <w:rsid w:val="007C1394"/>
    <w:rsid w:val="007C2302"/>
    <w:rsid w:val="007C26BE"/>
    <w:rsid w:val="007C284D"/>
    <w:rsid w:val="007C292F"/>
    <w:rsid w:val="007C2963"/>
    <w:rsid w:val="007C2CD3"/>
    <w:rsid w:val="007C3083"/>
    <w:rsid w:val="007C314C"/>
    <w:rsid w:val="007C337B"/>
    <w:rsid w:val="007C34BF"/>
    <w:rsid w:val="007C5281"/>
    <w:rsid w:val="007C5741"/>
    <w:rsid w:val="007C61B4"/>
    <w:rsid w:val="007C694C"/>
    <w:rsid w:val="007C6C7B"/>
    <w:rsid w:val="007C7430"/>
    <w:rsid w:val="007D0821"/>
    <w:rsid w:val="007D136F"/>
    <w:rsid w:val="007D15BA"/>
    <w:rsid w:val="007D27D9"/>
    <w:rsid w:val="007D3C0D"/>
    <w:rsid w:val="007D40A7"/>
    <w:rsid w:val="007D420B"/>
    <w:rsid w:val="007D4817"/>
    <w:rsid w:val="007D5F75"/>
    <w:rsid w:val="007D6436"/>
    <w:rsid w:val="007D6554"/>
    <w:rsid w:val="007D6A6D"/>
    <w:rsid w:val="007D6E44"/>
    <w:rsid w:val="007D79E1"/>
    <w:rsid w:val="007E09F7"/>
    <w:rsid w:val="007E1285"/>
    <w:rsid w:val="007E26C3"/>
    <w:rsid w:val="007E2A85"/>
    <w:rsid w:val="007E2BA7"/>
    <w:rsid w:val="007E38FF"/>
    <w:rsid w:val="007E3C9F"/>
    <w:rsid w:val="007E3D18"/>
    <w:rsid w:val="007E40A1"/>
    <w:rsid w:val="007E4E4C"/>
    <w:rsid w:val="007E4F0F"/>
    <w:rsid w:val="007E5111"/>
    <w:rsid w:val="007E581D"/>
    <w:rsid w:val="007E67F9"/>
    <w:rsid w:val="007E69A9"/>
    <w:rsid w:val="007E6F3F"/>
    <w:rsid w:val="007E73A3"/>
    <w:rsid w:val="007E7618"/>
    <w:rsid w:val="007E7BE7"/>
    <w:rsid w:val="007E7C1C"/>
    <w:rsid w:val="007F002C"/>
    <w:rsid w:val="007F160D"/>
    <w:rsid w:val="007F26DF"/>
    <w:rsid w:val="007F4A48"/>
    <w:rsid w:val="007F4F8F"/>
    <w:rsid w:val="007F5C28"/>
    <w:rsid w:val="007F62D3"/>
    <w:rsid w:val="007F65CE"/>
    <w:rsid w:val="007F7011"/>
    <w:rsid w:val="007F7833"/>
    <w:rsid w:val="007F7EA9"/>
    <w:rsid w:val="007F7F30"/>
    <w:rsid w:val="008001F3"/>
    <w:rsid w:val="00800C84"/>
    <w:rsid w:val="00800F3B"/>
    <w:rsid w:val="00802549"/>
    <w:rsid w:val="00803210"/>
    <w:rsid w:val="00803386"/>
    <w:rsid w:val="0080463B"/>
    <w:rsid w:val="00805E01"/>
    <w:rsid w:val="00806D22"/>
    <w:rsid w:val="0080754F"/>
    <w:rsid w:val="00807AFA"/>
    <w:rsid w:val="00807B1D"/>
    <w:rsid w:val="00810B1F"/>
    <w:rsid w:val="00811AE5"/>
    <w:rsid w:val="00811C57"/>
    <w:rsid w:val="00812879"/>
    <w:rsid w:val="0081310C"/>
    <w:rsid w:val="00813AAC"/>
    <w:rsid w:val="00813B66"/>
    <w:rsid w:val="00815BBB"/>
    <w:rsid w:val="00815C59"/>
    <w:rsid w:val="00815C79"/>
    <w:rsid w:val="00815E72"/>
    <w:rsid w:val="00815EF9"/>
    <w:rsid w:val="008166DE"/>
    <w:rsid w:val="00816D1C"/>
    <w:rsid w:val="008170A9"/>
    <w:rsid w:val="008172AF"/>
    <w:rsid w:val="00821556"/>
    <w:rsid w:val="00821628"/>
    <w:rsid w:val="00822ED4"/>
    <w:rsid w:val="00823BB7"/>
    <w:rsid w:val="00823FD3"/>
    <w:rsid w:val="0082407F"/>
    <w:rsid w:val="008244EE"/>
    <w:rsid w:val="008245B6"/>
    <w:rsid w:val="008264C3"/>
    <w:rsid w:val="008268A8"/>
    <w:rsid w:val="00826AA2"/>
    <w:rsid w:val="00826F6C"/>
    <w:rsid w:val="008300D7"/>
    <w:rsid w:val="0083019F"/>
    <w:rsid w:val="00830454"/>
    <w:rsid w:val="00830696"/>
    <w:rsid w:val="00830B40"/>
    <w:rsid w:val="00830E80"/>
    <w:rsid w:val="00831D5C"/>
    <w:rsid w:val="00832E56"/>
    <w:rsid w:val="0083407E"/>
    <w:rsid w:val="0083456C"/>
    <w:rsid w:val="00834714"/>
    <w:rsid w:val="00834A51"/>
    <w:rsid w:val="0083500F"/>
    <w:rsid w:val="00835080"/>
    <w:rsid w:val="00835C3F"/>
    <w:rsid w:val="00835E4E"/>
    <w:rsid w:val="00840CEB"/>
    <w:rsid w:val="0084109D"/>
    <w:rsid w:val="008411FF"/>
    <w:rsid w:val="00843174"/>
    <w:rsid w:val="0084379C"/>
    <w:rsid w:val="00843CF2"/>
    <w:rsid w:val="00843D12"/>
    <w:rsid w:val="00843F53"/>
    <w:rsid w:val="00844580"/>
    <w:rsid w:val="00844631"/>
    <w:rsid w:val="00845014"/>
    <w:rsid w:val="00846763"/>
    <w:rsid w:val="00851B21"/>
    <w:rsid w:val="00851CF4"/>
    <w:rsid w:val="00851FFF"/>
    <w:rsid w:val="008522EA"/>
    <w:rsid w:val="00852969"/>
    <w:rsid w:val="00852FF0"/>
    <w:rsid w:val="008533FD"/>
    <w:rsid w:val="00853717"/>
    <w:rsid w:val="008564E0"/>
    <w:rsid w:val="00856DD9"/>
    <w:rsid w:val="00857460"/>
    <w:rsid w:val="00857AD6"/>
    <w:rsid w:val="008601A8"/>
    <w:rsid w:val="00860B46"/>
    <w:rsid w:val="008627DA"/>
    <w:rsid w:val="0086288B"/>
    <w:rsid w:val="00862BB7"/>
    <w:rsid w:val="00863291"/>
    <w:rsid w:val="00864518"/>
    <w:rsid w:val="00864705"/>
    <w:rsid w:val="008650F0"/>
    <w:rsid w:val="00866CCB"/>
    <w:rsid w:val="00867F08"/>
    <w:rsid w:val="00870EC5"/>
    <w:rsid w:val="00871A45"/>
    <w:rsid w:val="00871E44"/>
    <w:rsid w:val="00872244"/>
    <w:rsid w:val="00872485"/>
    <w:rsid w:val="00873481"/>
    <w:rsid w:val="008734A3"/>
    <w:rsid w:val="008740FF"/>
    <w:rsid w:val="00874108"/>
    <w:rsid w:val="0087489D"/>
    <w:rsid w:val="00874C36"/>
    <w:rsid w:val="00874E2A"/>
    <w:rsid w:val="008769E3"/>
    <w:rsid w:val="00876F83"/>
    <w:rsid w:val="00877532"/>
    <w:rsid w:val="00877A76"/>
    <w:rsid w:val="008807B4"/>
    <w:rsid w:val="008807CE"/>
    <w:rsid w:val="00880D9D"/>
    <w:rsid w:val="008822DC"/>
    <w:rsid w:val="008825EF"/>
    <w:rsid w:val="00882F19"/>
    <w:rsid w:val="008837B9"/>
    <w:rsid w:val="008837CA"/>
    <w:rsid w:val="00883F05"/>
    <w:rsid w:val="0088488B"/>
    <w:rsid w:val="00884BED"/>
    <w:rsid w:val="008850F6"/>
    <w:rsid w:val="008852F1"/>
    <w:rsid w:val="0088568D"/>
    <w:rsid w:val="00885742"/>
    <w:rsid w:val="00885F3F"/>
    <w:rsid w:val="008860FA"/>
    <w:rsid w:val="008861BA"/>
    <w:rsid w:val="008875C7"/>
    <w:rsid w:val="00890652"/>
    <w:rsid w:val="008917DB"/>
    <w:rsid w:val="00894636"/>
    <w:rsid w:val="008948A1"/>
    <w:rsid w:val="0089493E"/>
    <w:rsid w:val="00894A0E"/>
    <w:rsid w:val="00895025"/>
    <w:rsid w:val="008953AE"/>
    <w:rsid w:val="008954E0"/>
    <w:rsid w:val="00895C6E"/>
    <w:rsid w:val="00895F8F"/>
    <w:rsid w:val="00896197"/>
    <w:rsid w:val="0089646A"/>
    <w:rsid w:val="008968C3"/>
    <w:rsid w:val="00896D9C"/>
    <w:rsid w:val="0089770D"/>
    <w:rsid w:val="00897B8F"/>
    <w:rsid w:val="00897EA8"/>
    <w:rsid w:val="008A04D3"/>
    <w:rsid w:val="008A0A42"/>
    <w:rsid w:val="008A0D3F"/>
    <w:rsid w:val="008A14B2"/>
    <w:rsid w:val="008A32EB"/>
    <w:rsid w:val="008A43CA"/>
    <w:rsid w:val="008A4470"/>
    <w:rsid w:val="008A5CC7"/>
    <w:rsid w:val="008A5CE1"/>
    <w:rsid w:val="008A5FB8"/>
    <w:rsid w:val="008A6054"/>
    <w:rsid w:val="008A63BF"/>
    <w:rsid w:val="008A64BA"/>
    <w:rsid w:val="008A6BEA"/>
    <w:rsid w:val="008A6CB8"/>
    <w:rsid w:val="008A7405"/>
    <w:rsid w:val="008A76E3"/>
    <w:rsid w:val="008A7795"/>
    <w:rsid w:val="008A77AE"/>
    <w:rsid w:val="008A79F5"/>
    <w:rsid w:val="008B1DDD"/>
    <w:rsid w:val="008B2141"/>
    <w:rsid w:val="008B2C70"/>
    <w:rsid w:val="008B329F"/>
    <w:rsid w:val="008B4300"/>
    <w:rsid w:val="008B5194"/>
    <w:rsid w:val="008B5892"/>
    <w:rsid w:val="008B608E"/>
    <w:rsid w:val="008B79AA"/>
    <w:rsid w:val="008C0A56"/>
    <w:rsid w:val="008C1191"/>
    <w:rsid w:val="008C14ED"/>
    <w:rsid w:val="008C1817"/>
    <w:rsid w:val="008C1992"/>
    <w:rsid w:val="008C1F1E"/>
    <w:rsid w:val="008C2A12"/>
    <w:rsid w:val="008C2FE7"/>
    <w:rsid w:val="008C4EA2"/>
    <w:rsid w:val="008C4F67"/>
    <w:rsid w:val="008C546B"/>
    <w:rsid w:val="008C6768"/>
    <w:rsid w:val="008C782E"/>
    <w:rsid w:val="008C7A74"/>
    <w:rsid w:val="008C7F25"/>
    <w:rsid w:val="008D0806"/>
    <w:rsid w:val="008D0EB3"/>
    <w:rsid w:val="008D1484"/>
    <w:rsid w:val="008D14C8"/>
    <w:rsid w:val="008D1D13"/>
    <w:rsid w:val="008D3389"/>
    <w:rsid w:val="008D3723"/>
    <w:rsid w:val="008D376B"/>
    <w:rsid w:val="008D4563"/>
    <w:rsid w:val="008D53D7"/>
    <w:rsid w:val="008D610B"/>
    <w:rsid w:val="008D6928"/>
    <w:rsid w:val="008D722C"/>
    <w:rsid w:val="008D7C8D"/>
    <w:rsid w:val="008E06C9"/>
    <w:rsid w:val="008E0EB4"/>
    <w:rsid w:val="008E12F7"/>
    <w:rsid w:val="008E194C"/>
    <w:rsid w:val="008E2182"/>
    <w:rsid w:val="008E4F89"/>
    <w:rsid w:val="008E5085"/>
    <w:rsid w:val="008E5510"/>
    <w:rsid w:val="008E56AF"/>
    <w:rsid w:val="008E5808"/>
    <w:rsid w:val="008E5C3E"/>
    <w:rsid w:val="008E5CE5"/>
    <w:rsid w:val="008E68B3"/>
    <w:rsid w:val="008E6C41"/>
    <w:rsid w:val="008E7071"/>
    <w:rsid w:val="008E7847"/>
    <w:rsid w:val="008E7DC7"/>
    <w:rsid w:val="008F04A8"/>
    <w:rsid w:val="008F0D0A"/>
    <w:rsid w:val="008F427F"/>
    <w:rsid w:val="008F4873"/>
    <w:rsid w:val="008F4BE5"/>
    <w:rsid w:val="008F5373"/>
    <w:rsid w:val="008F5877"/>
    <w:rsid w:val="008F5E65"/>
    <w:rsid w:val="008F68DB"/>
    <w:rsid w:val="008F7638"/>
    <w:rsid w:val="009007F7"/>
    <w:rsid w:val="00900974"/>
    <w:rsid w:val="00900B9C"/>
    <w:rsid w:val="00901048"/>
    <w:rsid w:val="00902151"/>
    <w:rsid w:val="00902494"/>
    <w:rsid w:val="00903805"/>
    <w:rsid w:val="00903D41"/>
    <w:rsid w:val="009046A0"/>
    <w:rsid w:val="00904E25"/>
    <w:rsid w:val="00904FAB"/>
    <w:rsid w:val="009050CC"/>
    <w:rsid w:val="009051B5"/>
    <w:rsid w:val="00910180"/>
    <w:rsid w:val="00910365"/>
    <w:rsid w:val="009118C3"/>
    <w:rsid w:val="0091271E"/>
    <w:rsid w:val="00914234"/>
    <w:rsid w:val="00914565"/>
    <w:rsid w:val="0091530A"/>
    <w:rsid w:val="00915405"/>
    <w:rsid w:val="00915846"/>
    <w:rsid w:val="00916187"/>
    <w:rsid w:val="009164D6"/>
    <w:rsid w:val="00917731"/>
    <w:rsid w:val="00917886"/>
    <w:rsid w:val="00920233"/>
    <w:rsid w:val="009203A7"/>
    <w:rsid w:val="00920727"/>
    <w:rsid w:val="00921C0D"/>
    <w:rsid w:val="00922196"/>
    <w:rsid w:val="0092278D"/>
    <w:rsid w:val="00922F2A"/>
    <w:rsid w:val="009230EF"/>
    <w:rsid w:val="0092315E"/>
    <w:rsid w:val="009232FD"/>
    <w:rsid w:val="00923FE7"/>
    <w:rsid w:val="0092451A"/>
    <w:rsid w:val="00924A93"/>
    <w:rsid w:val="00924D3F"/>
    <w:rsid w:val="00924E3C"/>
    <w:rsid w:val="00925DBE"/>
    <w:rsid w:val="00925F60"/>
    <w:rsid w:val="0092633A"/>
    <w:rsid w:val="009268BA"/>
    <w:rsid w:val="00930006"/>
    <w:rsid w:val="0093041D"/>
    <w:rsid w:val="00930600"/>
    <w:rsid w:val="00930D28"/>
    <w:rsid w:val="00931187"/>
    <w:rsid w:val="00931DCB"/>
    <w:rsid w:val="00931EDA"/>
    <w:rsid w:val="00931F72"/>
    <w:rsid w:val="009337AF"/>
    <w:rsid w:val="009339A8"/>
    <w:rsid w:val="00935D51"/>
    <w:rsid w:val="00936039"/>
    <w:rsid w:val="00937EE5"/>
    <w:rsid w:val="00940E95"/>
    <w:rsid w:val="009419D6"/>
    <w:rsid w:val="00942225"/>
    <w:rsid w:val="009435AA"/>
    <w:rsid w:val="00943A03"/>
    <w:rsid w:val="00943D4C"/>
    <w:rsid w:val="0094404B"/>
    <w:rsid w:val="009440A7"/>
    <w:rsid w:val="00944898"/>
    <w:rsid w:val="00944C7A"/>
    <w:rsid w:val="00944D47"/>
    <w:rsid w:val="009453E4"/>
    <w:rsid w:val="00945AD4"/>
    <w:rsid w:val="00946208"/>
    <w:rsid w:val="009464BD"/>
    <w:rsid w:val="00946C47"/>
    <w:rsid w:val="00947BAE"/>
    <w:rsid w:val="00950085"/>
    <w:rsid w:val="0095056A"/>
    <w:rsid w:val="00950F29"/>
    <w:rsid w:val="00951560"/>
    <w:rsid w:val="0095236F"/>
    <w:rsid w:val="0095286A"/>
    <w:rsid w:val="0095523F"/>
    <w:rsid w:val="009555A2"/>
    <w:rsid w:val="009565F6"/>
    <w:rsid w:val="00956B35"/>
    <w:rsid w:val="0095796C"/>
    <w:rsid w:val="0096112E"/>
    <w:rsid w:val="00961A7A"/>
    <w:rsid w:val="00961E17"/>
    <w:rsid w:val="00962C62"/>
    <w:rsid w:val="00962EC7"/>
    <w:rsid w:val="00963BA0"/>
    <w:rsid w:val="00964D9A"/>
    <w:rsid w:val="009650AA"/>
    <w:rsid w:val="00965416"/>
    <w:rsid w:val="009658A6"/>
    <w:rsid w:val="00966382"/>
    <w:rsid w:val="00966AC4"/>
    <w:rsid w:val="0096719A"/>
    <w:rsid w:val="00967439"/>
    <w:rsid w:val="00970B32"/>
    <w:rsid w:val="009728A0"/>
    <w:rsid w:val="009737D6"/>
    <w:rsid w:val="00973ECC"/>
    <w:rsid w:val="00973FC5"/>
    <w:rsid w:val="009745A5"/>
    <w:rsid w:val="00975ED0"/>
    <w:rsid w:val="00976056"/>
    <w:rsid w:val="009774D1"/>
    <w:rsid w:val="00980C24"/>
    <w:rsid w:val="00981167"/>
    <w:rsid w:val="00981604"/>
    <w:rsid w:val="009819B5"/>
    <w:rsid w:val="0098206D"/>
    <w:rsid w:val="009824B6"/>
    <w:rsid w:val="00982A2B"/>
    <w:rsid w:val="00982AF7"/>
    <w:rsid w:val="00982B0F"/>
    <w:rsid w:val="009833D3"/>
    <w:rsid w:val="0098372D"/>
    <w:rsid w:val="00984A16"/>
    <w:rsid w:val="009867D6"/>
    <w:rsid w:val="009874C5"/>
    <w:rsid w:val="00987E29"/>
    <w:rsid w:val="00991830"/>
    <w:rsid w:val="00991BD7"/>
    <w:rsid w:val="00992624"/>
    <w:rsid w:val="009929EE"/>
    <w:rsid w:val="00992F5E"/>
    <w:rsid w:val="00993D04"/>
    <w:rsid w:val="00993DD2"/>
    <w:rsid w:val="00994039"/>
    <w:rsid w:val="00994770"/>
    <w:rsid w:val="00994CA4"/>
    <w:rsid w:val="00994DD5"/>
    <w:rsid w:val="00995F53"/>
    <w:rsid w:val="009A005B"/>
    <w:rsid w:val="009A0765"/>
    <w:rsid w:val="009A0A6F"/>
    <w:rsid w:val="009A0AA2"/>
    <w:rsid w:val="009A1852"/>
    <w:rsid w:val="009A1907"/>
    <w:rsid w:val="009A1A64"/>
    <w:rsid w:val="009A27FE"/>
    <w:rsid w:val="009A2A80"/>
    <w:rsid w:val="009A2B0A"/>
    <w:rsid w:val="009A32CD"/>
    <w:rsid w:val="009A3846"/>
    <w:rsid w:val="009A3EF4"/>
    <w:rsid w:val="009A4853"/>
    <w:rsid w:val="009A48DD"/>
    <w:rsid w:val="009A4E72"/>
    <w:rsid w:val="009A50A3"/>
    <w:rsid w:val="009A5FB8"/>
    <w:rsid w:val="009A6908"/>
    <w:rsid w:val="009A6AE6"/>
    <w:rsid w:val="009A6BEC"/>
    <w:rsid w:val="009A766A"/>
    <w:rsid w:val="009A7C1B"/>
    <w:rsid w:val="009B03C7"/>
    <w:rsid w:val="009B03FF"/>
    <w:rsid w:val="009B1210"/>
    <w:rsid w:val="009B128D"/>
    <w:rsid w:val="009B16C0"/>
    <w:rsid w:val="009B1740"/>
    <w:rsid w:val="009B188B"/>
    <w:rsid w:val="009B1907"/>
    <w:rsid w:val="009B352A"/>
    <w:rsid w:val="009B4CC8"/>
    <w:rsid w:val="009B59FF"/>
    <w:rsid w:val="009B6078"/>
    <w:rsid w:val="009B652B"/>
    <w:rsid w:val="009B7072"/>
    <w:rsid w:val="009B736B"/>
    <w:rsid w:val="009C0B6F"/>
    <w:rsid w:val="009C2BBE"/>
    <w:rsid w:val="009C3E22"/>
    <w:rsid w:val="009C42AD"/>
    <w:rsid w:val="009C596F"/>
    <w:rsid w:val="009C62AF"/>
    <w:rsid w:val="009C6441"/>
    <w:rsid w:val="009C6D93"/>
    <w:rsid w:val="009C761D"/>
    <w:rsid w:val="009C77DA"/>
    <w:rsid w:val="009D152E"/>
    <w:rsid w:val="009D1686"/>
    <w:rsid w:val="009D22FE"/>
    <w:rsid w:val="009D2926"/>
    <w:rsid w:val="009D2C47"/>
    <w:rsid w:val="009D462C"/>
    <w:rsid w:val="009D7F75"/>
    <w:rsid w:val="009E0C01"/>
    <w:rsid w:val="009E1AD4"/>
    <w:rsid w:val="009E1CBB"/>
    <w:rsid w:val="009E1F26"/>
    <w:rsid w:val="009E20C4"/>
    <w:rsid w:val="009E2C98"/>
    <w:rsid w:val="009E36E9"/>
    <w:rsid w:val="009E4B25"/>
    <w:rsid w:val="009E555F"/>
    <w:rsid w:val="009E7935"/>
    <w:rsid w:val="009E7938"/>
    <w:rsid w:val="009E7945"/>
    <w:rsid w:val="009F024B"/>
    <w:rsid w:val="009F086D"/>
    <w:rsid w:val="009F0CBB"/>
    <w:rsid w:val="009F1162"/>
    <w:rsid w:val="009F2988"/>
    <w:rsid w:val="009F3350"/>
    <w:rsid w:val="009F365C"/>
    <w:rsid w:val="009F44C1"/>
    <w:rsid w:val="009F47D2"/>
    <w:rsid w:val="009F4EB0"/>
    <w:rsid w:val="009F5177"/>
    <w:rsid w:val="009F55B3"/>
    <w:rsid w:val="009F5E48"/>
    <w:rsid w:val="009F7395"/>
    <w:rsid w:val="009F7436"/>
    <w:rsid w:val="009F7BED"/>
    <w:rsid w:val="00A0050C"/>
    <w:rsid w:val="00A00913"/>
    <w:rsid w:val="00A01DAD"/>
    <w:rsid w:val="00A02B2B"/>
    <w:rsid w:val="00A02C0D"/>
    <w:rsid w:val="00A02FBE"/>
    <w:rsid w:val="00A042AD"/>
    <w:rsid w:val="00A04B1B"/>
    <w:rsid w:val="00A057B5"/>
    <w:rsid w:val="00A05C40"/>
    <w:rsid w:val="00A05E7F"/>
    <w:rsid w:val="00A0604C"/>
    <w:rsid w:val="00A060A8"/>
    <w:rsid w:val="00A06C29"/>
    <w:rsid w:val="00A07A2F"/>
    <w:rsid w:val="00A07DC6"/>
    <w:rsid w:val="00A100FA"/>
    <w:rsid w:val="00A101D1"/>
    <w:rsid w:val="00A105CB"/>
    <w:rsid w:val="00A107F8"/>
    <w:rsid w:val="00A10F0C"/>
    <w:rsid w:val="00A1114E"/>
    <w:rsid w:val="00A11272"/>
    <w:rsid w:val="00A11857"/>
    <w:rsid w:val="00A11AD0"/>
    <w:rsid w:val="00A12BDE"/>
    <w:rsid w:val="00A1344E"/>
    <w:rsid w:val="00A14971"/>
    <w:rsid w:val="00A15245"/>
    <w:rsid w:val="00A152AC"/>
    <w:rsid w:val="00A158A9"/>
    <w:rsid w:val="00A15903"/>
    <w:rsid w:val="00A15ADA"/>
    <w:rsid w:val="00A160B8"/>
    <w:rsid w:val="00A163D6"/>
    <w:rsid w:val="00A200D3"/>
    <w:rsid w:val="00A22BF9"/>
    <w:rsid w:val="00A239B9"/>
    <w:rsid w:val="00A2416D"/>
    <w:rsid w:val="00A2469D"/>
    <w:rsid w:val="00A2592B"/>
    <w:rsid w:val="00A26762"/>
    <w:rsid w:val="00A27117"/>
    <w:rsid w:val="00A274AB"/>
    <w:rsid w:val="00A30D8D"/>
    <w:rsid w:val="00A31B16"/>
    <w:rsid w:val="00A32CFE"/>
    <w:rsid w:val="00A336FB"/>
    <w:rsid w:val="00A3377E"/>
    <w:rsid w:val="00A33E7C"/>
    <w:rsid w:val="00A34AFF"/>
    <w:rsid w:val="00A3552F"/>
    <w:rsid w:val="00A36512"/>
    <w:rsid w:val="00A36833"/>
    <w:rsid w:val="00A36D76"/>
    <w:rsid w:val="00A36E27"/>
    <w:rsid w:val="00A36FFC"/>
    <w:rsid w:val="00A3722C"/>
    <w:rsid w:val="00A37382"/>
    <w:rsid w:val="00A373D4"/>
    <w:rsid w:val="00A37818"/>
    <w:rsid w:val="00A37C4F"/>
    <w:rsid w:val="00A37DA8"/>
    <w:rsid w:val="00A4091E"/>
    <w:rsid w:val="00A41114"/>
    <w:rsid w:val="00A41510"/>
    <w:rsid w:val="00A41718"/>
    <w:rsid w:val="00A41C96"/>
    <w:rsid w:val="00A42C8C"/>
    <w:rsid w:val="00A43850"/>
    <w:rsid w:val="00A43C05"/>
    <w:rsid w:val="00A44225"/>
    <w:rsid w:val="00A44460"/>
    <w:rsid w:val="00A44592"/>
    <w:rsid w:val="00A44BD3"/>
    <w:rsid w:val="00A46CB2"/>
    <w:rsid w:val="00A500C1"/>
    <w:rsid w:val="00A506E2"/>
    <w:rsid w:val="00A50A8F"/>
    <w:rsid w:val="00A51514"/>
    <w:rsid w:val="00A51C51"/>
    <w:rsid w:val="00A5229D"/>
    <w:rsid w:val="00A52531"/>
    <w:rsid w:val="00A53878"/>
    <w:rsid w:val="00A5459E"/>
    <w:rsid w:val="00A547C4"/>
    <w:rsid w:val="00A54F89"/>
    <w:rsid w:val="00A55228"/>
    <w:rsid w:val="00A557A4"/>
    <w:rsid w:val="00A55FC4"/>
    <w:rsid w:val="00A5636B"/>
    <w:rsid w:val="00A575B9"/>
    <w:rsid w:val="00A606F8"/>
    <w:rsid w:val="00A61168"/>
    <w:rsid w:val="00A614FC"/>
    <w:rsid w:val="00A6153E"/>
    <w:rsid w:val="00A616DE"/>
    <w:rsid w:val="00A624A0"/>
    <w:rsid w:val="00A62B9F"/>
    <w:rsid w:val="00A63400"/>
    <w:rsid w:val="00A63543"/>
    <w:rsid w:val="00A635B9"/>
    <w:rsid w:val="00A63BB4"/>
    <w:rsid w:val="00A63BB8"/>
    <w:rsid w:val="00A6468D"/>
    <w:rsid w:val="00A64EA8"/>
    <w:rsid w:val="00A65D2E"/>
    <w:rsid w:val="00A65F3F"/>
    <w:rsid w:val="00A66387"/>
    <w:rsid w:val="00A66AFA"/>
    <w:rsid w:val="00A67BC0"/>
    <w:rsid w:val="00A70218"/>
    <w:rsid w:val="00A702E9"/>
    <w:rsid w:val="00A70344"/>
    <w:rsid w:val="00A703E9"/>
    <w:rsid w:val="00A710D0"/>
    <w:rsid w:val="00A71966"/>
    <w:rsid w:val="00A727AA"/>
    <w:rsid w:val="00A72856"/>
    <w:rsid w:val="00A731BF"/>
    <w:rsid w:val="00A735D3"/>
    <w:rsid w:val="00A73812"/>
    <w:rsid w:val="00A73AEA"/>
    <w:rsid w:val="00A74004"/>
    <w:rsid w:val="00A74816"/>
    <w:rsid w:val="00A75084"/>
    <w:rsid w:val="00A75602"/>
    <w:rsid w:val="00A75A1A"/>
    <w:rsid w:val="00A75BF3"/>
    <w:rsid w:val="00A81F14"/>
    <w:rsid w:val="00A82508"/>
    <w:rsid w:val="00A82DDE"/>
    <w:rsid w:val="00A839EE"/>
    <w:rsid w:val="00A83E52"/>
    <w:rsid w:val="00A84471"/>
    <w:rsid w:val="00A85CB0"/>
    <w:rsid w:val="00A86EAE"/>
    <w:rsid w:val="00A903BE"/>
    <w:rsid w:val="00A90642"/>
    <w:rsid w:val="00A90E4E"/>
    <w:rsid w:val="00A932A9"/>
    <w:rsid w:val="00A93879"/>
    <w:rsid w:val="00A9415C"/>
    <w:rsid w:val="00A94A31"/>
    <w:rsid w:val="00A94F14"/>
    <w:rsid w:val="00A952D7"/>
    <w:rsid w:val="00A95466"/>
    <w:rsid w:val="00A95491"/>
    <w:rsid w:val="00A9575F"/>
    <w:rsid w:val="00A9618D"/>
    <w:rsid w:val="00A97128"/>
    <w:rsid w:val="00A97363"/>
    <w:rsid w:val="00A977F0"/>
    <w:rsid w:val="00A97D4B"/>
    <w:rsid w:val="00AA0473"/>
    <w:rsid w:val="00AA2621"/>
    <w:rsid w:val="00AA267B"/>
    <w:rsid w:val="00AA33F2"/>
    <w:rsid w:val="00AA5B08"/>
    <w:rsid w:val="00AA5EDE"/>
    <w:rsid w:val="00AA628B"/>
    <w:rsid w:val="00AA6905"/>
    <w:rsid w:val="00AA692D"/>
    <w:rsid w:val="00AA6A89"/>
    <w:rsid w:val="00AB0C54"/>
    <w:rsid w:val="00AB170F"/>
    <w:rsid w:val="00AB19B6"/>
    <w:rsid w:val="00AB1CAD"/>
    <w:rsid w:val="00AB21B9"/>
    <w:rsid w:val="00AB2744"/>
    <w:rsid w:val="00AB34B7"/>
    <w:rsid w:val="00AB4CAE"/>
    <w:rsid w:val="00AB61EA"/>
    <w:rsid w:val="00AB660D"/>
    <w:rsid w:val="00AB7A1B"/>
    <w:rsid w:val="00AB7E07"/>
    <w:rsid w:val="00AC1646"/>
    <w:rsid w:val="00AC1B20"/>
    <w:rsid w:val="00AC306A"/>
    <w:rsid w:val="00AC31D1"/>
    <w:rsid w:val="00AC42DC"/>
    <w:rsid w:val="00AC47F3"/>
    <w:rsid w:val="00AC4A09"/>
    <w:rsid w:val="00AC4B61"/>
    <w:rsid w:val="00AC4FBE"/>
    <w:rsid w:val="00AC6199"/>
    <w:rsid w:val="00AC6540"/>
    <w:rsid w:val="00AC6841"/>
    <w:rsid w:val="00AC6C86"/>
    <w:rsid w:val="00AD242D"/>
    <w:rsid w:val="00AD2464"/>
    <w:rsid w:val="00AD2FCC"/>
    <w:rsid w:val="00AD31FE"/>
    <w:rsid w:val="00AD3331"/>
    <w:rsid w:val="00AD5BE7"/>
    <w:rsid w:val="00AD6800"/>
    <w:rsid w:val="00AD68CD"/>
    <w:rsid w:val="00AD76AC"/>
    <w:rsid w:val="00AE092D"/>
    <w:rsid w:val="00AE1484"/>
    <w:rsid w:val="00AE1F1E"/>
    <w:rsid w:val="00AE2063"/>
    <w:rsid w:val="00AE2816"/>
    <w:rsid w:val="00AE414E"/>
    <w:rsid w:val="00AE4855"/>
    <w:rsid w:val="00AE4EBD"/>
    <w:rsid w:val="00AE5E0A"/>
    <w:rsid w:val="00AE6F5F"/>
    <w:rsid w:val="00AE7835"/>
    <w:rsid w:val="00AF0CA2"/>
    <w:rsid w:val="00AF1DEE"/>
    <w:rsid w:val="00AF2ABA"/>
    <w:rsid w:val="00AF384C"/>
    <w:rsid w:val="00AF422A"/>
    <w:rsid w:val="00AF4822"/>
    <w:rsid w:val="00AF4ADD"/>
    <w:rsid w:val="00AF559C"/>
    <w:rsid w:val="00AF59F8"/>
    <w:rsid w:val="00B00145"/>
    <w:rsid w:val="00B011BB"/>
    <w:rsid w:val="00B02953"/>
    <w:rsid w:val="00B02E45"/>
    <w:rsid w:val="00B03104"/>
    <w:rsid w:val="00B03DED"/>
    <w:rsid w:val="00B04044"/>
    <w:rsid w:val="00B043D2"/>
    <w:rsid w:val="00B0494D"/>
    <w:rsid w:val="00B04AF2"/>
    <w:rsid w:val="00B051F2"/>
    <w:rsid w:val="00B05827"/>
    <w:rsid w:val="00B06EB7"/>
    <w:rsid w:val="00B07259"/>
    <w:rsid w:val="00B10A54"/>
    <w:rsid w:val="00B10F3D"/>
    <w:rsid w:val="00B1176E"/>
    <w:rsid w:val="00B132A2"/>
    <w:rsid w:val="00B13C8B"/>
    <w:rsid w:val="00B14D5A"/>
    <w:rsid w:val="00B14DF8"/>
    <w:rsid w:val="00B15C00"/>
    <w:rsid w:val="00B160C9"/>
    <w:rsid w:val="00B168B7"/>
    <w:rsid w:val="00B16B3C"/>
    <w:rsid w:val="00B1709B"/>
    <w:rsid w:val="00B17543"/>
    <w:rsid w:val="00B179DD"/>
    <w:rsid w:val="00B20390"/>
    <w:rsid w:val="00B20D4B"/>
    <w:rsid w:val="00B213EE"/>
    <w:rsid w:val="00B215BF"/>
    <w:rsid w:val="00B21FAD"/>
    <w:rsid w:val="00B22890"/>
    <w:rsid w:val="00B22A20"/>
    <w:rsid w:val="00B23182"/>
    <w:rsid w:val="00B23437"/>
    <w:rsid w:val="00B234A9"/>
    <w:rsid w:val="00B235ED"/>
    <w:rsid w:val="00B23993"/>
    <w:rsid w:val="00B23FFF"/>
    <w:rsid w:val="00B24559"/>
    <w:rsid w:val="00B254C2"/>
    <w:rsid w:val="00B2584E"/>
    <w:rsid w:val="00B25EEB"/>
    <w:rsid w:val="00B261D1"/>
    <w:rsid w:val="00B267BA"/>
    <w:rsid w:val="00B27F32"/>
    <w:rsid w:val="00B30590"/>
    <w:rsid w:val="00B3176B"/>
    <w:rsid w:val="00B31792"/>
    <w:rsid w:val="00B33CB2"/>
    <w:rsid w:val="00B34755"/>
    <w:rsid w:val="00B35719"/>
    <w:rsid w:val="00B35CA5"/>
    <w:rsid w:val="00B3605B"/>
    <w:rsid w:val="00B3691D"/>
    <w:rsid w:val="00B36995"/>
    <w:rsid w:val="00B37712"/>
    <w:rsid w:val="00B37B33"/>
    <w:rsid w:val="00B37B68"/>
    <w:rsid w:val="00B37EFC"/>
    <w:rsid w:val="00B4453F"/>
    <w:rsid w:val="00B44D11"/>
    <w:rsid w:val="00B4523F"/>
    <w:rsid w:val="00B45776"/>
    <w:rsid w:val="00B47171"/>
    <w:rsid w:val="00B477D0"/>
    <w:rsid w:val="00B52B97"/>
    <w:rsid w:val="00B53AC7"/>
    <w:rsid w:val="00B5436F"/>
    <w:rsid w:val="00B54A8B"/>
    <w:rsid w:val="00B54B69"/>
    <w:rsid w:val="00B554CD"/>
    <w:rsid w:val="00B5632F"/>
    <w:rsid w:val="00B56B56"/>
    <w:rsid w:val="00B56D3B"/>
    <w:rsid w:val="00B572D4"/>
    <w:rsid w:val="00B602DE"/>
    <w:rsid w:val="00B60681"/>
    <w:rsid w:val="00B60A58"/>
    <w:rsid w:val="00B60C66"/>
    <w:rsid w:val="00B61426"/>
    <w:rsid w:val="00B6143B"/>
    <w:rsid w:val="00B61ACA"/>
    <w:rsid w:val="00B63BAB"/>
    <w:rsid w:val="00B65301"/>
    <w:rsid w:val="00B661D4"/>
    <w:rsid w:val="00B662A7"/>
    <w:rsid w:val="00B666EF"/>
    <w:rsid w:val="00B667AE"/>
    <w:rsid w:val="00B7331B"/>
    <w:rsid w:val="00B73DE3"/>
    <w:rsid w:val="00B75A3D"/>
    <w:rsid w:val="00B76090"/>
    <w:rsid w:val="00B76299"/>
    <w:rsid w:val="00B76BEB"/>
    <w:rsid w:val="00B77B15"/>
    <w:rsid w:val="00B8055D"/>
    <w:rsid w:val="00B80858"/>
    <w:rsid w:val="00B81392"/>
    <w:rsid w:val="00B815B7"/>
    <w:rsid w:val="00B82292"/>
    <w:rsid w:val="00B829FF"/>
    <w:rsid w:val="00B82A3B"/>
    <w:rsid w:val="00B82A70"/>
    <w:rsid w:val="00B83A69"/>
    <w:rsid w:val="00B83A7F"/>
    <w:rsid w:val="00B84A62"/>
    <w:rsid w:val="00B850D7"/>
    <w:rsid w:val="00B856C9"/>
    <w:rsid w:val="00B8598D"/>
    <w:rsid w:val="00B86C6D"/>
    <w:rsid w:val="00B87D2B"/>
    <w:rsid w:val="00B90C13"/>
    <w:rsid w:val="00B91C82"/>
    <w:rsid w:val="00B920F9"/>
    <w:rsid w:val="00B92B11"/>
    <w:rsid w:val="00B92FC4"/>
    <w:rsid w:val="00B931B5"/>
    <w:rsid w:val="00B93443"/>
    <w:rsid w:val="00B9391E"/>
    <w:rsid w:val="00B93930"/>
    <w:rsid w:val="00B9456C"/>
    <w:rsid w:val="00B96166"/>
    <w:rsid w:val="00B96364"/>
    <w:rsid w:val="00B964ED"/>
    <w:rsid w:val="00B96583"/>
    <w:rsid w:val="00B979AE"/>
    <w:rsid w:val="00B97EBA"/>
    <w:rsid w:val="00BA05E7"/>
    <w:rsid w:val="00BA0DE0"/>
    <w:rsid w:val="00BA2F63"/>
    <w:rsid w:val="00BA31CB"/>
    <w:rsid w:val="00BA3322"/>
    <w:rsid w:val="00BA365B"/>
    <w:rsid w:val="00BA391E"/>
    <w:rsid w:val="00BA4344"/>
    <w:rsid w:val="00BA491D"/>
    <w:rsid w:val="00BA5CFF"/>
    <w:rsid w:val="00BA6127"/>
    <w:rsid w:val="00BA72A4"/>
    <w:rsid w:val="00BB0011"/>
    <w:rsid w:val="00BB0E83"/>
    <w:rsid w:val="00BB19A5"/>
    <w:rsid w:val="00BB4476"/>
    <w:rsid w:val="00BB448D"/>
    <w:rsid w:val="00BB55AB"/>
    <w:rsid w:val="00BB5CBE"/>
    <w:rsid w:val="00BB7680"/>
    <w:rsid w:val="00BB782A"/>
    <w:rsid w:val="00BB7A2F"/>
    <w:rsid w:val="00BB7B7D"/>
    <w:rsid w:val="00BB7B9E"/>
    <w:rsid w:val="00BC0548"/>
    <w:rsid w:val="00BC0681"/>
    <w:rsid w:val="00BC0EB7"/>
    <w:rsid w:val="00BC11DE"/>
    <w:rsid w:val="00BC22B3"/>
    <w:rsid w:val="00BC25C0"/>
    <w:rsid w:val="00BC2BA0"/>
    <w:rsid w:val="00BC31EF"/>
    <w:rsid w:val="00BC548E"/>
    <w:rsid w:val="00BC5911"/>
    <w:rsid w:val="00BC65F5"/>
    <w:rsid w:val="00BC766C"/>
    <w:rsid w:val="00BC7911"/>
    <w:rsid w:val="00BD01A9"/>
    <w:rsid w:val="00BD0273"/>
    <w:rsid w:val="00BD02A9"/>
    <w:rsid w:val="00BD0FB7"/>
    <w:rsid w:val="00BD17F5"/>
    <w:rsid w:val="00BD1827"/>
    <w:rsid w:val="00BD1D6E"/>
    <w:rsid w:val="00BD3878"/>
    <w:rsid w:val="00BD43BF"/>
    <w:rsid w:val="00BD4592"/>
    <w:rsid w:val="00BD4987"/>
    <w:rsid w:val="00BD4D3C"/>
    <w:rsid w:val="00BD5431"/>
    <w:rsid w:val="00BD5FE2"/>
    <w:rsid w:val="00BD6399"/>
    <w:rsid w:val="00BD7232"/>
    <w:rsid w:val="00BD7A3C"/>
    <w:rsid w:val="00BD7C7F"/>
    <w:rsid w:val="00BE089A"/>
    <w:rsid w:val="00BE0AD5"/>
    <w:rsid w:val="00BE0CE1"/>
    <w:rsid w:val="00BE1FEB"/>
    <w:rsid w:val="00BE25B8"/>
    <w:rsid w:val="00BE39FF"/>
    <w:rsid w:val="00BE4F08"/>
    <w:rsid w:val="00BE4F2F"/>
    <w:rsid w:val="00BE4F4E"/>
    <w:rsid w:val="00BE5264"/>
    <w:rsid w:val="00BE543E"/>
    <w:rsid w:val="00BE60F8"/>
    <w:rsid w:val="00BE6776"/>
    <w:rsid w:val="00BE7A0F"/>
    <w:rsid w:val="00BE7FCC"/>
    <w:rsid w:val="00BF08C5"/>
    <w:rsid w:val="00BF09A1"/>
    <w:rsid w:val="00BF12EF"/>
    <w:rsid w:val="00BF1EB9"/>
    <w:rsid w:val="00BF2F0C"/>
    <w:rsid w:val="00BF372F"/>
    <w:rsid w:val="00BF39C4"/>
    <w:rsid w:val="00BF3EF9"/>
    <w:rsid w:val="00BF3EFF"/>
    <w:rsid w:val="00BF59D4"/>
    <w:rsid w:val="00BF5B44"/>
    <w:rsid w:val="00BF6926"/>
    <w:rsid w:val="00BF7C8A"/>
    <w:rsid w:val="00C02D60"/>
    <w:rsid w:val="00C037C7"/>
    <w:rsid w:val="00C03D49"/>
    <w:rsid w:val="00C0471C"/>
    <w:rsid w:val="00C05580"/>
    <w:rsid w:val="00C0624C"/>
    <w:rsid w:val="00C066BB"/>
    <w:rsid w:val="00C0683F"/>
    <w:rsid w:val="00C06D7F"/>
    <w:rsid w:val="00C0707C"/>
    <w:rsid w:val="00C07279"/>
    <w:rsid w:val="00C07940"/>
    <w:rsid w:val="00C07E2C"/>
    <w:rsid w:val="00C103CB"/>
    <w:rsid w:val="00C11066"/>
    <w:rsid w:val="00C11A43"/>
    <w:rsid w:val="00C120A4"/>
    <w:rsid w:val="00C12228"/>
    <w:rsid w:val="00C129FA"/>
    <w:rsid w:val="00C12D9E"/>
    <w:rsid w:val="00C12E36"/>
    <w:rsid w:val="00C133AC"/>
    <w:rsid w:val="00C13556"/>
    <w:rsid w:val="00C135DD"/>
    <w:rsid w:val="00C13820"/>
    <w:rsid w:val="00C13ADB"/>
    <w:rsid w:val="00C13DEB"/>
    <w:rsid w:val="00C1407B"/>
    <w:rsid w:val="00C149CF"/>
    <w:rsid w:val="00C15D57"/>
    <w:rsid w:val="00C2099F"/>
    <w:rsid w:val="00C21244"/>
    <w:rsid w:val="00C21502"/>
    <w:rsid w:val="00C2250F"/>
    <w:rsid w:val="00C22BE0"/>
    <w:rsid w:val="00C231F7"/>
    <w:rsid w:val="00C234D5"/>
    <w:rsid w:val="00C238D0"/>
    <w:rsid w:val="00C239A9"/>
    <w:rsid w:val="00C23C7A"/>
    <w:rsid w:val="00C2460C"/>
    <w:rsid w:val="00C2536E"/>
    <w:rsid w:val="00C25927"/>
    <w:rsid w:val="00C25ACC"/>
    <w:rsid w:val="00C25C9A"/>
    <w:rsid w:val="00C25F17"/>
    <w:rsid w:val="00C26942"/>
    <w:rsid w:val="00C3023F"/>
    <w:rsid w:val="00C30503"/>
    <w:rsid w:val="00C3068B"/>
    <w:rsid w:val="00C30D32"/>
    <w:rsid w:val="00C30E10"/>
    <w:rsid w:val="00C31631"/>
    <w:rsid w:val="00C32055"/>
    <w:rsid w:val="00C320CE"/>
    <w:rsid w:val="00C32BEB"/>
    <w:rsid w:val="00C32E4D"/>
    <w:rsid w:val="00C32F59"/>
    <w:rsid w:val="00C33154"/>
    <w:rsid w:val="00C339EA"/>
    <w:rsid w:val="00C33BC6"/>
    <w:rsid w:val="00C34743"/>
    <w:rsid w:val="00C3483C"/>
    <w:rsid w:val="00C34B6F"/>
    <w:rsid w:val="00C35194"/>
    <w:rsid w:val="00C354FE"/>
    <w:rsid w:val="00C3597B"/>
    <w:rsid w:val="00C401B7"/>
    <w:rsid w:val="00C411B6"/>
    <w:rsid w:val="00C42C76"/>
    <w:rsid w:val="00C43522"/>
    <w:rsid w:val="00C43C5B"/>
    <w:rsid w:val="00C4495B"/>
    <w:rsid w:val="00C45B14"/>
    <w:rsid w:val="00C46D5A"/>
    <w:rsid w:val="00C47735"/>
    <w:rsid w:val="00C50C88"/>
    <w:rsid w:val="00C51398"/>
    <w:rsid w:val="00C51BF6"/>
    <w:rsid w:val="00C51FC6"/>
    <w:rsid w:val="00C523A8"/>
    <w:rsid w:val="00C531E2"/>
    <w:rsid w:val="00C54959"/>
    <w:rsid w:val="00C553D0"/>
    <w:rsid w:val="00C561C6"/>
    <w:rsid w:val="00C57BC1"/>
    <w:rsid w:val="00C604BF"/>
    <w:rsid w:val="00C604DC"/>
    <w:rsid w:val="00C610BB"/>
    <w:rsid w:val="00C6178C"/>
    <w:rsid w:val="00C6239D"/>
    <w:rsid w:val="00C624B5"/>
    <w:rsid w:val="00C626BC"/>
    <w:rsid w:val="00C62F07"/>
    <w:rsid w:val="00C62FB7"/>
    <w:rsid w:val="00C62FF7"/>
    <w:rsid w:val="00C63C1B"/>
    <w:rsid w:val="00C6444A"/>
    <w:rsid w:val="00C646A7"/>
    <w:rsid w:val="00C64FAC"/>
    <w:rsid w:val="00C65125"/>
    <w:rsid w:val="00C65C7A"/>
    <w:rsid w:val="00C663FD"/>
    <w:rsid w:val="00C671FA"/>
    <w:rsid w:val="00C70454"/>
    <w:rsid w:val="00C7055B"/>
    <w:rsid w:val="00C70EEC"/>
    <w:rsid w:val="00C72269"/>
    <w:rsid w:val="00C7231C"/>
    <w:rsid w:val="00C72BCC"/>
    <w:rsid w:val="00C7333F"/>
    <w:rsid w:val="00C73B5E"/>
    <w:rsid w:val="00C7453E"/>
    <w:rsid w:val="00C74AEC"/>
    <w:rsid w:val="00C7507B"/>
    <w:rsid w:val="00C7691F"/>
    <w:rsid w:val="00C8021B"/>
    <w:rsid w:val="00C805B6"/>
    <w:rsid w:val="00C80A4E"/>
    <w:rsid w:val="00C818DA"/>
    <w:rsid w:val="00C824C6"/>
    <w:rsid w:val="00C8373B"/>
    <w:rsid w:val="00C84435"/>
    <w:rsid w:val="00C844AC"/>
    <w:rsid w:val="00C845EF"/>
    <w:rsid w:val="00C85335"/>
    <w:rsid w:val="00C858EA"/>
    <w:rsid w:val="00C866F8"/>
    <w:rsid w:val="00C87B6E"/>
    <w:rsid w:val="00C87B89"/>
    <w:rsid w:val="00C87B8C"/>
    <w:rsid w:val="00C87E6A"/>
    <w:rsid w:val="00C9048A"/>
    <w:rsid w:val="00C9078F"/>
    <w:rsid w:val="00C91460"/>
    <w:rsid w:val="00C9444E"/>
    <w:rsid w:val="00C948E6"/>
    <w:rsid w:val="00C955D0"/>
    <w:rsid w:val="00C968B4"/>
    <w:rsid w:val="00C97356"/>
    <w:rsid w:val="00C9745D"/>
    <w:rsid w:val="00CA0847"/>
    <w:rsid w:val="00CA0C63"/>
    <w:rsid w:val="00CA3A88"/>
    <w:rsid w:val="00CA4A50"/>
    <w:rsid w:val="00CA5628"/>
    <w:rsid w:val="00CA568E"/>
    <w:rsid w:val="00CA5D8C"/>
    <w:rsid w:val="00CA62E1"/>
    <w:rsid w:val="00CA76E5"/>
    <w:rsid w:val="00CB0135"/>
    <w:rsid w:val="00CB16E1"/>
    <w:rsid w:val="00CB1799"/>
    <w:rsid w:val="00CB1E9F"/>
    <w:rsid w:val="00CB1F3B"/>
    <w:rsid w:val="00CB22D6"/>
    <w:rsid w:val="00CB24F7"/>
    <w:rsid w:val="00CB2825"/>
    <w:rsid w:val="00CB298C"/>
    <w:rsid w:val="00CB31C8"/>
    <w:rsid w:val="00CB3A9E"/>
    <w:rsid w:val="00CB3D1C"/>
    <w:rsid w:val="00CB3D9F"/>
    <w:rsid w:val="00CB45CF"/>
    <w:rsid w:val="00CB490F"/>
    <w:rsid w:val="00CB5FDD"/>
    <w:rsid w:val="00CC14B8"/>
    <w:rsid w:val="00CC32CB"/>
    <w:rsid w:val="00CC40BC"/>
    <w:rsid w:val="00CC42AB"/>
    <w:rsid w:val="00CC561F"/>
    <w:rsid w:val="00CC591E"/>
    <w:rsid w:val="00CC60B8"/>
    <w:rsid w:val="00CC70BA"/>
    <w:rsid w:val="00CC74AF"/>
    <w:rsid w:val="00CD0DF6"/>
    <w:rsid w:val="00CD1CF3"/>
    <w:rsid w:val="00CD1F95"/>
    <w:rsid w:val="00CD203E"/>
    <w:rsid w:val="00CD2378"/>
    <w:rsid w:val="00CD2AE7"/>
    <w:rsid w:val="00CD318B"/>
    <w:rsid w:val="00CD3CA3"/>
    <w:rsid w:val="00CD3DB9"/>
    <w:rsid w:val="00CD48CF"/>
    <w:rsid w:val="00CD4B3C"/>
    <w:rsid w:val="00CD4D87"/>
    <w:rsid w:val="00CD5399"/>
    <w:rsid w:val="00CD58FB"/>
    <w:rsid w:val="00CE1468"/>
    <w:rsid w:val="00CE1574"/>
    <w:rsid w:val="00CE20D0"/>
    <w:rsid w:val="00CE27D2"/>
    <w:rsid w:val="00CE2A14"/>
    <w:rsid w:val="00CE2AA0"/>
    <w:rsid w:val="00CE2FA3"/>
    <w:rsid w:val="00CE4C85"/>
    <w:rsid w:val="00CE5ED0"/>
    <w:rsid w:val="00CE6019"/>
    <w:rsid w:val="00CE74DB"/>
    <w:rsid w:val="00CE7985"/>
    <w:rsid w:val="00CE79EE"/>
    <w:rsid w:val="00CF0CF1"/>
    <w:rsid w:val="00CF175F"/>
    <w:rsid w:val="00CF1E4A"/>
    <w:rsid w:val="00CF243E"/>
    <w:rsid w:val="00CF2ABB"/>
    <w:rsid w:val="00CF2EA7"/>
    <w:rsid w:val="00CF35DE"/>
    <w:rsid w:val="00CF49B0"/>
    <w:rsid w:val="00CF4C31"/>
    <w:rsid w:val="00CF5CE2"/>
    <w:rsid w:val="00CF6461"/>
    <w:rsid w:val="00CF7A33"/>
    <w:rsid w:val="00CF7C62"/>
    <w:rsid w:val="00D001C5"/>
    <w:rsid w:val="00D003B9"/>
    <w:rsid w:val="00D0140C"/>
    <w:rsid w:val="00D01CD8"/>
    <w:rsid w:val="00D01F00"/>
    <w:rsid w:val="00D020B6"/>
    <w:rsid w:val="00D025B0"/>
    <w:rsid w:val="00D0265E"/>
    <w:rsid w:val="00D02C9F"/>
    <w:rsid w:val="00D02F46"/>
    <w:rsid w:val="00D04A33"/>
    <w:rsid w:val="00D07FA3"/>
    <w:rsid w:val="00D10817"/>
    <w:rsid w:val="00D10B76"/>
    <w:rsid w:val="00D11D28"/>
    <w:rsid w:val="00D12D73"/>
    <w:rsid w:val="00D13E64"/>
    <w:rsid w:val="00D13F7A"/>
    <w:rsid w:val="00D13FF6"/>
    <w:rsid w:val="00D143D0"/>
    <w:rsid w:val="00D144FE"/>
    <w:rsid w:val="00D14944"/>
    <w:rsid w:val="00D154B2"/>
    <w:rsid w:val="00D1557D"/>
    <w:rsid w:val="00D161EE"/>
    <w:rsid w:val="00D17E5E"/>
    <w:rsid w:val="00D20B1A"/>
    <w:rsid w:val="00D2124F"/>
    <w:rsid w:val="00D215CE"/>
    <w:rsid w:val="00D217C1"/>
    <w:rsid w:val="00D21E12"/>
    <w:rsid w:val="00D21E6A"/>
    <w:rsid w:val="00D21FB1"/>
    <w:rsid w:val="00D221B0"/>
    <w:rsid w:val="00D2269C"/>
    <w:rsid w:val="00D2282D"/>
    <w:rsid w:val="00D236F9"/>
    <w:rsid w:val="00D23E85"/>
    <w:rsid w:val="00D24305"/>
    <w:rsid w:val="00D24E6A"/>
    <w:rsid w:val="00D250C3"/>
    <w:rsid w:val="00D255D7"/>
    <w:rsid w:val="00D25C01"/>
    <w:rsid w:val="00D26A85"/>
    <w:rsid w:val="00D2747B"/>
    <w:rsid w:val="00D27B15"/>
    <w:rsid w:val="00D307AE"/>
    <w:rsid w:val="00D30C33"/>
    <w:rsid w:val="00D31133"/>
    <w:rsid w:val="00D315EE"/>
    <w:rsid w:val="00D321BE"/>
    <w:rsid w:val="00D32376"/>
    <w:rsid w:val="00D32C0F"/>
    <w:rsid w:val="00D349E1"/>
    <w:rsid w:val="00D36095"/>
    <w:rsid w:val="00D37501"/>
    <w:rsid w:val="00D37C3B"/>
    <w:rsid w:val="00D40C4A"/>
    <w:rsid w:val="00D41E2F"/>
    <w:rsid w:val="00D42097"/>
    <w:rsid w:val="00D42D1F"/>
    <w:rsid w:val="00D4379A"/>
    <w:rsid w:val="00D43BB8"/>
    <w:rsid w:val="00D43CD6"/>
    <w:rsid w:val="00D44528"/>
    <w:rsid w:val="00D44B58"/>
    <w:rsid w:val="00D44BCF"/>
    <w:rsid w:val="00D4550D"/>
    <w:rsid w:val="00D469CF"/>
    <w:rsid w:val="00D46AC7"/>
    <w:rsid w:val="00D46B64"/>
    <w:rsid w:val="00D46B77"/>
    <w:rsid w:val="00D46FFE"/>
    <w:rsid w:val="00D47BA3"/>
    <w:rsid w:val="00D513AC"/>
    <w:rsid w:val="00D517B3"/>
    <w:rsid w:val="00D518BC"/>
    <w:rsid w:val="00D51D79"/>
    <w:rsid w:val="00D51FF0"/>
    <w:rsid w:val="00D52A2E"/>
    <w:rsid w:val="00D54069"/>
    <w:rsid w:val="00D5432D"/>
    <w:rsid w:val="00D548D3"/>
    <w:rsid w:val="00D553BC"/>
    <w:rsid w:val="00D557B4"/>
    <w:rsid w:val="00D55C10"/>
    <w:rsid w:val="00D55FD7"/>
    <w:rsid w:val="00D5668E"/>
    <w:rsid w:val="00D570B6"/>
    <w:rsid w:val="00D57122"/>
    <w:rsid w:val="00D57390"/>
    <w:rsid w:val="00D5752D"/>
    <w:rsid w:val="00D576BE"/>
    <w:rsid w:val="00D605C7"/>
    <w:rsid w:val="00D610BC"/>
    <w:rsid w:val="00D610DB"/>
    <w:rsid w:val="00D61456"/>
    <w:rsid w:val="00D622B8"/>
    <w:rsid w:val="00D62C66"/>
    <w:rsid w:val="00D63291"/>
    <w:rsid w:val="00D63B46"/>
    <w:rsid w:val="00D644F5"/>
    <w:rsid w:val="00D64766"/>
    <w:rsid w:val="00D64EB0"/>
    <w:rsid w:val="00D65443"/>
    <w:rsid w:val="00D67430"/>
    <w:rsid w:val="00D705F6"/>
    <w:rsid w:val="00D7163C"/>
    <w:rsid w:val="00D71C0D"/>
    <w:rsid w:val="00D72A7C"/>
    <w:rsid w:val="00D731E6"/>
    <w:rsid w:val="00D7344E"/>
    <w:rsid w:val="00D735E9"/>
    <w:rsid w:val="00D73C04"/>
    <w:rsid w:val="00D73F1E"/>
    <w:rsid w:val="00D75B11"/>
    <w:rsid w:val="00D75B6D"/>
    <w:rsid w:val="00D75C3E"/>
    <w:rsid w:val="00D760A3"/>
    <w:rsid w:val="00D779F6"/>
    <w:rsid w:val="00D80417"/>
    <w:rsid w:val="00D80A92"/>
    <w:rsid w:val="00D80DF5"/>
    <w:rsid w:val="00D81258"/>
    <w:rsid w:val="00D81458"/>
    <w:rsid w:val="00D81533"/>
    <w:rsid w:val="00D81EBD"/>
    <w:rsid w:val="00D82689"/>
    <w:rsid w:val="00D827AC"/>
    <w:rsid w:val="00D8317C"/>
    <w:rsid w:val="00D83A78"/>
    <w:rsid w:val="00D83BB6"/>
    <w:rsid w:val="00D84003"/>
    <w:rsid w:val="00D84AF8"/>
    <w:rsid w:val="00D852EC"/>
    <w:rsid w:val="00D87280"/>
    <w:rsid w:val="00D90B14"/>
    <w:rsid w:val="00D91E61"/>
    <w:rsid w:val="00D9282B"/>
    <w:rsid w:val="00D92E17"/>
    <w:rsid w:val="00D93832"/>
    <w:rsid w:val="00D94685"/>
    <w:rsid w:val="00D94AD2"/>
    <w:rsid w:val="00D94F46"/>
    <w:rsid w:val="00D95C0D"/>
    <w:rsid w:val="00D95C3F"/>
    <w:rsid w:val="00D95C53"/>
    <w:rsid w:val="00D95E43"/>
    <w:rsid w:val="00D9607F"/>
    <w:rsid w:val="00D9756A"/>
    <w:rsid w:val="00D9775D"/>
    <w:rsid w:val="00DA0E9D"/>
    <w:rsid w:val="00DA18CE"/>
    <w:rsid w:val="00DA280D"/>
    <w:rsid w:val="00DA341F"/>
    <w:rsid w:val="00DA440A"/>
    <w:rsid w:val="00DA5CBD"/>
    <w:rsid w:val="00DA6789"/>
    <w:rsid w:val="00DA6CAB"/>
    <w:rsid w:val="00DA75D2"/>
    <w:rsid w:val="00DA7945"/>
    <w:rsid w:val="00DA7BB6"/>
    <w:rsid w:val="00DB02B9"/>
    <w:rsid w:val="00DB1D9B"/>
    <w:rsid w:val="00DB1E24"/>
    <w:rsid w:val="00DB20CE"/>
    <w:rsid w:val="00DB2C0E"/>
    <w:rsid w:val="00DB304B"/>
    <w:rsid w:val="00DB347C"/>
    <w:rsid w:val="00DB3D27"/>
    <w:rsid w:val="00DB456E"/>
    <w:rsid w:val="00DB4A73"/>
    <w:rsid w:val="00DB50A6"/>
    <w:rsid w:val="00DB52CC"/>
    <w:rsid w:val="00DB5554"/>
    <w:rsid w:val="00DB561B"/>
    <w:rsid w:val="00DB6831"/>
    <w:rsid w:val="00DB6EE5"/>
    <w:rsid w:val="00DB76F6"/>
    <w:rsid w:val="00DB7B12"/>
    <w:rsid w:val="00DB7F79"/>
    <w:rsid w:val="00DB7F9A"/>
    <w:rsid w:val="00DC0324"/>
    <w:rsid w:val="00DC0BBC"/>
    <w:rsid w:val="00DC1256"/>
    <w:rsid w:val="00DC135D"/>
    <w:rsid w:val="00DC154E"/>
    <w:rsid w:val="00DC2777"/>
    <w:rsid w:val="00DC5E78"/>
    <w:rsid w:val="00DC6671"/>
    <w:rsid w:val="00DC6E25"/>
    <w:rsid w:val="00DC6FFA"/>
    <w:rsid w:val="00DC71D2"/>
    <w:rsid w:val="00DC7DDB"/>
    <w:rsid w:val="00DD0B76"/>
    <w:rsid w:val="00DD124C"/>
    <w:rsid w:val="00DD2CAA"/>
    <w:rsid w:val="00DD3EB6"/>
    <w:rsid w:val="00DD4923"/>
    <w:rsid w:val="00DD4F51"/>
    <w:rsid w:val="00DD5433"/>
    <w:rsid w:val="00DD54CF"/>
    <w:rsid w:val="00DD58C0"/>
    <w:rsid w:val="00DD5E50"/>
    <w:rsid w:val="00DD61C2"/>
    <w:rsid w:val="00DD6825"/>
    <w:rsid w:val="00DD6900"/>
    <w:rsid w:val="00DD6B6A"/>
    <w:rsid w:val="00DD7DDC"/>
    <w:rsid w:val="00DD7DEB"/>
    <w:rsid w:val="00DE1448"/>
    <w:rsid w:val="00DE24D1"/>
    <w:rsid w:val="00DE35FD"/>
    <w:rsid w:val="00DE4614"/>
    <w:rsid w:val="00DE5066"/>
    <w:rsid w:val="00DE579B"/>
    <w:rsid w:val="00DE5C22"/>
    <w:rsid w:val="00DE719D"/>
    <w:rsid w:val="00DF15D1"/>
    <w:rsid w:val="00DF1E7F"/>
    <w:rsid w:val="00DF20F9"/>
    <w:rsid w:val="00DF2F02"/>
    <w:rsid w:val="00DF31F8"/>
    <w:rsid w:val="00DF337E"/>
    <w:rsid w:val="00DF4612"/>
    <w:rsid w:val="00DF49C2"/>
    <w:rsid w:val="00DF4F22"/>
    <w:rsid w:val="00DF5582"/>
    <w:rsid w:val="00DF64DC"/>
    <w:rsid w:val="00DF6971"/>
    <w:rsid w:val="00DF6EE2"/>
    <w:rsid w:val="00DF713E"/>
    <w:rsid w:val="00DF79D0"/>
    <w:rsid w:val="00DF7B9E"/>
    <w:rsid w:val="00DF7FC8"/>
    <w:rsid w:val="00E00EF2"/>
    <w:rsid w:val="00E01539"/>
    <w:rsid w:val="00E022B1"/>
    <w:rsid w:val="00E02843"/>
    <w:rsid w:val="00E02C0E"/>
    <w:rsid w:val="00E0483E"/>
    <w:rsid w:val="00E05971"/>
    <w:rsid w:val="00E05B16"/>
    <w:rsid w:val="00E064B5"/>
    <w:rsid w:val="00E0707F"/>
    <w:rsid w:val="00E07121"/>
    <w:rsid w:val="00E10E2F"/>
    <w:rsid w:val="00E11B77"/>
    <w:rsid w:val="00E11C52"/>
    <w:rsid w:val="00E11EC6"/>
    <w:rsid w:val="00E1357F"/>
    <w:rsid w:val="00E143C7"/>
    <w:rsid w:val="00E14EE4"/>
    <w:rsid w:val="00E15188"/>
    <w:rsid w:val="00E163AF"/>
    <w:rsid w:val="00E17B89"/>
    <w:rsid w:val="00E17CC0"/>
    <w:rsid w:val="00E2086D"/>
    <w:rsid w:val="00E220B0"/>
    <w:rsid w:val="00E22C00"/>
    <w:rsid w:val="00E23038"/>
    <w:rsid w:val="00E2307C"/>
    <w:rsid w:val="00E23510"/>
    <w:rsid w:val="00E2391E"/>
    <w:rsid w:val="00E23E1C"/>
    <w:rsid w:val="00E241E7"/>
    <w:rsid w:val="00E2498E"/>
    <w:rsid w:val="00E25287"/>
    <w:rsid w:val="00E252C9"/>
    <w:rsid w:val="00E2596A"/>
    <w:rsid w:val="00E268B2"/>
    <w:rsid w:val="00E26ECC"/>
    <w:rsid w:val="00E27DA9"/>
    <w:rsid w:val="00E304CB"/>
    <w:rsid w:val="00E30949"/>
    <w:rsid w:val="00E316D1"/>
    <w:rsid w:val="00E324E8"/>
    <w:rsid w:val="00E32D94"/>
    <w:rsid w:val="00E32E37"/>
    <w:rsid w:val="00E3440B"/>
    <w:rsid w:val="00E348ED"/>
    <w:rsid w:val="00E359BD"/>
    <w:rsid w:val="00E362DE"/>
    <w:rsid w:val="00E36BF6"/>
    <w:rsid w:val="00E36CB0"/>
    <w:rsid w:val="00E3784A"/>
    <w:rsid w:val="00E37E47"/>
    <w:rsid w:val="00E40363"/>
    <w:rsid w:val="00E40626"/>
    <w:rsid w:val="00E41796"/>
    <w:rsid w:val="00E422B1"/>
    <w:rsid w:val="00E42712"/>
    <w:rsid w:val="00E43165"/>
    <w:rsid w:val="00E43C0C"/>
    <w:rsid w:val="00E43D3B"/>
    <w:rsid w:val="00E44DF6"/>
    <w:rsid w:val="00E44F83"/>
    <w:rsid w:val="00E46105"/>
    <w:rsid w:val="00E4651E"/>
    <w:rsid w:val="00E50A5D"/>
    <w:rsid w:val="00E514FC"/>
    <w:rsid w:val="00E52E3A"/>
    <w:rsid w:val="00E530BB"/>
    <w:rsid w:val="00E532CC"/>
    <w:rsid w:val="00E53682"/>
    <w:rsid w:val="00E53718"/>
    <w:rsid w:val="00E53C93"/>
    <w:rsid w:val="00E53D10"/>
    <w:rsid w:val="00E54785"/>
    <w:rsid w:val="00E54D1F"/>
    <w:rsid w:val="00E55E49"/>
    <w:rsid w:val="00E57882"/>
    <w:rsid w:val="00E60AD7"/>
    <w:rsid w:val="00E61E21"/>
    <w:rsid w:val="00E61FC9"/>
    <w:rsid w:val="00E61FD5"/>
    <w:rsid w:val="00E62051"/>
    <w:rsid w:val="00E633E8"/>
    <w:rsid w:val="00E663CA"/>
    <w:rsid w:val="00E66C13"/>
    <w:rsid w:val="00E67072"/>
    <w:rsid w:val="00E67388"/>
    <w:rsid w:val="00E67837"/>
    <w:rsid w:val="00E7058D"/>
    <w:rsid w:val="00E70AC8"/>
    <w:rsid w:val="00E717FC"/>
    <w:rsid w:val="00E724FF"/>
    <w:rsid w:val="00E7346F"/>
    <w:rsid w:val="00E7412E"/>
    <w:rsid w:val="00E74B79"/>
    <w:rsid w:val="00E7530D"/>
    <w:rsid w:val="00E75FBB"/>
    <w:rsid w:val="00E76194"/>
    <w:rsid w:val="00E7621A"/>
    <w:rsid w:val="00E764DE"/>
    <w:rsid w:val="00E7674B"/>
    <w:rsid w:val="00E76BFE"/>
    <w:rsid w:val="00E76C2E"/>
    <w:rsid w:val="00E76E25"/>
    <w:rsid w:val="00E77248"/>
    <w:rsid w:val="00E80CF4"/>
    <w:rsid w:val="00E8124A"/>
    <w:rsid w:val="00E81479"/>
    <w:rsid w:val="00E8204C"/>
    <w:rsid w:val="00E8284C"/>
    <w:rsid w:val="00E82B0B"/>
    <w:rsid w:val="00E82FC5"/>
    <w:rsid w:val="00E831B8"/>
    <w:rsid w:val="00E8373C"/>
    <w:rsid w:val="00E84AB9"/>
    <w:rsid w:val="00E8601C"/>
    <w:rsid w:val="00E86471"/>
    <w:rsid w:val="00E864E6"/>
    <w:rsid w:val="00E86C47"/>
    <w:rsid w:val="00E86D8F"/>
    <w:rsid w:val="00E87749"/>
    <w:rsid w:val="00E90039"/>
    <w:rsid w:val="00E91D47"/>
    <w:rsid w:val="00E91E76"/>
    <w:rsid w:val="00E926F4"/>
    <w:rsid w:val="00E92A42"/>
    <w:rsid w:val="00E932D8"/>
    <w:rsid w:val="00E93CAF"/>
    <w:rsid w:val="00E945A9"/>
    <w:rsid w:val="00E94D3F"/>
    <w:rsid w:val="00E94E5C"/>
    <w:rsid w:val="00E94FEB"/>
    <w:rsid w:val="00E956EE"/>
    <w:rsid w:val="00E95A90"/>
    <w:rsid w:val="00E96109"/>
    <w:rsid w:val="00E96798"/>
    <w:rsid w:val="00E96CBD"/>
    <w:rsid w:val="00EA06CD"/>
    <w:rsid w:val="00EA0C5C"/>
    <w:rsid w:val="00EA1CC3"/>
    <w:rsid w:val="00EA20A4"/>
    <w:rsid w:val="00EA232D"/>
    <w:rsid w:val="00EA334C"/>
    <w:rsid w:val="00EA3EDE"/>
    <w:rsid w:val="00EA456A"/>
    <w:rsid w:val="00EA4AE8"/>
    <w:rsid w:val="00EA4C0D"/>
    <w:rsid w:val="00EA4C5A"/>
    <w:rsid w:val="00EA4E70"/>
    <w:rsid w:val="00EA4F71"/>
    <w:rsid w:val="00EA5393"/>
    <w:rsid w:val="00EA61F9"/>
    <w:rsid w:val="00EA765C"/>
    <w:rsid w:val="00EA7CD3"/>
    <w:rsid w:val="00EA7F2A"/>
    <w:rsid w:val="00EB028B"/>
    <w:rsid w:val="00EB0694"/>
    <w:rsid w:val="00EB0FE4"/>
    <w:rsid w:val="00EB1293"/>
    <w:rsid w:val="00EB2DA6"/>
    <w:rsid w:val="00EB368C"/>
    <w:rsid w:val="00EB469F"/>
    <w:rsid w:val="00EB5027"/>
    <w:rsid w:val="00EB543A"/>
    <w:rsid w:val="00EB57C1"/>
    <w:rsid w:val="00EB609B"/>
    <w:rsid w:val="00EB60C9"/>
    <w:rsid w:val="00EB74D4"/>
    <w:rsid w:val="00EB75E7"/>
    <w:rsid w:val="00EC092B"/>
    <w:rsid w:val="00EC12E0"/>
    <w:rsid w:val="00EC204C"/>
    <w:rsid w:val="00EC34C4"/>
    <w:rsid w:val="00EC3584"/>
    <w:rsid w:val="00EC485E"/>
    <w:rsid w:val="00EC58A3"/>
    <w:rsid w:val="00EC640E"/>
    <w:rsid w:val="00EC688A"/>
    <w:rsid w:val="00EC6C5E"/>
    <w:rsid w:val="00EC7DEA"/>
    <w:rsid w:val="00ED1F26"/>
    <w:rsid w:val="00ED1F56"/>
    <w:rsid w:val="00ED38FA"/>
    <w:rsid w:val="00ED3BEB"/>
    <w:rsid w:val="00ED3DFA"/>
    <w:rsid w:val="00ED45A2"/>
    <w:rsid w:val="00ED53C8"/>
    <w:rsid w:val="00ED5830"/>
    <w:rsid w:val="00ED5DEC"/>
    <w:rsid w:val="00ED6444"/>
    <w:rsid w:val="00ED6E0F"/>
    <w:rsid w:val="00ED6E61"/>
    <w:rsid w:val="00ED7E88"/>
    <w:rsid w:val="00EE04E4"/>
    <w:rsid w:val="00EE05EC"/>
    <w:rsid w:val="00EE0BFA"/>
    <w:rsid w:val="00EE25D3"/>
    <w:rsid w:val="00EE2798"/>
    <w:rsid w:val="00EE2DFC"/>
    <w:rsid w:val="00EE3C10"/>
    <w:rsid w:val="00EE46B2"/>
    <w:rsid w:val="00EE6532"/>
    <w:rsid w:val="00EE71FB"/>
    <w:rsid w:val="00EE7A3D"/>
    <w:rsid w:val="00EE7D40"/>
    <w:rsid w:val="00EF0562"/>
    <w:rsid w:val="00EF070C"/>
    <w:rsid w:val="00EF0EA4"/>
    <w:rsid w:val="00EF1751"/>
    <w:rsid w:val="00EF18FC"/>
    <w:rsid w:val="00EF1C92"/>
    <w:rsid w:val="00EF2804"/>
    <w:rsid w:val="00EF31EE"/>
    <w:rsid w:val="00EF361D"/>
    <w:rsid w:val="00EF4988"/>
    <w:rsid w:val="00EF49EB"/>
    <w:rsid w:val="00EF4C9E"/>
    <w:rsid w:val="00EF758C"/>
    <w:rsid w:val="00F015C8"/>
    <w:rsid w:val="00F02341"/>
    <w:rsid w:val="00F029C7"/>
    <w:rsid w:val="00F03983"/>
    <w:rsid w:val="00F03D33"/>
    <w:rsid w:val="00F04AD8"/>
    <w:rsid w:val="00F05D63"/>
    <w:rsid w:val="00F06093"/>
    <w:rsid w:val="00F064FD"/>
    <w:rsid w:val="00F0651B"/>
    <w:rsid w:val="00F07A89"/>
    <w:rsid w:val="00F10D3C"/>
    <w:rsid w:val="00F111C8"/>
    <w:rsid w:val="00F11FC3"/>
    <w:rsid w:val="00F12190"/>
    <w:rsid w:val="00F133B0"/>
    <w:rsid w:val="00F13DF0"/>
    <w:rsid w:val="00F16091"/>
    <w:rsid w:val="00F16A72"/>
    <w:rsid w:val="00F176E8"/>
    <w:rsid w:val="00F178F2"/>
    <w:rsid w:val="00F217BC"/>
    <w:rsid w:val="00F22E30"/>
    <w:rsid w:val="00F22EAD"/>
    <w:rsid w:val="00F23230"/>
    <w:rsid w:val="00F2368C"/>
    <w:rsid w:val="00F24007"/>
    <w:rsid w:val="00F2406E"/>
    <w:rsid w:val="00F241DA"/>
    <w:rsid w:val="00F24528"/>
    <w:rsid w:val="00F25886"/>
    <w:rsid w:val="00F26B74"/>
    <w:rsid w:val="00F26BAF"/>
    <w:rsid w:val="00F26FB9"/>
    <w:rsid w:val="00F27DC6"/>
    <w:rsid w:val="00F31016"/>
    <w:rsid w:val="00F31197"/>
    <w:rsid w:val="00F31867"/>
    <w:rsid w:val="00F32113"/>
    <w:rsid w:val="00F3256F"/>
    <w:rsid w:val="00F326FB"/>
    <w:rsid w:val="00F33651"/>
    <w:rsid w:val="00F34EEF"/>
    <w:rsid w:val="00F34F7C"/>
    <w:rsid w:val="00F35229"/>
    <w:rsid w:val="00F364A6"/>
    <w:rsid w:val="00F37243"/>
    <w:rsid w:val="00F401E5"/>
    <w:rsid w:val="00F408DA"/>
    <w:rsid w:val="00F40E79"/>
    <w:rsid w:val="00F41052"/>
    <w:rsid w:val="00F41313"/>
    <w:rsid w:val="00F4142D"/>
    <w:rsid w:val="00F42821"/>
    <w:rsid w:val="00F42922"/>
    <w:rsid w:val="00F441F0"/>
    <w:rsid w:val="00F448C2"/>
    <w:rsid w:val="00F44932"/>
    <w:rsid w:val="00F44C78"/>
    <w:rsid w:val="00F451F6"/>
    <w:rsid w:val="00F45EAA"/>
    <w:rsid w:val="00F460E9"/>
    <w:rsid w:val="00F46AAE"/>
    <w:rsid w:val="00F47097"/>
    <w:rsid w:val="00F47750"/>
    <w:rsid w:val="00F47BA5"/>
    <w:rsid w:val="00F47CE4"/>
    <w:rsid w:val="00F5040F"/>
    <w:rsid w:val="00F50996"/>
    <w:rsid w:val="00F5197E"/>
    <w:rsid w:val="00F51BA9"/>
    <w:rsid w:val="00F522E2"/>
    <w:rsid w:val="00F5267D"/>
    <w:rsid w:val="00F52AFB"/>
    <w:rsid w:val="00F52F0A"/>
    <w:rsid w:val="00F53341"/>
    <w:rsid w:val="00F53365"/>
    <w:rsid w:val="00F53A90"/>
    <w:rsid w:val="00F54F9A"/>
    <w:rsid w:val="00F55999"/>
    <w:rsid w:val="00F55D3F"/>
    <w:rsid w:val="00F55E77"/>
    <w:rsid w:val="00F578C4"/>
    <w:rsid w:val="00F57BFF"/>
    <w:rsid w:val="00F6171F"/>
    <w:rsid w:val="00F61CA9"/>
    <w:rsid w:val="00F61FE1"/>
    <w:rsid w:val="00F623EE"/>
    <w:rsid w:val="00F62546"/>
    <w:rsid w:val="00F625BA"/>
    <w:rsid w:val="00F6264E"/>
    <w:rsid w:val="00F627FC"/>
    <w:rsid w:val="00F62A0E"/>
    <w:rsid w:val="00F62C9A"/>
    <w:rsid w:val="00F63197"/>
    <w:rsid w:val="00F631E1"/>
    <w:rsid w:val="00F641CE"/>
    <w:rsid w:val="00F654D9"/>
    <w:rsid w:val="00F65CD1"/>
    <w:rsid w:val="00F66171"/>
    <w:rsid w:val="00F6654F"/>
    <w:rsid w:val="00F66F14"/>
    <w:rsid w:val="00F67C59"/>
    <w:rsid w:val="00F701C3"/>
    <w:rsid w:val="00F7093F"/>
    <w:rsid w:val="00F72BA6"/>
    <w:rsid w:val="00F734AE"/>
    <w:rsid w:val="00F73A11"/>
    <w:rsid w:val="00F73A43"/>
    <w:rsid w:val="00F74354"/>
    <w:rsid w:val="00F743EF"/>
    <w:rsid w:val="00F755BE"/>
    <w:rsid w:val="00F75B39"/>
    <w:rsid w:val="00F761C7"/>
    <w:rsid w:val="00F7659D"/>
    <w:rsid w:val="00F76E24"/>
    <w:rsid w:val="00F76FC8"/>
    <w:rsid w:val="00F7765D"/>
    <w:rsid w:val="00F77899"/>
    <w:rsid w:val="00F81602"/>
    <w:rsid w:val="00F822C7"/>
    <w:rsid w:val="00F84545"/>
    <w:rsid w:val="00F851F8"/>
    <w:rsid w:val="00F85ABF"/>
    <w:rsid w:val="00F85DB3"/>
    <w:rsid w:val="00F86150"/>
    <w:rsid w:val="00F869BC"/>
    <w:rsid w:val="00F9037C"/>
    <w:rsid w:val="00F91E58"/>
    <w:rsid w:val="00F936AB"/>
    <w:rsid w:val="00F93992"/>
    <w:rsid w:val="00F93CD5"/>
    <w:rsid w:val="00F93ECB"/>
    <w:rsid w:val="00F94B65"/>
    <w:rsid w:val="00F94D5F"/>
    <w:rsid w:val="00F952D7"/>
    <w:rsid w:val="00F9552E"/>
    <w:rsid w:val="00F964C4"/>
    <w:rsid w:val="00F96B54"/>
    <w:rsid w:val="00F97229"/>
    <w:rsid w:val="00F97298"/>
    <w:rsid w:val="00FA0024"/>
    <w:rsid w:val="00FA18E1"/>
    <w:rsid w:val="00FA1AB3"/>
    <w:rsid w:val="00FA232D"/>
    <w:rsid w:val="00FA26DD"/>
    <w:rsid w:val="00FA2B0D"/>
    <w:rsid w:val="00FA2CE9"/>
    <w:rsid w:val="00FA39F0"/>
    <w:rsid w:val="00FA6383"/>
    <w:rsid w:val="00FA670A"/>
    <w:rsid w:val="00FA7B9F"/>
    <w:rsid w:val="00FA7C7E"/>
    <w:rsid w:val="00FB02AC"/>
    <w:rsid w:val="00FB1B7C"/>
    <w:rsid w:val="00FB39E1"/>
    <w:rsid w:val="00FB47BB"/>
    <w:rsid w:val="00FB518F"/>
    <w:rsid w:val="00FB5D5B"/>
    <w:rsid w:val="00FB6E1D"/>
    <w:rsid w:val="00FB7BAB"/>
    <w:rsid w:val="00FC0202"/>
    <w:rsid w:val="00FC0267"/>
    <w:rsid w:val="00FC158B"/>
    <w:rsid w:val="00FC2BD3"/>
    <w:rsid w:val="00FC2EAD"/>
    <w:rsid w:val="00FC3988"/>
    <w:rsid w:val="00FC42A5"/>
    <w:rsid w:val="00FC5BCD"/>
    <w:rsid w:val="00FC74A4"/>
    <w:rsid w:val="00FC7572"/>
    <w:rsid w:val="00FD0EC5"/>
    <w:rsid w:val="00FD1AEF"/>
    <w:rsid w:val="00FD1D9C"/>
    <w:rsid w:val="00FD20B6"/>
    <w:rsid w:val="00FD26CB"/>
    <w:rsid w:val="00FD27EC"/>
    <w:rsid w:val="00FD29B4"/>
    <w:rsid w:val="00FD342A"/>
    <w:rsid w:val="00FD3A1F"/>
    <w:rsid w:val="00FD3E15"/>
    <w:rsid w:val="00FD45F5"/>
    <w:rsid w:val="00FD5159"/>
    <w:rsid w:val="00FD554E"/>
    <w:rsid w:val="00FD5D3F"/>
    <w:rsid w:val="00FD5DED"/>
    <w:rsid w:val="00FD5F20"/>
    <w:rsid w:val="00FD6250"/>
    <w:rsid w:val="00FD7AAD"/>
    <w:rsid w:val="00FD7CFB"/>
    <w:rsid w:val="00FD7D1C"/>
    <w:rsid w:val="00FE0405"/>
    <w:rsid w:val="00FE073D"/>
    <w:rsid w:val="00FE1A79"/>
    <w:rsid w:val="00FE1B25"/>
    <w:rsid w:val="00FE1E25"/>
    <w:rsid w:val="00FE2299"/>
    <w:rsid w:val="00FE2652"/>
    <w:rsid w:val="00FE3A9C"/>
    <w:rsid w:val="00FE3AD5"/>
    <w:rsid w:val="00FE3B2F"/>
    <w:rsid w:val="00FE3B56"/>
    <w:rsid w:val="00FE3E10"/>
    <w:rsid w:val="00FE403B"/>
    <w:rsid w:val="00FE4186"/>
    <w:rsid w:val="00FE4C1F"/>
    <w:rsid w:val="00FE4CC1"/>
    <w:rsid w:val="00FE51CE"/>
    <w:rsid w:val="00FE5576"/>
    <w:rsid w:val="00FE5796"/>
    <w:rsid w:val="00FE5B08"/>
    <w:rsid w:val="00FE6422"/>
    <w:rsid w:val="00FE644C"/>
    <w:rsid w:val="00FE6AFA"/>
    <w:rsid w:val="00FE6EF2"/>
    <w:rsid w:val="00FE7112"/>
    <w:rsid w:val="00FF1719"/>
    <w:rsid w:val="00FF3892"/>
    <w:rsid w:val="00FF41E4"/>
    <w:rsid w:val="00FF470B"/>
    <w:rsid w:val="00FF4C51"/>
    <w:rsid w:val="00FF4D79"/>
    <w:rsid w:val="00FF5296"/>
    <w:rsid w:val="00FF5A6A"/>
    <w:rsid w:val="00FF5DC0"/>
    <w:rsid w:val="00FF6F85"/>
    <w:rsid w:val="010A4302"/>
    <w:rsid w:val="01103DEE"/>
    <w:rsid w:val="011430E0"/>
    <w:rsid w:val="0115417E"/>
    <w:rsid w:val="011B3BAD"/>
    <w:rsid w:val="0125065E"/>
    <w:rsid w:val="0126367D"/>
    <w:rsid w:val="01291379"/>
    <w:rsid w:val="01313685"/>
    <w:rsid w:val="01352C9D"/>
    <w:rsid w:val="01490202"/>
    <w:rsid w:val="015B1D5D"/>
    <w:rsid w:val="015F2C0E"/>
    <w:rsid w:val="01660067"/>
    <w:rsid w:val="01707C60"/>
    <w:rsid w:val="01707ED4"/>
    <w:rsid w:val="01727A7A"/>
    <w:rsid w:val="017774D7"/>
    <w:rsid w:val="018A2EA6"/>
    <w:rsid w:val="018A35E1"/>
    <w:rsid w:val="01994DFD"/>
    <w:rsid w:val="01A30680"/>
    <w:rsid w:val="01C22F6D"/>
    <w:rsid w:val="01C76738"/>
    <w:rsid w:val="01CE7396"/>
    <w:rsid w:val="01CE79A1"/>
    <w:rsid w:val="01CF7D4C"/>
    <w:rsid w:val="01D2410C"/>
    <w:rsid w:val="01D426EF"/>
    <w:rsid w:val="01DE0F9D"/>
    <w:rsid w:val="01E2722D"/>
    <w:rsid w:val="01E548F5"/>
    <w:rsid w:val="01EA609D"/>
    <w:rsid w:val="01FC470A"/>
    <w:rsid w:val="0200050F"/>
    <w:rsid w:val="02116F3C"/>
    <w:rsid w:val="021B7FEF"/>
    <w:rsid w:val="022E3AD8"/>
    <w:rsid w:val="023A320F"/>
    <w:rsid w:val="023B3891"/>
    <w:rsid w:val="02411F97"/>
    <w:rsid w:val="0247477E"/>
    <w:rsid w:val="02475542"/>
    <w:rsid w:val="025556AA"/>
    <w:rsid w:val="02575203"/>
    <w:rsid w:val="0259170A"/>
    <w:rsid w:val="02794D45"/>
    <w:rsid w:val="02A060B3"/>
    <w:rsid w:val="02A31D43"/>
    <w:rsid w:val="02A56A65"/>
    <w:rsid w:val="02B37173"/>
    <w:rsid w:val="02BF072F"/>
    <w:rsid w:val="02CF2168"/>
    <w:rsid w:val="02D0120F"/>
    <w:rsid w:val="02D07197"/>
    <w:rsid w:val="02D861EB"/>
    <w:rsid w:val="02E34084"/>
    <w:rsid w:val="02E455B4"/>
    <w:rsid w:val="02EF1089"/>
    <w:rsid w:val="02F21319"/>
    <w:rsid w:val="02F672A7"/>
    <w:rsid w:val="02FF6A62"/>
    <w:rsid w:val="030A3176"/>
    <w:rsid w:val="03140A2D"/>
    <w:rsid w:val="03266D9B"/>
    <w:rsid w:val="0328543C"/>
    <w:rsid w:val="032A7409"/>
    <w:rsid w:val="032B2F62"/>
    <w:rsid w:val="03360576"/>
    <w:rsid w:val="03393171"/>
    <w:rsid w:val="0346018F"/>
    <w:rsid w:val="03500B16"/>
    <w:rsid w:val="035677F6"/>
    <w:rsid w:val="035D1D92"/>
    <w:rsid w:val="03654CF4"/>
    <w:rsid w:val="036E5181"/>
    <w:rsid w:val="037A6F81"/>
    <w:rsid w:val="037E4C7B"/>
    <w:rsid w:val="038B6B9A"/>
    <w:rsid w:val="038F3A1D"/>
    <w:rsid w:val="03986CCD"/>
    <w:rsid w:val="039A0EC2"/>
    <w:rsid w:val="039D7481"/>
    <w:rsid w:val="039E5273"/>
    <w:rsid w:val="03A52231"/>
    <w:rsid w:val="03AB2665"/>
    <w:rsid w:val="03B8645D"/>
    <w:rsid w:val="03D036A4"/>
    <w:rsid w:val="03E21725"/>
    <w:rsid w:val="03E5005B"/>
    <w:rsid w:val="03E5726B"/>
    <w:rsid w:val="03E93A8C"/>
    <w:rsid w:val="03EC061D"/>
    <w:rsid w:val="03F81768"/>
    <w:rsid w:val="04045E6A"/>
    <w:rsid w:val="040C3A14"/>
    <w:rsid w:val="040E14F3"/>
    <w:rsid w:val="0415505C"/>
    <w:rsid w:val="041A6C05"/>
    <w:rsid w:val="04332CDF"/>
    <w:rsid w:val="04380CC0"/>
    <w:rsid w:val="044432F0"/>
    <w:rsid w:val="04495FDE"/>
    <w:rsid w:val="044C50C5"/>
    <w:rsid w:val="04502353"/>
    <w:rsid w:val="045201A1"/>
    <w:rsid w:val="046B391E"/>
    <w:rsid w:val="04701CE7"/>
    <w:rsid w:val="04734C55"/>
    <w:rsid w:val="04741E26"/>
    <w:rsid w:val="04903AB9"/>
    <w:rsid w:val="0493235F"/>
    <w:rsid w:val="04BE1046"/>
    <w:rsid w:val="04C61637"/>
    <w:rsid w:val="04C63FEA"/>
    <w:rsid w:val="04C94501"/>
    <w:rsid w:val="04CB1780"/>
    <w:rsid w:val="04D44F15"/>
    <w:rsid w:val="04D93A80"/>
    <w:rsid w:val="04DD2207"/>
    <w:rsid w:val="04E3584E"/>
    <w:rsid w:val="04E50A9F"/>
    <w:rsid w:val="04E54B93"/>
    <w:rsid w:val="04E54E85"/>
    <w:rsid w:val="04E97600"/>
    <w:rsid w:val="04F92BB8"/>
    <w:rsid w:val="05016007"/>
    <w:rsid w:val="050A0D81"/>
    <w:rsid w:val="050B6253"/>
    <w:rsid w:val="05155561"/>
    <w:rsid w:val="051B1623"/>
    <w:rsid w:val="05242616"/>
    <w:rsid w:val="052A421D"/>
    <w:rsid w:val="052A6EAD"/>
    <w:rsid w:val="0530541B"/>
    <w:rsid w:val="053648B4"/>
    <w:rsid w:val="053B5C5B"/>
    <w:rsid w:val="053C7CB1"/>
    <w:rsid w:val="053F61FE"/>
    <w:rsid w:val="05401032"/>
    <w:rsid w:val="05467076"/>
    <w:rsid w:val="05593476"/>
    <w:rsid w:val="055A11E5"/>
    <w:rsid w:val="055D4C9B"/>
    <w:rsid w:val="05631B60"/>
    <w:rsid w:val="05656D3E"/>
    <w:rsid w:val="056F1574"/>
    <w:rsid w:val="056F71F6"/>
    <w:rsid w:val="05750690"/>
    <w:rsid w:val="058776E8"/>
    <w:rsid w:val="058D331A"/>
    <w:rsid w:val="059C66C3"/>
    <w:rsid w:val="059E73D5"/>
    <w:rsid w:val="05C65E49"/>
    <w:rsid w:val="05CB1C8A"/>
    <w:rsid w:val="05CB58EF"/>
    <w:rsid w:val="05CD2726"/>
    <w:rsid w:val="05D26D91"/>
    <w:rsid w:val="05D354C1"/>
    <w:rsid w:val="05E64F85"/>
    <w:rsid w:val="05ED29C6"/>
    <w:rsid w:val="05ED32D6"/>
    <w:rsid w:val="05F678C5"/>
    <w:rsid w:val="05F7047B"/>
    <w:rsid w:val="06026463"/>
    <w:rsid w:val="06052C76"/>
    <w:rsid w:val="060B6A40"/>
    <w:rsid w:val="060C084A"/>
    <w:rsid w:val="0641603C"/>
    <w:rsid w:val="0651356B"/>
    <w:rsid w:val="065943BC"/>
    <w:rsid w:val="0666051E"/>
    <w:rsid w:val="066C440C"/>
    <w:rsid w:val="066D231A"/>
    <w:rsid w:val="06700981"/>
    <w:rsid w:val="06794C4A"/>
    <w:rsid w:val="067C5A53"/>
    <w:rsid w:val="0680539A"/>
    <w:rsid w:val="06854C5A"/>
    <w:rsid w:val="06866D3F"/>
    <w:rsid w:val="06886017"/>
    <w:rsid w:val="06953F2D"/>
    <w:rsid w:val="069A1FD3"/>
    <w:rsid w:val="06A63010"/>
    <w:rsid w:val="06B727D5"/>
    <w:rsid w:val="06BA69AC"/>
    <w:rsid w:val="06C26844"/>
    <w:rsid w:val="06DB7E28"/>
    <w:rsid w:val="06DC5148"/>
    <w:rsid w:val="06F60C92"/>
    <w:rsid w:val="06F66655"/>
    <w:rsid w:val="06F83C72"/>
    <w:rsid w:val="06FE64AC"/>
    <w:rsid w:val="06FF6048"/>
    <w:rsid w:val="070275E7"/>
    <w:rsid w:val="07092D42"/>
    <w:rsid w:val="07155A97"/>
    <w:rsid w:val="072914E8"/>
    <w:rsid w:val="0741003B"/>
    <w:rsid w:val="07664FF7"/>
    <w:rsid w:val="07667422"/>
    <w:rsid w:val="076955CA"/>
    <w:rsid w:val="07713788"/>
    <w:rsid w:val="078064FB"/>
    <w:rsid w:val="078878C0"/>
    <w:rsid w:val="078D1423"/>
    <w:rsid w:val="07992B6F"/>
    <w:rsid w:val="0799339F"/>
    <w:rsid w:val="079B5ECF"/>
    <w:rsid w:val="079C363A"/>
    <w:rsid w:val="079D4186"/>
    <w:rsid w:val="079D7C2F"/>
    <w:rsid w:val="07B40B74"/>
    <w:rsid w:val="07BD221F"/>
    <w:rsid w:val="07C151C0"/>
    <w:rsid w:val="07C222DA"/>
    <w:rsid w:val="07D04243"/>
    <w:rsid w:val="07D1131E"/>
    <w:rsid w:val="07E02A06"/>
    <w:rsid w:val="07E41D20"/>
    <w:rsid w:val="07E46B89"/>
    <w:rsid w:val="07EA15C3"/>
    <w:rsid w:val="07EC1776"/>
    <w:rsid w:val="07EF7634"/>
    <w:rsid w:val="07F10050"/>
    <w:rsid w:val="07F117F2"/>
    <w:rsid w:val="07F8761B"/>
    <w:rsid w:val="07FA7BA5"/>
    <w:rsid w:val="0804153E"/>
    <w:rsid w:val="0808369C"/>
    <w:rsid w:val="08101A89"/>
    <w:rsid w:val="08102869"/>
    <w:rsid w:val="08183871"/>
    <w:rsid w:val="081E56B3"/>
    <w:rsid w:val="08255B60"/>
    <w:rsid w:val="082868A1"/>
    <w:rsid w:val="082B64FD"/>
    <w:rsid w:val="082E77FF"/>
    <w:rsid w:val="08405DBA"/>
    <w:rsid w:val="08465EAA"/>
    <w:rsid w:val="084C42BE"/>
    <w:rsid w:val="084D0C80"/>
    <w:rsid w:val="084E3D69"/>
    <w:rsid w:val="085807FB"/>
    <w:rsid w:val="085B6833"/>
    <w:rsid w:val="086F2AD8"/>
    <w:rsid w:val="087333BA"/>
    <w:rsid w:val="087D00C0"/>
    <w:rsid w:val="08824F8E"/>
    <w:rsid w:val="088733A9"/>
    <w:rsid w:val="088E7AC0"/>
    <w:rsid w:val="0896791F"/>
    <w:rsid w:val="08993F1E"/>
    <w:rsid w:val="08A86082"/>
    <w:rsid w:val="08BB77B4"/>
    <w:rsid w:val="08C35FA8"/>
    <w:rsid w:val="08C42CC2"/>
    <w:rsid w:val="08CF79F2"/>
    <w:rsid w:val="08D250DA"/>
    <w:rsid w:val="08D364B7"/>
    <w:rsid w:val="08DC062D"/>
    <w:rsid w:val="08F53DBD"/>
    <w:rsid w:val="08F8061D"/>
    <w:rsid w:val="08FD765F"/>
    <w:rsid w:val="090B6CFA"/>
    <w:rsid w:val="090E3861"/>
    <w:rsid w:val="091F265F"/>
    <w:rsid w:val="09230429"/>
    <w:rsid w:val="09264030"/>
    <w:rsid w:val="09284377"/>
    <w:rsid w:val="09315A69"/>
    <w:rsid w:val="09393C60"/>
    <w:rsid w:val="09472DA3"/>
    <w:rsid w:val="094A121D"/>
    <w:rsid w:val="094B3209"/>
    <w:rsid w:val="09551C92"/>
    <w:rsid w:val="09562313"/>
    <w:rsid w:val="09564461"/>
    <w:rsid w:val="0956791A"/>
    <w:rsid w:val="09587867"/>
    <w:rsid w:val="096A0CE0"/>
    <w:rsid w:val="096E6AFC"/>
    <w:rsid w:val="096F2DEA"/>
    <w:rsid w:val="09725B44"/>
    <w:rsid w:val="098370DE"/>
    <w:rsid w:val="09926C5C"/>
    <w:rsid w:val="099363B4"/>
    <w:rsid w:val="09951CC3"/>
    <w:rsid w:val="09A01E57"/>
    <w:rsid w:val="09A9652D"/>
    <w:rsid w:val="09BB2A1E"/>
    <w:rsid w:val="09C742B7"/>
    <w:rsid w:val="09CB25E6"/>
    <w:rsid w:val="09D541F8"/>
    <w:rsid w:val="09DA342B"/>
    <w:rsid w:val="09DE331C"/>
    <w:rsid w:val="09E84746"/>
    <w:rsid w:val="09EB3362"/>
    <w:rsid w:val="09F867B7"/>
    <w:rsid w:val="09FB42F0"/>
    <w:rsid w:val="0A1C0684"/>
    <w:rsid w:val="0A1D06CF"/>
    <w:rsid w:val="0A1F3C18"/>
    <w:rsid w:val="0A250EB6"/>
    <w:rsid w:val="0A2F06D4"/>
    <w:rsid w:val="0A3576A6"/>
    <w:rsid w:val="0A4168CC"/>
    <w:rsid w:val="0A4563E0"/>
    <w:rsid w:val="0A4805E7"/>
    <w:rsid w:val="0A4D4BC3"/>
    <w:rsid w:val="0A533B66"/>
    <w:rsid w:val="0A533DA7"/>
    <w:rsid w:val="0A5D69EF"/>
    <w:rsid w:val="0A6037F0"/>
    <w:rsid w:val="0A6A0E82"/>
    <w:rsid w:val="0A6F0E19"/>
    <w:rsid w:val="0A731D11"/>
    <w:rsid w:val="0A7E2045"/>
    <w:rsid w:val="0A7F1DAF"/>
    <w:rsid w:val="0A8F5D89"/>
    <w:rsid w:val="0A906DE6"/>
    <w:rsid w:val="0A956FF3"/>
    <w:rsid w:val="0A98495B"/>
    <w:rsid w:val="0AA577BC"/>
    <w:rsid w:val="0AAD749D"/>
    <w:rsid w:val="0AB05651"/>
    <w:rsid w:val="0AB1489B"/>
    <w:rsid w:val="0AB17DDA"/>
    <w:rsid w:val="0ABA1A8F"/>
    <w:rsid w:val="0ABA1F1A"/>
    <w:rsid w:val="0AC22F5A"/>
    <w:rsid w:val="0AD103A6"/>
    <w:rsid w:val="0AD94B60"/>
    <w:rsid w:val="0ADA1218"/>
    <w:rsid w:val="0ADB4CA4"/>
    <w:rsid w:val="0AE925F1"/>
    <w:rsid w:val="0AF55511"/>
    <w:rsid w:val="0B1D659B"/>
    <w:rsid w:val="0B1E084B"/>
    <w:rsid w:val="0B266A00"/>
    <w:rsid w:val="0B2A02A0"/>
    <w:rsid w:val="0B377835"/>
    <w:rsid w:val="0B4D437B"/>
    <w:rsid w:val="0B4D4586"/>
    <w:rsid w:val="0B5F03AA"/>
    <w:rsid w:val="0B5F05C8"/>
    <w:rsid w:val="0B5F1155"/>
    <w:rsid w:val="0B68408B"/>
    <w:rsid w:val="0B6C36A7"/>
    <w:rsid w:val="0B712601"/>
    <w:rsid w:val="0B72176C"/>
    <w:rsid w:val="0B846572"/>
    <w:rsid w:val="0B85135C"/>
    <w:rsid w:val="0B9D1134"/>
    <w:rsid w:val="0BA34EA0"/>
    <w:rsid w:val="0BA54F69"/>
    <w:rsid w:val="0BAC43B0"/>
    <w:rsid w:val="0BAE6D8B"/>
    <w:rsid w:val="0BC56890"/>
    <w:rsid w:val="0BD73864"/>
    <w:rsid w:val="0BD82B8A"/>
    <w:rsid w:val="0BE16E33"/>
    <w:rsid w:val="0BE744D2"/>
    <w:rsid w:val="0BE9624C"/>
    <w:rsid w:val="0BEA733C"/>
    <w:rsid w:val="0BF018AC"/>
    <w:rsid w:val="0C081961"/>
    <w:rsid w:val="0C093A4B"/>
    <w:rsid w:val="0C190CEA"/>
    <w:rsid w:val="0C1F2911"/>
    <w:rsid w:val="0C220D90"/>
    <w:rsid w:val="0C2362C0"/>
    <w:rsid w:val="0C2B419F"/>
    <w:rsid w:val="0C2E5C91"/>
    <w:rsid w:val="0C2F514A"/>
    <w:rsid w:val="0C342AAB"/>
    <w:rsid w:val="0C4871E6"/>
    <w:rsid w:val="0C532D97"/>
    <w:rsid w:val="0C671378"/>
    <w:rsid w:val="0C730123"/>
    <w:rsid w:val="0C753E86"/>
    <w:rsid w:val="0C756DF4"/>
    <w:rsid w:val="0C766A73"/>
    <w:rsid w:val="0C7E398E"/>
    <w:rsid w:val="0C8D4EBC"/>
    <w:rsid w:val="0C927155"/>
    <w:rsid w:val="0C9804FE"/>
    <w:rsid w:val="0C9A1D29"/>
    <w:rsid w:val="0C9D402A"/>
    <w:rsid w:val="0CA41E68"/>
    <w:rsid w:val="0CB120E1"/>
    <w:rsid w:val="0CB376B6"/>
    <w:rsid w:val="0CB7445A"/>
    <w:rsid w:val="0CCF7AC3"/>
    <w:rsid w:val="0CD621B7"/>
    <w:rsid w:val="0CE1264A"/>
    <w:rsid w:val="0CE905BB"/>
    <w:rsid w:val="0CED5AC6"/>
    <w:rsid w:val="0CF42D85"/>
    <w:rsid w:val="0D0769C8"/>
    <w:rsid w:val="0D111DB4"/>
    <w:rsid w:val="0D217DB4"/>
    <w:rsid w:val="0D2A319D"/>
    <w:rsid w:val="0D2E2EED"/>
    <w:rsid w:val="0D395E8B"/>
    <w:rsid w:val="0D3B643A"/>
    <w:rsid w:val="0D415786"/>
    <w:rsid w:val="0D4B553B"/>
    <w:rsid w:val="0D4D2550"/>
    <w:rsid w:val="0D5063B5"/>
    <w:rsid w:val="0D5A2022"/>
    <w:rsid w:val="0D826759"/>
    <w:rsid w:val="0D865748"/>
    <w:rsid w:val="0D890B0D"/>
    <w:rsid w:val="0D8B4E0B"/>
    <w:rsid w:val="0D8B6CDF"/>
    <w:rsid w:val="0D8C497C"/>
    <w:rsid w:val="0D8F6781"/>
    <w:rsid w:val="0D9813F9"/>
    <w:rsid w:val="0D9A3BE1"/>
    <w:rsid w:val="0D9B3D5E"/>
    <w:rsid w:val="0DB42356"/>
    <w:rsid w:val="0DB7299A"/>
    <w:rsid w:val="0DC36759"/>
    <w:rsid w:val="0DC9513B"/>
    <w:rsid w:val="0DCD33BA"/>
    <w:rsid w:val="0DCE49C3"/>
    <w:rsid w:val="0DCE581C"/>
    <w:rsid w:val="0DD07AAD"/>
    <w:rsid w:val="0DD9737F"/>
    <w:rsid w:val="0DDC7E4A"/>
    <w:rsid w:val="0DDE3565"/>
    <w:rsid w:val="0DDE4F74"/>
    <w:rsid w:val="0DDF4980"/>
    <w:rsid w:val="0DE4608C"/>
    <w:rsid w:val="0DED74AF"/>
    <w:rsid w:val="0DF13BFD"/>
    <w:rsid w:val="0DFB222D"/>
    <w:rsid w:val="0DFB656C"/>
    <w:rsid w:val="0DFE665C"/>
    <w:rsid w:val="0E0307A1"/>
    <w:rsid w:val="0E0320AB"/>
    <w:rsid w:val="0E0A4F01"/>
    <w:rsid w:val="0E280167"/>
    <w:rsid w:val="0E292269"/>
    <w:rsid w:val="0E364DDE"/>
    <w:rsid w:val="0E370926"/>
    <w:rsid w:val="0E3E7AFA"/>
    <w:rsid w:val="0E454AB8"/>
    <w:rsid w:val="0E4E7BE3"/>
    <w:rsid w:val="0E4F177B"/>
    <w:rsid w:val="0E5043C2"/>
    <w:rsid w:val="0E693A6D"/>
    <w:rsid w:val="0E7302EC"/>
    <w:rsid w:val="0E776079"/>
    <w:rsid w:val="0E795656"/>
    <w:rsid w:val="0E7B63BF"/>
    <w:rsid w:val="0E7D6D32"/>
    <w:rsid w:val="0E7F17E6"/>
    <w:rsid w:val="0E836776"/>
    <w:rsid w:val="0E985CB3"/>
    <w:rsid w:val="0E987ED3"/>
    <w:rsid w:val="0E994444"/>
    <w:rsid w:val="0EB907CD"/>
    <w:rsid w:val="0ECA441A"/>
    <w:rsid w:val="0EDB57DB"/>
    <w:rsid w:val="0EDB5D0F"/>
    <w:rsid w:val="0EE77167"/>
    <w:rsid w:val="0EE92C43"/>
    <w:rsid w:val="0EF44A9A"/>
    <w:rsid w:val="0EF865CD"/>
    <w:rsid w:val="0F0B156D"/>
    <w:rsid w:val="0F306C13"/>
    <w:rsid w:val="0F323F3D"/>
    <w:rsid w:val="0F3C71CD"/>
    <w:rsid w:val="0F3F1A90"/>
    <w:rsid w:val="0F410740"/>
    <w:rsid w:val="0F540E52"/>
    <w:rsid w:val="0F55798D"/>
    <w:rsid w:val="0F590A53"/>
    <w:rsid w:val="0F5B7BBA"/>
    <w:rsid w:val="0F5D69F2"/>
    <w:rsid w:val="0F617650"/>
    <w:rsid w:val="0F625068"/>
    <w:rsid w:val="0F664948"/>
    <w:rsid w:val="0F707DEE"/>
    <w:rsid w:val="0F722C9D"/>
    <w:rsid w:val="0F810431"/>
    <w:rsid w:val="0F883917"/>
    <w:rsid w:val="0F89616E"/>
    <w:rsid w:val="0F8C6285"/>
    <w:rsid w:val="0F9244C3"/>
    <w:rsid w:val="0F9F27B6"/>
    <w:rsid w:val="0FA8224B"/>
    <w:rsid w:val="0FAD400C"/>
    <w:rsid w:val="0FB261D6"/>
    <w:rsid w:val="0FB71F76"/>
    <w:rsid w:val="0FC124B7"/>
    <w:rsid w:val="0FC265AE"/>
    <w:rsid w:val="0FC527E6"/>
    <w:rsid w:val="0FC6236B"/>
    <w:rsid w:val="0FCE69FF"/>
    <w:rsid w:val="0FD11B6B"/>
    <w:rsid w:val="0FD2420D"/>
    <w:rsid w:val="0FD928C4"/>
    <w:rsid w:val="0FDC76CE"/>
    <w:rsid w:val="0FDF6C32"/>
    <w:rsid w:val="0FE224CF"/>
    <w:rsid w:val="0FE23982"/>
    <w:rsid w:val="0FE651E0"/>
    <w:rsid w:val="0FE945BF"/>
    <w:rsid w:val="0FEC1215"/>
    <w:rsid w:val="0FFE1A80"/>
    <w:rsid w:val="0FFF027C"/>
    <w:rsid w:val="10013898"/>
    <w:rsid w:val="10022C61"/>
    <w:rsid w:val="10083371"/>
    <w:rsid w:val="101603CD"/>
    <w:rsid w:val="101E4516"/>
    <w:rsid w:val="10263D2D"/>
    <w:rsid w:val="10486C21"/>
    <w:rsid w:val="105706D5"/>
    <w:rsid w:val="105E5D96"/>
    <w:rsid w:val="105F09BB"/>
    <w:rsid w:val="106509A8"/>
    <w:rsid w:val="10652F04"/>
    <w:rsid w:val="10697DA6"/>
    <w:rsid w:val="106C6F03"/>
    <w:rsid w:val="106D4366"/>
    <w:rsid w:val="107639EF"/>
    <w:rsid w:val="10895F7E"/>
    <w:rsid w:val="10AA0A88"/>
    <w:rsid w:val="10B053AA"/>
    <w:rsid w:val="10BB6CFD"/>
    <w:rsid w:val="10D63674"/>
    <w:rsid w:val="10D91C0C"/>
    <w:rsid w:val="10DC1B1F"/>
    <w:rsid w:val="10E119EA"/>
    <w:rsid w:val="10F26E4C"/>
    <w:rsid w:val="110F59D7"/>
    <w:rsid w:val="11183CFA"/>
    <w:rsid w:val="11195CEC"/>
    <w:rsid w:val="111A7697"/>
    <w:rsid w:val="111F61AD"/>
    <w:rsid w:val="11336A4C"/>
    <w:rsid w:val="113A3E14"/>
    <w:rsid w:val="113B5413"/>
    <w:rsid w:val="11414DB3"/>
    <w:rsid w:val="1141652F"/>
    <w:rsid w:val="11507827"/>
    <w:rsid w:val="115B1CA4"/>
    <w:rsid w:val="115C7F38"/>
    <w:rsid w:val="116233FD"/>
    <w:rsid w:val="11634D8D"/>
    <w:rsid w:val="11645D09"/>
    <w:rsid w:val="11655B00"/>
    <w:rsid w:val="1166119E"/>
    <w:rsid w:val="116A1893"/>
    <w:rsid w:val="116B6D9E"/>
    <w:rsid w:val="116C7F03"/>
    <w:rsid w:val="116E47B5"/>
    <w:rsid w:val="117363C5"/>
    <w:rsid w:val="11782CC6"/>
    <w:rsid w:val="117E4CEF"/>
    <w:rsid w:val="118E6BD5"/>
    <w:rsid w:val="11903710"/>
    <w:rsid w:val="11910AA8"/>
    <w:rsid w:val="11984878"/>
    <w:rsid w:val="11C25A2C"/>
    <w:rsid w:val="11E903D5"/>
    <w:rsid w:val="11E91CA9"/>
    <w:rsid w:val="11F05C71"/>
    <w:rsid w:val="11FC3B02"/>
    <w:rsid w:val="12040327"/>
    <w:rsid w:val="12057482"/>
    <w:rsid w:val="120941B2"/>
    <w:rsid w:val="120D3E2F"/>
    <w:rsid w:val="1212227E"/>
    <w:rsid w:val="121B2A10"/>
    <w:rsid w:val="12227ECC"/>
    <w:rsid w:val="12247BCB"/>
    <w:rsid w:val="1227760E"/>
    <w:rsid w:val="122A4BA9"/>
    <w:rsid w:val="123B4C23"/>
    <w:rsid w:val="12413028"/>
    <w:rsid w:val="12463E10"/>
    <w:rsid w:val="12513599"/>
    <w:rsid w:val="12523293"/>
    <w:rsid w:val="125330DB"/>
    <w:rsid w:val="12555AB7"/>
    <w:rsid w:val="125B5B89"/>
    <w:rsid w:val="125C4022"/>
    <w:rsid w:val="12633D63"/>
    <w:rsid w:val="126E6530"/>
    <w:rsid w:val="12775FEE"/>
    <w:rsid w:val="127B3DCF"/>
    <w:rsid w:val="127F71DE"/>
    <w:rsid w:val="128362E1"/>
    <w:rsid w:val="128D3F9E"/>
    <w:rsid w:val="12990D01"/>
    <w:rsid w:val="12A15D82"/>
    <w:rsid w:val="12A248CA"/>
    <w:rsid w:val="12A31ECE"/>
    <w:rsid w:val="12A6214B"/>
    <w:rsid w:val="12A96F0C"/>
    <w:rsid w:val="12B03814"/>
    <w:rsid w:val="12BB11C0"/>
    <w:rsid w:val="12C47DDA"/>
    <w:rsid w:val="12CF6728"/>
    <w:rsid w:val="12D5616C"/>
    <w:rsid w:val="12D77B6E"/>
    <w:rsid w:val="12DA249D"/>
    <w:rsid w:val="12E3154A"/>
    <w:rsid w:val="12E4301A"/>
    <w:rsid w:val="12E9079D"/>
    <w:rsid w:val="12EB3A2F"/>
    <w:rsid w:val="12EB3AD6"/>
    <w:rsid w:val="12FB3C23"/>
    <w:rsid w:val="130118F7"/>
    <w:rsid w:val="13011945"/>
    <w:rsid w:val="130F0C1D"/>
    <w:rsid w:val="13112D86"/>
    <w:rsid w:val="13154CFE"/>
    <w:rsid w:val="131B604A"/>
    <w:rsid w:val="131D20D8"/>
    <w:rsid w:val="13257F34"/>
    <w:rsid w:val="13306AC8"/>
    <w:rsid w:val="1331102F"/>
    <w:rsid w:val="13355234"/>
    <w:rsid w:val="134B0365"/>
    <w:rsid w:val="13515408"/>
    <w:rsid w:val="135829EC"/>
    <w:rsid w:val="136211AB"/>
    <w:rsid w:val="137F3D65"/>
    <w:rsid w:val="139629DE"/>
    <w:rsid w:val="139F0290"/>
    <w:rsid w:val="13A054E4"/>
    <w:rsid w:val="13B06C55"/>
    <w:rsid w:val="13B07E05"/>
    <w:rsid w:val="13B4284C"/>
    <w:rsid w:val="13B5648E"/>
    <w:rsid w:val="13B61896"/>
    <w:rsid w:val="13BC0A3B"/>
    <w:rsid w:val="13C06E0D"/>
    <w:rsid w:val="13C302BC"/>
    <w:rsid w:val="13D95E81"/>
    <w:rsid w:val="13DF75A5"/>
    <w:rsid w:val="13E736A0"/>
    <w:rsid w:val="13E8390A"/>
    <w:rsid w:val="13F345C7"/>
    <w:rsid w:val="13F93933"/>
    <w:rsid w:val="14063D5D"/>
    <w:rsid w:val="14120F6F"/>
    <w:rsid w:val="1412543D"/>
    <w:rsid w:val="14127D1C"/>
    <w:rsid w:val="14297CB9"/>
    <w:rsid w:val="142B6CEA"/>
    <w:rsid w:val="14400BF2"/>
    <w:rsid w:val="14414E2A"/>
    <w:rsid w:val="14443078"/>
    <w:rsid w:val="144640E4"/>
    <w:rsid w:val="14475436"/>
    <w:rsid w:val="144E6B19"/>
    <w:rsid w:val="144F1E84"/>
    <w:rsid w:val="144F7A69"/>
    <w:rsid w:val="1451697A"/>
    <w:rsid w:val="14594DB4"/>
    <w:rsid w:val="145E359A"/>
    <w:rsid w:val="14613FEC"/>
    <w:rsid w:val="146A0BCC"/>
    <w:rsid w:val="146B183E"/>
    <w:rsid w:val="147D22E1"/>
    <w:rsid w:val="147D46A3"/>
    <w:rsid w:val="14862F53"/>
    <w:rsid w:val="14877E05"/>
    <w:rsid w:val="148A53F5"/>
    <w:rsid w:val="148C6568"/>
    <w:rsid w:val="149779C8"/>
    <w:rsid w:val="149A5F32"/>
    <w:rsid w:val="14A1336A"/>
    <w:rsid w:val="14A327A6"/>
    <w:rsid w:val="14A611DD"/>
    <w:rsid w:val="14B37B72"/>
    <w:rsid w:val="14C842B2"/>
    <w:rsid w:val="14CC6CEF"/>
    <w:rsid w:val="14E10E88"/>
    <w:rsid w:val="14E6637E"/>
    <w:rsid w:val="14F20933"/>
    <w:rsid w:val="14F771BB"/>
    <w:rsid w:val="14FB77C8"/>
    <w:rsid w:val="150246D8"/>
    <w:rsid w:val="15123DA8"/>
    <w:rsid w:val="1519340C"/>
    <w:rsid w:val="15234419"/>
    <w:rsid w:val="15391FA6"/>
    <w:rsid w:val="153D1D56"/>
    <w:rsid w:val="15453A5A"/>
    <w:rsid w:val="154864A0"/>
    <w:rsid w:val="154D07F5"/>
    <w:rsid w:val="1550456D"/>
    <w:rsid w:val="155810F2"/>
    <w:rsid w:val="1565356F"/>
    <w:rsid w:val="156C44B6"/>
    <w:rsid w:val="15727C18"/>
    <w:rsid w:val="157421DB"/>
    <w:rsid w:val="157D326A"/>
    <w:rsid w:val="157D63CC"/>
    <w:rsid w:val="1589691C"/>
    <w:rsid w:val="15905D04"/>
    <w:rsid w:val="159C7648"/>
    <w:rsid w:val="15A062F8"/>
    <w:rsid w:val="15A255BA"/>
    <w:rsid w:val="15B01BD6"/>
    <w:rsid w:val="15C24F0E"/>
    <w:rsid w:val="15DD4A7C"/>
    <w:rsid w:val="15E70518"/>
    <w:rsid w:val="15EE1F73"/>
    <w:rsid w:val="15F42E28"/>
    <w:rsid w:val="15F53FA4"/>
    <w:rsid w:val="15FC0EEC"/>
    <w:rsid w:val="15FC20DE"/>
    <w:rsid w:val="15FD214A"/>
    <w:rsid w:val="15FD6826"/>
    <w:rsid w:val="15FE4830"/>
    <w:rsid w:val="160E08DD"/>
    <w:rsid w:val="16105B29"/>
    <w:rsid w:val="16167E02"/>
    <w:rsid w:val="16222E43"/>
    <w:rsid w:val="162B2A30"/>
    <w:rsid w:val="16430075"/>
    <w:rsid w:val="16487014"/>
    <w:rsid w:val="165306C0"/>
    <w:rsid w:val="16611EF9"/>
    <w:rsid w:val="166643E5"/>
    <w:rsid w:val="16685159"/>
    <w:rsid w:val="16785CB2"/>
    <w:rsid w:val="167F76F4"/>
    <w:rsid w:val="16823BA9"/>
    <w:rsid w:val="16867389"/>
    <w:rsid w:val="168E4A12"/>
    <w:rsid w:val="16917C3B"/>
    <w:rsid w:val="1697002D"/>
    <w:rsid w:val="169C40F2"/>
    <w:rsid w:val="16AB5568"/>
    <w:rsid w:val="16B00AF3"/>
    <w:rsid w:val="16B23087"/>
    <w:rsid w:val="16BE475B"/>
    <w:rsid w:val="16CF06D6"/>
    <w:rsid w:val="16D51B14"/>
    <w:rsid w:val="16D746A0"/>
    <w:rsid w:val="16DB70DC"/>
    <w:rsid w:val="16DF6583"/>
    <w:rsid w:val="16E848D7"/>
    <w:rsid w:val="16ED2140"/>
    <w:rsid w:val="17102462"/>
    <w:rsid w:val="171F7CB8"/>
    <w:rsid w:val="1720173B"/>
    <w:rsid w:val="172A42E3"/>
    <w:rsid w:val="17315250"/>
    <w:rsid w:val="17321833"/>
    <w:rsid w:val="17357DBD"/>
    <w:rsid w:val="173A5222"/>
    <w:rsid w:val="173F2F81"/>
    <w:rsid w:val="173F4D4F"/>
    <w:rsid w:val="17487746"/>
    <w:rsid w:val="17564641"/>
    <w:rsid w:val="175F7B1A"/>
    <w:rsid w:val="1768795F"/>
    <w:rsid w:val="177018BA"/>
    <w:rsid w:val="177210FF"/>
    <w:rsid w:val="177F76CB"/>
    <w:rsid w:val="17A505C4"/>
    <w:rsid w:val="17B01D70"/>
    <w:rsid w:val="17B23121"/>
    <w:rsid w:val="17BA0956"/>
    <w:rsid w:val="17CB0AA6"/>
    <w:rsid w:val="17CC543B"/>
    <w:rsid w:val="17CC7A87"/>
    <w:rsid w:val="17D007F2"/>
    <w:rsid w:val="17E47E5B"/>
    <w:rsid w:val="17E7273C"/>
    <w:rsid w:val="17E85320"/>
    <w:rsid w:val="17EA357E"/>
    <w:rsid w:val="17EE104C"/>
    <w:rsid w:val="180668D4"/>
    <w:rsid w:val="18067A02"/>
    <w:rsid w:val="18081AC3"/>
    <w:rsid w:val="18083108"/>
    <w:rsid w:val="180E1606"/>
    <w:rsid w:val="18131046"/>
    <w:rsid w:val="18161850"/>
    <w:rsid w:val="181928D7"/>
    <w:rsid w:val="181942F3"/>
    <w:rsid w:val="1820208D"/>
    <w:rsid w:val="18284360"/>
    <w:rsid w:val="182D4841"/>
    <w:rsid w:val="183515D9"/>
    <w:rsid w:val="18410CB2"/>
    <w:rsid w:val="184446D6"/>
    <w:rsid w:val="18487750"/>
    <w:rsid w:val="184E5BAB"/>
    <w:rsid w:val="185D16DD"/>
    <w:rsid w:val="18602407"/>
    <w:rsid w:val="18632330"/>
    <w:rsid w:val="186B4B04"/>
    <w:rsid w:val="186F41E1"/>
    <w:rsid w:val="18806EE8"/>
    <w:rsid w:val="18851977"/>
    <w:rsid w:val="1888461F"/>
    <w:rsid w:val="18993E12"/>
    <w:rsid w:val="189D548D"/>
    <w:rsid w:val="18A24E27"/>
    <w:rsid w:val="18A96609"/>
    <w:rsid w:val="18B16957"/>
    <w:rsid w:val="18B43B00"/>
    <w:rsid w:val="18B74849"/>
    <w:rsid w:val="18B82D08"/>
    <w:rsid w:val="18C176BF"/>
    <w:rsid w:val="18CD5FA3"/>
    <w:rsid w:val="18F70A60"/>
    <w:rsid w:val="18FA4031"/>
    <w:rsid w:val="18FC5B5F"/>
    <w:rsid w:val="18FD274F"/>
    <w:rsid w:val="19062476"/>
    <w:rsid w:val="190A3947"/>
    <w:rsid w:val="190D70F0"/>
    <w:rsid w:val="191052A7"/>
    <w:rsid w:val="191C216C"/>
    <w:rsid w:val="191E3E2A"/>
    <w:rsid w:val="191F140E"/>
    <w:rsid w:val="192D2423"/>
    <w:rsid w:val="192F0A5A"/>
    <w:rsid w:val="19391683"/>
    <w:rsid w:val="193F40E6"/>
    <w:rsid w:val="194C2207"/>
    <w:rsid w:val="195119FB"/>
    <w:rsid w:val="19571347"/>
    <w:rsid w:val="195C5B8C"/>
    <w:rsid w:val="195F307A"/>
    <w:rsid w:val="195F37C7"/>
    <w:rsid w:val="19663B2B"/>
    <w:rsid w:val="197B3252"/>
    <w:rsid w:val="198525AA"/>
    <w:rsid w:val="199D73B8"/>
    <w:rsid w:val="19A97B28"/>
    <w:rsid w:val="19BD4213"/>
    <w:rsid w:val="19CA2D2E"/>
    <w:rsid w:val="19D81A70"/>
    <w:rsid w:val="19DA2309"/>
    <w:rsid w:val="19DF6578"/>
    <w:rsid w:val="19F77A8D"/>
    <w:rsid w:val="19FA0152"/>
    <w:rsid w:val="1A012C71"/>
    <w:rsid w:val="1A176BF7"/>
    <w:rsid w:val="1A247F61"/>
    <w:rsid w:val="1A26254E"/>
    <w:rsid w:val="1A2907C8"/>
    <w:rsid w:val="1A397021"/>
    <w:rsid w:val="1A3A69B5"/>
    <w:rsid w:val="1A405F58"/>
    <w:rsid w:val="1A4C3884"/>
    <w:rsid w:val="1A4F47EC"/>
    <w:rsid w:val="1A5D3C9C"/>
    <w:rsid w:val="1A5D50CC"/>
    <w:rsid w:val="1A5F42BA"/>
    <w:rsid w:val="1A664618"/>
    <w:rsid w:val="1A6C0A69"/>
    <w:rsid w:val="1A6D6B9B"/>
    <w:rsid w:val="1A703A97"/>
    <w:rsid w:val="1A7E4FCE"/>
    <w:rsid w:val="1A823C0A"/>
    <w:rsid w:val="1A833A14"/>
    <w:rsid w:val="1A886ABD"/>
    <w:rsid w:val="1A8F5A81"/>
    <w:rsid w:val="1A916BFC"/>
    <w:rsid w:val="1A9A120F"/>
    <w:rsid w:val="1AA53815"/>
    <w:rsid w:val="1AAE06A8"/>
    <w:rsid w:val="1AAF770C"/>
    <w:rsid w:val="1AB84438"/>
    <w:rsid w:val="1AB97B13"/>
    <w:rsid w:val="1AC263EB"/>
    <w:rsid w:val="1ACB75D5"/>
    <w:rsid w:val="1ACD7D94"/>
    <w:rsid w:val="1AD43ED7"/>
    <w:rsid w:val="1AD87933"/>
    <w:rsid w:val="1AD93089"/>
    <w:rsid w:val="1AE1713D"/>
    <w:rsid w:val="1AED6E83"/>
    <w:rsid w:val="1AF85B13"/>
    <w:rsid w:val="1B0462C6"/>
    <w:rsid w:val="1B0C4613"/>
    <w:rsid w:val="1B0E4290"/>
    <w:rsid w:val="1B18435E"/>
    <w:rsid w:val="1B1F5E8D"/>
    <w:rsid w:val="1B27209F"/>
    <w:rsid w:val="1B351E2D"/>
    <w:rsid w:val="1B376FE7"/>
    <w:rsid w:val="1B3F5D5D"/>
    <w:rsid w:val="1B4143F0"/>
    <w:rsid w:val="1B4D5DEF"/>
    <w:rsid w:val="1B4F465B"/>
    <w:rsid w:val="1B74422B"/>
    <w:rsid w:val="1B79212D"/>
    <w:rsid w:val="1B7C724C"/>
    <w:rsid w:val="1B7D04B1"/>
    <w:rsid w:val="1B80159C"/>
    <w:rsid w:val="1B8058C7"/>
    <w:rsid w:val="1B806D91"/>
    <w:rsid w:val="1BA66857"/>
    <w:rsid w:val="1BA91268"/>
    <w:rsid w:val="1BAB4381"/>
    <w:rsid w:val="1BAD07F3"/>
    <w:rsid w:val="1BC0382B"/>
    <w:rsid w:val="1BC17368"/>
    <w:rsid w:val="1BC662D9"/>
    <w:rsid w:val="1BCB5788"/>
    <w:rsid w:val="1BDC2172"/>
    <w:rsid w:val="1BDF6C93"/>
    <w:rsid w:val="1BF60931"/>
    <w:rsid w:val="1C0079D4"/>
    <w:rsid w:val="1C12594B"/>
    <w:rsid w:val="1C136E13"/>
    <w:rsid w:val="1C137ED1"/>
    <w:rsid w:val="1C154246"/>
    <w:rsid w:val="1C1B181B"/>
    <w:rsid w:val="1C2327E6"/>
    <w:rsid w:val="1C2619DC"/>
    <w:rsid w:val="1C344B01"/>
    <w:rsid w:val="1C355232"/>
    <w:rsid w:val="1C51390D"/>
    <w:rsid w:val="1C5B77B9"/>
    <w:rsid w:val="1C61786B"/>
    <w:rsid w:val="1C7A085D"/>
    <w:rsid w:val="1C7A26B9"/>
    <w:rsid w:val="1C7E1F0E"/>
    <w:rsid w:val="1C7F14E9"/>
    <w:rsid w:val="1C825637"/>
    <w:rsid w:val="1C8E22F9"/>
    <w:rsid w:val="1CA0712B"/>
    <w:rsid w:val="1CA2160C"/>
    <w:rsid w:val="1CA27553"/>
    <w:rsid w:val="1CA45C76"/>
    <w:rsid w:val="1CA659ED"/>
    <w:rsid w:val="1CAA0793"/>
    <w:rsid w:val="1CAD36F5"/>
    <w:rsid w:val="1CAE08D7"/>
    <w:rsid w:val="1CB1357F"/>
    <w:rsid w:val="1CB963D8"/>
    <w:rsid w:val="1CC50D3C"/>
    <w:rsid w:val="1CCB0A05"/>
    <w:rsid w:val="1CD57071"/>
    <w:rsid w:val="1CE5378F"/>
    <w:rsid w:val="1CE63E17"/>
    <w:rsid w:val="1D160291"/>
    <w:rsid w:val="1D17265B"/>
    <w:rsid w:val="1D190340"/>
    <w:rsid w:val="1D1B27F8"/>
    <w:rsid w:val="1D292868"/>
    <w:rsid w:val="1D3418B1"/>
    <w:rsid w:val="1D3902CB"/>
    <w:rsid w:val="1D45742E"/>
    <w:rsid w:val="1D476414"/>
    <w:rsid w:val="1D5136FF"/>
    <w:rsid w:val="1D5571B8"/>
    <w:rsid w:val="1D57765A"/>
    <w:rsid w:val="1D5B77CF"/>
    <w:rsid w:val="1D5C28BC"/>
    <w:rsid w:val="1D6149A5"/>
    <w:rsid w:val="1D617301"/>
    <w:rsid w:val="1D632385"/>
    <w:rsid w:val="1D824F97"/>
    <w:rsid w:val="1D8429D1"/>
    <w:rsid w:val="1D852171"/>
    <w:rsid w:val="1D865CB8"/>
    <w:rsid w:val="1D87564E"/>
    <w:rsid w:val="1D8C3F66"/>
    <w:rsid w:val="1D8E32DE"/>
    <w:rsid w:val="1D971E0B"/>
    <w:rsid w:val="1D9D1A42"/>
    <w:rsid w:val="1DDB7521"/>
    <w:rsid w:val="1DDC6009"/>
    <w:rsid w:val="1DEC7094"/>
    <w:rsid w:val="1DEE4220"/>
    <w:rsid w:val="1DF966AF"/>
    <w:rsid w:val="1E0010C2"/>
    <w:rsid w:val="1E055285"/>
    <w:rsid w:val="1E0C16DE"/>
    <w:rsid w:val="1E22619F"/>
    <w:rsid w:val="1E2E48C9"/>
    <w:rsid w:val="1E3570E9"/>
    <w:rsid w:val="1E3C4434"/>
    <w:rsid w:val="1E526B1E"/>
    <w:rsid w:val="1E610B6C"/>
    <w:rsid w:val="1E6E2FD0"/>
    <w:rsid w:val="1E7B7DF7"/>
    <w:rsid w:val="1E8A796C"/>
    <w:rsid w:val="1E976713"/>
    <w:rsid w:val="1EA83BAA"/>
    <w:rsid w:val="1EA93F68"/>
    <w:rsid w:val="1EB25E8D"/>
    <w:rsid w:val="1EBB60B0"/>
    <w:rsid w:val="1EBF1742"/>
    <w:rsid w:val="1EC46172"/>
    <w:rsid w:val="1EC46B9F"/>
    <w:rsid w:val="1EC54B4F"/>
    <w:rsid w:val="1EC62A57"/>
    <w:rsid w:val="1EC728D6"/>
    <w:rsid w:val="1EDE5D5B"/>
    <w:rsid w:val="1EE50F4D"/>
    <w:rsid w:val="1EE96BEA"/>
    <w:rsid w:val="1EF447EA"/>
    <w:rsid w:val="1EF9731E"/>
    <w:rsid w:val="1EFF1CA3"/>
    <w:rsid w:val="1EFF585A"/>
    <w:rsid w:val="1F0872B7"/>
    <w:rsid w:val="1F0938FF"/>
    <w:rsid w:val="1F0D6539"/>
    <w:rsid w:val="1F233A51"/>
    <w:rsid w:val="1F340DC6"/>
    <w:rsid w:val="1F3A1C9E"/>
    <w:rsid w:val="1F4611CA"/>
    <w:rsid w:val="1F4C2225"/>
    <w:rsid w:val="1F5179C6"/>
    <w:rsid w:val="1F5463B5"/>
    <w:rsid w:val="1F55666F"/>
    <w:rsid w:val="1F5E1544"/>
    <w:rsid w:val="1F6A6ACE"/>
    <w:rsid w:val="1F6F71EB"/>
    <w:rsid w:val="1F7D1424"/>
    <w:rsid w:val="1F8621B3"/>
    <w:rsid w:val="1F866AA9"/>
    <w:rsid w:val="1F970278"/>
    <w:rsid w:val="1F994FB1"/>
    <w:rsid w:val="1FA7045C"/>
    <w:rsid w:val="1FA707C5"/>
    <w:rsid w:val="1FA84CA7"/>
    <w:rsid w:val="1FA93997"/>
    <w:rsid w:val="1FAB6A31"/>
    <w:rsid w:val="1FC16CE6"/>
    <w:rsid w:val="1FC40F0E"/>
    <w:rsid w:val="1FC919BC"/>
    <w:rsid w:val="1FD2365B"/>
    <w:rsid w:val="1FDA118E"/>
    <w:rsid w:val="1FE14F8D"/>
    <w:rsid w:val="1FEA3226"/>
    <w:rsid w:val="1FF5638E"/>
    <w:rsid w:val="1FF7278E"/>
    <w:rsid w:val="1FFE47EB"/>
    <w:rsid w:val="200C0CEC"/>
    <w:rsid w:val="200C6B40"/>
    <w:rsid w:val="200E2224"/>
    <w:rsid w:val="201B1151"/>
    <w:rsid w:val="202267A0"/>
    <w:rsid w:val="202A3822"/>
    <w:rsid w:val="202B7890"/>
    <w:rsid w:val="203D4E90"/>
    <w:rsid w:val="203E3BD4"/>
    <w:rsid w:val="20483FC3"/>
    <w:rsid w:val="204933CD"/>
    <w:rsid w:val="205031A1"/>
    <w:rsid w:val="205426B3"/>
    <w:rsid w:val="205E7D86"/>
    <w:rsid w:val="205F36BB"/>
    <w:rsid w:val="20730F3F"/>
    <w:rsid w:val="207A6B5B"/>
    <w:rsid w:val="207E2C83"/>
    <w:rsid w:val="208F47DF"/>
    <w:rsid w:val="209273A9"/>
    <w:rsid w:val="209841F2"/>
    <w:rsid w:val="209978D0"/>
    <w:rsid w:val="209F6DEF"/>
    <w:rsid w:val="20A4490E"/>
    <w:rsid w:val="20B134C0"/>
    <w:rsid w:val="20C10EE4"/>
    <w:rsid w:val="20C851A2"/>
    <w:rsid w:val="20C950D3"/>
    <w:rsid w:val="20C95370"/>
    <w:rsid w:val="20CC3583"/>
    <w:rsid w:val="20D47075"/>
    <w:rsid w:val="20DC2958"/>
    <w:rsid w:val="20DF08CB"/>
    <w:rsid w:val="20E26DCB"/>
    <w:rsid w:val="20E606AF"/>
    <w:rsid w:val="20EF3A5D"/>
    <w:rsid w:val="20F17E67"/>
    <w:rsid w:val="20FD3016"/>
    <w:rsid w:val="21043272"/>
    <w:rsid w:val="21111CFC"/>
    <w:rsid w:val="211209CD"/>
    <w:rsid w:val="21257DD5"/>
    <w:rsid w:val="2126549C"/>
    <w:rsid w:val="212D28D8"/>
    <w:rsid w:val="21375E5F"/>
    <w:rsid w:val="21431BB0"/>
    <w:rsid w:val="214C3416"/>
    <w:rsid w:val="215B5D05"/>
    <w:rsid w:val="21610B7B"/>
    <w:rsid w:val="21634FE9"/>
    <w:rsid w:val="21671EB3"/>
    <w:rsid w:val="216C1714"/>
    <w:rsid w:val="217265D7"/>
    <w:rsid w:val="21746AF1"/>
    <w:rsid w:val="21792950"/>
    <w:rsid w:val="21837B0F"/>
    <w:rsid w:val="21847AC4"/>
    <w:rsid w:val="21892DB4"/>
    <w:rsid w:val="218F687E"/>
    <w:rsid w:val="21915BB5"/>
    <w:rsid w:val="21977DF3"/>
    <w:rsid w:val="21A02CF0"/>
    <w:rsid w:val="21A06643"/>
    <w:rsid w:val="21A535D4"/>
    <w:rsid w:val="21A62C88"/>
    <w:rsid w:val="21AC408D"/>
    <w:rsid w:val="21C00D01"/>
    <w:rsid w:val="21CC05EA"/>
    <w:rsid w:val="21CF2BDF"/>
    <w:rsid w:val="21D0714D"/>
    <w:rsid w:val="21E0711E"/>
    <w:rsid w:val="21E81411"/>
    <w:rsid w:val="21EF19A7"/>
    <w:rsid w:val="21F279E2"/>
    <w:rsid w:val="22091B96"/>
    <w:rsid w:val="220925B3"/>
    <w:rsid w:val="22134AE7"/>
    <w:rsid w:val="221705FB"/>
    <w:rsid w:val="221C7D02"/>
    <w:rsid w:val="223463CC"/>
    <w:rsid w:val="22442468"/>
    <w:rsid w:val="22487D5F"/>
    <w:rsid w:val="224E3D31"/>
    <w:rsid w:val="224F3863"/>
    <w:rsid w:val="2262680A"/>
    <w:rsid w:val="2263127D"/>
    <w:rsid w:val="22755A54"/>
    <w:rsid w:val="227B4317"/>
    <w:rsid w:val="22840C09"/>
    <w:rsid w:val="228E31D9"/>
    <w:rsid w:val="22913CC5"/>
    <w:rsid w:val="229D311C"/>
    <w:rsid w:val="22A05E7F"/>
    <w:rsid w:val="22A64CB3"/>
    <w:rsid w:val="22B11E13"/>
    <w:rsid w:val="22B23A86"/>
    <w:rsid w:val="22B50F36"/>
    <w:rsid w:val="22BD273C"/>
    <w:rsid w:val="22D82670"/>
    <w:rsid w:val="22D94DDD"/>
    <w:rsid w:val="22DA02CA"/>
    <w:rsid w:val="22DD7B07"/>
    <w:rsid w:val="22DF6A88"/>
    <w:rsid w:val="22F11056"/>
    <w:rsid w:val="22F33D34"/>
    <w:rsid w:val="22F40DAA"/>
    <w:rsid w:val="23060D42"/>
    <w:rsid w:val="230B1A53"/>
    <w:rsid w:val="2311382F"/>
    <w:rsid w:val="2311774F"/>
    <w:rsid w:val="2319112D"/>
    <w:rsid w:val="231F39E8"/>
    <w:rsid w:val="23211A53"/>
    <w:rsid w:val="232A07DA"/>
    <w:rsid w:val="23334CB0"/>
    <w:rsid w:val="234E24DE"/>
    <w:rsid w:val="23520AC6"/>
    <w:rsid w:val="235B1BD6"/>
    <w:rsid w:val="236F4C88"/>
    <w:rsid w:val="2370781D"/>
    <w:rsid w:val="2372002E"/>
    <w:rsid w:val="23780C49"/>
    <w:rsid w:val="237950D3"/>
    <w:rsid w:val="23A43F34"/>
    <w:rsid w:val="23A86474"/>
    <w:rsid w:val="23AA1C32"/>
    <w:rsid w:val="23B6473C"/>
    <w:rsid w:val="23C90DB4"/>
    <w:rsid w:val="23DA4DE6"/>
    <w:rsid w:val="23E41660"/>
    <w:rsid w:val="24000EDD"/>
    <w:rsid w:val="24047F8B"/>
    <w:rsid w:val="241B3018"/>
    <w:rsid w:val="241B7FE7"/>
    <w:rsid w:val="242154CD"/>
    <w:rsid w:val="242A1DCA"/>
    <w:rsid w:val="243241F2"/>
    <w:rsid w:val="2438419D"/>
    <w:rsid w:val="24395426"/>
    <w:rsid w:val="243F1968"/>
    <w:rsid w:val="24405958"/>
    <w:rsid w:val="24481512"/>
    <w:rsid w:val="244E4DE2"/>
    <w:rsid w:val="24580E87"/>
    <w:rsid w:val="245D1978"/>
    <w:rsid w:val="24741A1D"/>
    <w:rsid w:val="24860670"/>
    <w:rsid w:val="24870567"/>
    <w:rsid w:val="248D1F94"/>
    <w:rsid w:val="24925942"/>
    <w:rsid w:val="249342BF"/>
    <w:rsid w:val="24950A79"/>
    <w:rsid w:val="24954CF0"/>
    <w:rsid w:val="249E7807"/>
    <w:rsid w:val="24A551D8"/>
    <w:rsid w:val="24A82BAD"/>
    <w:rsid w:val="24A853E1"/>
    <w:rsid w:val="24AE3EDD"/>
    <w:rsid w:val="24B47F34"/>
    <w:rsid w:val="24B52DB2"/>
    <w:rsid w:val="24B61C58"/>
    <w:rsid w:val="24BC6FA5"/>
    <w:rsid w:val="24C30557"/>
    <w:rsid w:val="24C5256E"/>
    <w:rsid w:val="24D406D1"/>
    <w:rsid w:val="24D46019"/>
    <w:rsid w:val="24E16A1B"/>
    <w:rsid w:val="24ED678C"/>
    <w:rsid w:val="24EF7245"/>
    <w:rsid w:val="24F6203F"/>
    <w:rsid w:val="24F76044"/>
    <w:rsid w:val="24F97C0F"/>
    <w:rsid w:val="24FD4848"/>
    <w:rsid w:val="251505D0"/>
    <w:rsid w:val="2516233E"/>
    <w:rsid w:val="251E5A25"/>
    <w:rsid w:val="2521745E"/>
    <w:rsid w:val="254008AF"/>
    <w:rsid w:val="254271A1"/>
    <w:rsid w:val="254F67DA"/>
    <w:rsid w:val="2558620C"/>
    <w:rsid w:val="255C30DC"/>
    <w:rsid w:val="255D1DF7"/>
    <w:rsid w:val="25603321"/>
    <w:rsid w:val="256639F6"/>
    <w:rsid w:val="25684ED4"/>
    <w:rsid w:val="256F57DC"/>
    <w:rsid w:val="257230AE"/>
    <w:rsid w:val="25823D99"/>
    <w:rsid w:val="258B5357"/>
    <w:rsid w:val="258E25B9"/>
    <w:rsid w:val="259932E2"/>
    <w:rsid w:val="25A965F1"/>
    <w:rsid w:val="25AD6B0B"/>
    <w:rsid w:val="25AE4DDC"/>
    <w:rsid w:val="25B46A66"/>
    <w:rsid w:val="25B500B4"/>
    <w:rsid w:val="25BD42A9"/>
    <w:rsid w:val="25BE08BB"/>
    <w:rsid w:val="25C42308"/>
    <w:rsid w:val="25CA13B8"/>
    <w:rsid w:val="25CA30C4"/>
    <w:rsid w:val="25E83A85"/>
    <w:rsid w:val="25E91BA0"/>
    <w:rsid w:val="25F90513"/>
    <w:rsid w:val="25FF2826"/>
    <w:rsid w:val="26002F29"/>
    <w:rsid w:val="26004EBA"/>
    <w:rsid w:val="261748F9"/>
    <w:rsid w:val="261A41D1"/>
    <w:rsid w:val="26222837"/>
    <w:rsid w:val="262232FB"/>
    <w:rsid w:val="26252B22"/>
    <w:rsid w:val="26271E50"/>
    <w:rsid w:val="262726A7"/>
    <w:rsid w:val="26291536"/>
    <w:rsid w:val="262974CF"/>
    <w:rsid w:val="26357A6E"/>
    <w:rsid w:val="264A48AB"/>
    <w:rsid w:val="264D6F22"/>
    <w:rsid w:val="26526308"/>
    <w:rsid w:val="26591EAF"/>
    <w:rsid w:val="265E6899"/>
    <w:rsid w:val="266B278B"/>
    <w:rsid w:val="266B56A8"/>
    <w:rsid w:val="26725DB3"/>
    <w:rsid w:val="267308EF"/>
    <w:rsid w:val="26746B65"/>
    <w:rsid w:val="267705E6"/>
    <w:rsid w:val="26881A10"/>
    <w:rsid w:val="269329E1"/>
    <w:rsid w:val="269414B8"/>
    <w:rsid w:val="269961F4"/>
    <w:rsid w:val="26BC3FE3"/>
    <w:rsid w:val="26BD306B"/>
    <w:rsid w:val="26C6614A"/>
    <w:rsid w:val="26C80491"/>
    <w:rsid w:val="26D7547A"/>
    <w:rsid w:val="26E2585E"/>
    <w:rsid w:val="26EC6543"/>
    <w:rsid w:val="26EC73CB"/>
    <w:rsid w:val="26ED4E80"/>
    <w:rsid w:val="26F14A84"/>
    <w:rsid w:val="270F314E"/>
    <w:rsid w:val="271E3F52"/>
    <w:rsid w:val="272667C9"/>
    <w:rsid w:val="272A5D55"/>
    <w:rsid w:val="272C6FAE"/>
    <w:rsid w:val="272E2A24"/>
    <w:rsid w:val="27317500"/>
    <w:rsid w:val="27383BD9"/>
    <w:rsid w:val="273A1C24"/>
    <w:rsid w:val="27401835"/>
    <w:rsid w:val="27417827"/>
    <w:rsid w:val="275A4C5B"/>
    <w:rsid w:val="275B4E92"/>
    <w:rsid w:val="27705E15"/>
    <w:rsid w:val="277537B7"/>
    <w:rsid w:val="277C0630"/>
    <w:rsid w:val="27813458"/>
    <w:rsid w:val="27891624"/>
    <w:rsid w:val="278A4FE6"/>
    <w:rsid w:val="2791159E"/>
    <w:rsid w:val="2795432A"/>
    <w:rsid w:val="279F171C"/>
    <w:rsid w:val="27BE34AD"/>
    <w:rsid w:val="27C64C26"/>
    <w:rsid w:val="27D107FD"/>
    <w:rsid w:val="27DD17C3"/>
    <w:rsid w:val="27E30F44"/>
    <w:rsid w:val="27E3208F"/>
    <w:rsid w:val="27F15F86"/>
    <w:rsid w:val="27F43157"/>
    <w:rsid w:val="27FF16E2"/>
    <w:rsid w:val="28095828"/>
    <w:rsid w:val="280B004D"/>
    <w:rsid w:val="28132E8C"/>
    <w:rsid w:val="28213E86"/>
    <w:rsid w:val="282B0EB2"/>
    <w:rsid w:val="283109D2"/>
    <w:rsid w:val="28363E48"/>
    <w:rsid w:val="2844403E"/>
    <w:rsid w:val="284E58F4"/>
    <w:rsid w:val="28580B11"/>
    <w:rsid w:val="285A7FF8"/>
    <w:rsid w:val="285C7341"/>
    <w:rsid w:val="285E0D8C"/>
    <w:rsid w:val="285E191E"/>
    <w:rsid w:val="28735836"/>
    <w:rsid w:val="287A2709"/>
    <w:rsid w:val="2882522C"/>
    <w:rsid w:val="288D4523"/>
    <w:rsid w:val="28904396"/>
    <w:rsid w:val="289059FE"/>
    <w:rsid w:val="289423E6"/>
    <w:rsid w:val="28B4712E"/>
    <w:rsid w:val="28B56237"/>
    <w:rsid w:val="28B86714"/>
    <w:rsid w:val="28BA033C"/>
    <w:rsid w:val="28BE0220"/>
    <w:rsid w:val="28BF2A87"/>
    <w:rsid w:val="28C564F3"/>
    <w:rsid w:val="28CD4F24"/>
    <w:rsid w:val="28D147DC"/>
    <w:rsid w:val="28DD477C"/>
    <w:rsid w:val="28F91E9B"/>
    <w:rsid w:val="29037170"/>
    <w:rsid w:val="2904772A"/>
    <w:rsid w:val="29053ADB"/>
    <w:rsid w:val="29113140"/>
    <w:rsid w:val="2913089E"/>
    <w:rsid w:val="29150ECC"/>
    <w:rsid w:val="291B3E92"/>
    <w:rsid w:val="291F5025"/>
    <w:rsid w:val="29337AF6"/>
    <w:rsid w:val="293A6278"/>
    <w:rsid w:val="293C4050"/>
    <w:rsid w:val="294970D5"/>
    <w:rsid w:val="2949742B"/>
    <w:rsid w:val="295311C1"/>
    <w:rsid w:val="29700211"/>
    <w:rsid w:val="29762750"/>
    <w:rsid w:val="297A620E"/>
    <w:rsid w:val="299E543A"/>
    <w:rsid w:val="29A17851"/>
    <w:rsid w:val="29AA2502"/>
    <w:rsid w:val="29AF0568"/>
    <w:rsid w:val="29B62A09"/>
    <w:rsid w:val="29BC7C05"/>
    <w:rsid w:val="29BE2A15"/>
    <w:rsid w:val="29C85CE7"/>
    <w:rsid w:val="29CB2213"/>
    <w:rsid w:val="29D7743A"/>
    <w:rsid w:val="29DE6B14"/>
    <w:rsid w:val="29F96481"/>
    <w:rsid w:val="29FE53E2"/>
    <w:rsid w:val="2A130F50"/>
    <w:rsid w:val="2A231A62"/>
    <w:rsid w:val="2A232B81"/>
    <w:rsid w:val="2A2B220C"/>
    <w:rsid w:val="2A2B38C7"/>
    <w:rsid w:val="2A2B4F62"/>
    <w:rsid w:val="2A30574A"/>
    <w:rsid w:val="2A330E05"/>
    <w:rsid w:val="2A422621"/>
    <w:rsid w:val="2A57298C"/>
    <w:rsid w:val="2A5A475E"/>
    <w:rsid w:val="2A662240"/>
    <w:rsid w:val="2A6A6DE9"/>
    <w:rsid w:val="2A6E4B34"/>
    <w:rsid w:val="2A73088E"/>
    <w:rsid w:val="2A78550F"/>
    <w:rsid w:val="2A8167AA"/>
    <w:rsid w:val="2A891987"/>
    <w:rsid w:val="2A895669"/>
    <w:rsid w:val="2A8B6218"/>
    <w:rsid w:val="2A9102B0"/>
    <w:rsid w:val="2A9173DC"/>
    <w:rsid w:val="2A9B3AF6"/>
    <w:rsid w:val="2A9F654D"/>
    <w:rsid w:val="2AA21009"/>
    <w:rsid w:val="2AAB724D"/>
    <w:rsid w:val="2AAD0640"/>
    <w:rsid w:val="2AB95399"/>
    <w:rsid w:val="2AE712D0"/>
    <w:rsid w:val="2AFF5CEE"/>
    <w:rsid w:val="2B023A3F"/>
    <w:rsid w:val="2B030FCE"/>
    <w:rsid w:val="2B131984"/>
    <w:rsid w:val="2B170330"/>
    <w:rsid w:val="2B2829BA"/>
    <w:rsid w:val="2B2F48EB"/>
    <w:rsid w:val="2B3235B4"/>
    <w:rsid w:val="2B447184"/>
    <w:rsid w:val="2B475055"/>
    <w:rsid w:val="2B480334"/>
    <w:rsid w:val="2B5435A0"/>
    <w:rsid w:val="2B5717BE"/>
    <w:rsid w:val="2B59541A"/>
    <w:rsid w:val="2B5E3374"/>
    <w:rsid w:val="2B5F40D6"/>
    <w:rsid w:val="2B631760"/>
    <w:rsid w:val="2B7457D8"/>
    <w:rsid w:val="2B7870E1"/>
    <w:rsid w:val="2B904088"/>
    <w:rsid w:val="2BBA00FF"/>
    <w:rsid w:val="2BBC1223"/>
    <w:rsid w:val="2BBD33BB"/>
    <w:rsid w:val="2BC17E6C"/>
    <w:rsid w:val="2BC853AA"/>
    <w:rsid w:val="2BCB40B3"/>
    <w:rsid w:val="2BE23843"/>
    <w:rsid w:val="2BEC0BE9"/>
    <w:rsid w:val="2BF16F54"/>
    <w:rsid w:val="2BF85CF4"/>
    <w:rsid w:val="2C000746"/>
    <w:rsid w:val="2C08657B"/>
    <w:rsid w:val="2C1F6AC0"/>
    <w:rsid w:val="2C244656"/>
    <w:rsid w:val="2C2B1206"/>
    <w:rsid w:val="2C3641A2"/>
    <w:rsid w:val="2C374FBF"/>
    <w:rsid w:val="2C44503F"/>
    <w:rsid w:val="2C446749"/>
    <w:rsid w:val="2C4C555F"/>
    <w:rsid w:val="2C4C66BB"/>
    <w:rsid w:val="2C527251"/>
    <w:rsid w:val="2C5445B4"/>
    <w:rsid w:val="2C5A2209"/>
    <w:rsid w:val="2C6C6990"/>
    <w:rsid w:val="2C713042"/>
    <w:rsid w:val="2C7132E5"/>
    <w:rsid w:val="2C714BCF"/>
    <w:rsid w:val="2C7727E1"/>
    <w:rsid w:val="2C7A06A1"/>
    <w:rsid w:val="2C82583C"/>
    <w:rsid w:val="2C910940"/>
    <w:rsid w:val="2C9276BD"/>
    <w:rsid w:val="2C961C83"/>
    <w:rsid w:val="2C9E03B5"/>
    <w:rsid w:val="2C9E49CA"/>
    <w:rsid w:val="2CA753B8"/>
    <w:rsid w:val="2CA95E08"/>
    <w:rsid w:val="2CAE79F9"/>
    <w:rsid w:val="2CB14CAF"/>
    <w:rsid w:val="2CB56D09"/>
    <w:rsid w:val="2CB61FCC"/>
    <w:rsid w:val="2CCA486F"/>
    <w:rsid w:val="2CCC2C1C"/>
    <w:rsid w:val="2CD23FBC"/>
    <w:rsid w:val="2CD4269A"/>
    <w:rsid w:val="2CE33239"/>
    <w:rsid w:val="2CE35334"/>
    <w:rsid w:val="2CE6156A"/>
    <w:rsid w:val="2CF72F3A"/>
    <w:rsid w:val="2CFB197A"/>
    <w:rsid w:val="2CFC50B1"/>
    <w:rsid w:val="2D02188C"/>
    <w:rsid w:val="2D0A0FE5"/>
    <w:rsid w:val="2D1376B0"/>
    <w:rsid w:val="2D174DDD"/>
    <w:rsid w:val="2D2E47D3"/>
    <w:rsid w:val="2D3B0AEA"/>
    <w:rsid w:val="2D3B1AE3"/>
    <w:rsid w:val="2D3D12F6"/>
    <w:rsid w:val="2D4D512A"/>
    <w:rsid w:val="2D683D2E"/>
    <w:rsid w:val="2D6F633B"/>
    <w:rsid w:val="2D8660BB"/>
    <w:rsid w:val="2D994A91"/>
    <w:rsid w:val="2D9D3948"/>
    <w:rsid w:val="2DB275E0"/>
    <w:rsid w:val="2DB303FF"/>
    <w:rsid w:val="2DBA6375"/>
    <w:rsid w:val="2DBD2104"/>
    <w:rsid w:val="2DBD3572"/>
    <w:rsid w:val="2DC3137F"/>
    <w:rsid w:val="2DCA2AD9"/>
    <w:rsid w:val="2DD251C8"/>
    <w:rsid w:val="2DD41845"/>
    <w:rsid w:val="2DD86A73"/>
    <w:rsid w:val="2DD921B8"/>
    <w:rsid w:val="2DDF0B57"/>
    <w:rsid w:val="2DE559E1"/>
    <w:rsid w:val="2DE62F5F"/>
    <w:rsid w:val="2E0872FC"/>
    <w:rsid w:val="2E0D2668"/>
    <w:rsid w:val="2E17282C"/>
    <w:rsid w:val="2E1A701F"/>
    <w:rsid w:val="2E1F6BA1"/>
    <w:rsid w:val="2E2051E3"/>
    <w:rsid w:val="2E2D5A7F"/>
    <w:rsid w:val="2E3613C2"/>
    <w:rsid w:val="2E3A77F0"/>
    <w:rsid w:val="2E412A13"/>
    <w:rsid w:val="2E456629"/>
    <w:rsid w:val="2E530DB5"/>
    <w:rsid w:val="2E556AF8"/>
    <w:rsid w:val="2E7625C4"/>
    <w:rsid w:val="2E8B25FC"/>
    <w:rsid w:val="2E9446D0"/>
    <w:rsid w:val="2EA369C9"/>
    <w:rsid w:val="2EB11A05"/>
    <w:rsid w:val="2EBA55AB"/>
    <w:rsid w:val="2EBB3948"/>
    <w:rsid w:val="2ECB3C82"/>
    <w:rsid w:val="2ECB719C"/>
    <w:rsid w:val="2EE014C7"/>
    <w:rsid w:val="2EE91998"/>
    <w:rsid w:val="2EED57A7"/>
    <w:rsid w:val="2EF452EE"/>
    <w:rsid w:val="2EF84EA7"/>
    <w:rsid w:val="2F06197C"/>
    <w:rsid w:val="2F106764"/>
    <w:rsid w:val="2F143179"/>
    <w:rsid w:val="2F1A05DA"/>
    <w:rsid w:val="2F1A2706"/>
    <w:rsid w:val="2F4D2332"/>
    <w:rsid w:val="2F52549A"/>
    <w:rsid w:val="2F5D7C0F"/>
    <w:rsid w:val="2F5E17A5"/>
    <w:rsid w:val="2F5E72FD"/>
    <w:rsid w:val="2F647783"/>
    <w:rsid w:val="2F6826AE"/>
    <w:rsid w:val="2F7A29C9"/>
    <w:rsid w:val="2F814767"/>
    <w:rsid w:val="2F9D52B3"/>
    <w:rsid w:val="2FA60668"/>
    <w:rsid w:val="2FA87BD3"/>
    <w:rsid w:val="2FB14CCA"/>
    <w:rsid w:val="2FB31CB2"/>
    <w:rsid w:val="2FB75742"/>
    <w:rsid w:val="2FBA519E"/>
    <w:rsid w:val="2FC07380"/>
    <w:rsid w:val="2FCC74BB"/>
    <w:rsid w:val="2FD33434"/>
    <w:rsid w:val="2FDA66FC"/>
    <w:rsid w:val="2FDD4032"/>
    <w:rsid w:val="2FE26502"/>
    <w:rsid w:val="2FE96130"/>
    <w:rsid w:val="2FEC0CA5"/>
    <w:rsid w:val="2FEC59F5"/>
    <w:rsid w:val="2FED720E"/>
    <w:rsid w:val="2FF33974"/>
    <w:rsid w:val="2FF4567F"/>
    <w:rsid w:val="2FF742AE"/>
    <w:rsid w:val="2FF805CC"/>
    <w:rsid w:val="3006106D"/>
    <w:rsid w:val="300C3397"/>
    <w:rsid w:val="30133F76"/>
    <w:rsid w:val="30141A1A"/>
    <w:rsid w:val="30143B28"/>
    <w:rsid w:val="30175751"/>
    <w:rsid w:val="302A5D6F"/>
    <w:rsid w:val="302B68FC"/>
    <w:rsid w:val="30402B4B"/>
    <w:rsid w:val="30445F0C"/>
    <w:rsid w:val="30463A0F"/>
    <w:rsid w:val="30497012"/>
    <w:rsid w:val="304B232C"/>
    <w:rsid w:val="305834DB"/>
    <w:rsid w:val="305D7CDE"/>
    <w:rsid w:val="305E1B58"/>
    <w:rsid w:val="30620817"/>
    <w:rsid w:val="306A1B64"/>
    <w:rsid w:val="306A47EA"/>
    <w:rsid w:val="30750780"/>
    <w:rsid w:val="307D2D55"/>
    <w:rsid w:val="30810114"/>
    <w:rsid w:val="30875884"/>
    <w:rsid w:val="308922B3"/>
    <w:rsid w:val="309B745D"/>
    <w:rsid w:val="30AF1CB3"/>
    <w:rsid w:val="30BC50C1"/>
    <w:rsid w:val="30BE35CE"/>
    <w:rsid w:val="30C16BC4"/>
    <w:rsid w:val="30CE2B52"/>
    <w:rsid w:val="30D75566"/>
    <w:rsid w:val="30D83DEF"/>
    <w:rsid w:val="30DA7FA4"/>
    <w:rsid w:val="30DC221E"/>
    <w:rsid w:val="30E074D4"/>
    <w:rsid w:val="30E378E7"/>
    <w:rsid w:val="30ED1E2A"/>
    <w:rsid w:val="30F83B08"/>
    <w:rsid w:val="30FB00D7"/>
    <w:rsid w:val="31052C21"/>
    <w:rsid w:val="310658D2"/>
    <w:rsid w:val="31105FD7"/>
    <w:rsid w:val="312867A4"/>
    <w:rsid w:val="312B74BC"/>
    <w:rsid w:val="312E633E"/>
    <w:rsid w:val="313D3211"/>
    <w:rsid w:val="313E05F5"/>
    <w:rsid w:val="31451DAE"/>
    <w:rsid w:val="314B5C70"/>
    <w:rsid w:val="315E4160"/>
    <w:rsid w:val="31630950"/>
    <w:rsid w:val="31633E0E"/>
    <w:rsid w:val="316F1D98"/>
    <w:rsid w:val="317132C9"/>
    <w:rsid w:val="317630C7"/>
    <w:rsid w:val="317A5C20"/>
    <w:rsid w:val="317E7019"/>
    <w:rsid w:val="318565BD"/>
    <w:rsid w:val="319E21C1"/>
    <w:rsid w:val="31A44FDB"/>
    <w:rsid w:val="31A817AE"/>
    <w:rsid w:val="31AB0B7F"/>
    <w:rsid w:val="31AC5756"/>
    <w:rsid w:val="31AD3B66"/>
    <w:rsid w:val="31B947F9"/>
    <w:rsid w:val="31C9483F"/>
    <w:rsid w:val="31CC29A6"/>
    <w:rsid w:val="31DA3B58"/>
    <w:rsid w:val="31DF5B10"/>
    <w:rsid w:val="31F50870"/>
    <w:rsid w:val="31F50AA2"/>
    <w:rsid w:val="32081D00"/>
    <w:rsid w:val="32092CA8"/>
    <w:rsid w:val="320A0BCA"/>
    <w:rsid w:val="320E2C4D"/>
    <w:rsid w:val="3210623D"/>
    <w:rsid w:val="321A75D7"/>
    <w:rsid w:val="32206930"/>
    <w:rsid w:val="32257B19"/>
    <w:rsid w:val="322C1767"/>
    <w:rsid w:val="323A2BEE"/>
    <w:rsid w:val="323D4FB3"/>
    <w:rsid w:val="32437807"/>
    <w:rsid w:val="324A2134"/>
    <w:rsid w:val="324B1F34"/>
    <w:rsid w:val="324B4362"/>
    <w:rsid w:val="324E5F99"/>
    <w:rsid w:val="326045FA"/>
    <w:rsid w:val="3266023D"/>
    <w:rsid w:val="3272726C"/>
    <w:rsid w:val="32794687"/>
    <w:rsid w:val="32800F09"/>
    <w:rsid w:val="328025D0"/>
    <w:rsid w:val="3284752C"/>
    <w:rsid w:val="32986C24"/>
    <w:rsid w:val="32A661AB"/>
    <w:rsid w:val="32AF3DDC"/>
    <w:rsid w:val="32B07BF0"/>
    <w:rsid w:val="32BB7D54"/>
    <w:rsid w:val="32BC3AEE"/>
    <w:rsid w:val="32C4647D"/>
    <w:rsid w:val="32D560E1"/>
    <w:rsid w:val="32D71BEE"/>
    <w:rsid w:val="32DA03B5"/>
    <w:rsid w:val="32DC3575"/>
    <w:rsid w:val="32DD1915"/>
    <w:rsid w:val="32DD730C"/>
    <w:rsid w:val="32DF2729"/>
    <w:rsid w:val="32E440FA"/>
    <w:rsid w:val="33113AFE"/>
    <w:rsid w:val="33135817"/>
    <w:rsid w:val="33161C91"/>
    <w:rsid w:val="331C796F"/>
    <w:rsid w:val="33232BA1"/>
    <w:rsid w:val="33265B44"/>
    <w:rsid w:val="33281E01"/>
    <w:rsid w:val="332D2429"/>
    <w:rsid w:val="33455453"/>
    <w:rsid w:val="33463F93"/>
    <w:rsid w:val="334E041A"/>
    <w:rsid w:val="3351221B"/>
    <w:rsid w:val="33562C97"/>
    <w:rsid w:val="335910ED"/>
    <w:rsid w:val="336805B3"/>
    <w:rsid w:val="336C426D"/>
    <w:rsid w:val="336D5DDA"/>
    <w:rsid w:val="33726DD6"/>
    <w:rsid w:val="33730D4E"/>
    <w:rsid w:val="337C7C89"/>
    <w:rsid w:val="33852AE7"/>
    <w:rsid w:val="338548B2"/>
    <w:rsid w:val="33913A68"/>
    <w:rsid w:val="339145CA"/>
    <w:rsid w:val="339B251B"/>
    <w:rsid w:val="339C3093"/>
    <w:rsid w:val="339F7E4F"/>
    <w:rsid w:val="33A24A1A"/>
    <w:rsid w:val="33AB1BE7"/>
    <w:rsid w:val="33B17E42"/>
    <w:rsid w:val="33B708B4"/>
    <w:rsid w:val="33BA6705"/>
    <w:rsid w:val="33BE2AA5"/>
    <w:rsid w:val="33C72141"/>
    <w:rsid w:val="33D76E5D"/>
    <w:rsid w:val="33DB7539"/>
    <w:rsid w:val="33E9429D"/>
    <w:rsid w:val="33F256FF"/>
    <w:rsid w:val="33F56C7F"/>
    <w:rsid w:val="340D4D2B"/>
    <w:rsid w:val="341F1C60"/>
    <w:rsid w:val="34282862"/>
    <w:rsid w:val="34282A72"/>
    <w:rsid w:val="34291237"/>
    <w:rsid w:val="34295445"/>
    <w:rsid w:val="342A3262"/>
    <w:rsid w:val="342E472A"/>
    <w:rsid w:val="343338D7"/>
    <w:rsid w:val="3435526E"/>
    <w:rsid w:val="343E1575"/>
    <w:rsid w:val="3442215E"/>
    <w:rsid w:val="345D55D5"/>
    <w:rsid w:val="34690BA0"/>
    <w:rsid w:val="346E52B0"/>
    <w:rsid w:val="347257C9"/>
    <w:rsid w:val="34790AD4"/>
    <w:rsid w:val="34984C2F"/>
    <w:rsid w:val="349C1455"/>
    <w:rsid w:val="349D6AA4"/>
    <w:rsid w:val="34AF3EBA"/>
    <w:rsid w:val="34B95322"/>
    <w:rsid w:val="34BA46C4"/>
    <w:rsid w:val="34C038F1"/>
    <w:rsid w:val="34C338B6"/>
    <w:rsid w:val="34CE7167"/>
    <w:rsid w:val="34DB4727"/>
    <w:rsid w:val="34DF66FD"/>
    <w:rsid w:val="34E65997"/>
    <w:rsid w:val="34E9674F"/>
    <w:rsid w:val="34E97457"/>
    <w:rsid w:val="34F12608"/>
    <w:rsid w:val="34F551C2"/>
    <w:rsid w:val="34FC0FCE"/>
    <w:rsid w:val="350A75F2"/>
    <w:rsid w:val="351250B9"/>
    <w:rsid w:val="35385F8E"/>
    <w:rsid w:val="353A5CC9"/>
    <w:rsid w:val="354114D7"/>
    <w:rsid w:val="35432939"/>
    <w:rsid w:val="35437987"/>
    <w:rsid w:val="35466ED4"/>
    <w:rsid w:val="354D0B78"/>
    <w:rsid w:val="354E2C68"/>
    <w:rsid w:val="35513626"/>
    <w:rsid w:val="3556591C"/>
    <w:rsid w:val="35595B6C"/>
    <w:rsid w:val="3572446F"/>
    <w:rsid w:val="357A534E"/>
    <w:rsid w:val="35802D0B"/>
    <w:rsid w:val="358542AC"/>
    <w:rsid w:val="358F6E3D"/>
    <w:rsid w:val="35947BAF"/>
    <w:rsid w:val="35957F66"/>
    <w:rsid w:val="359A4870"/>
    <w:rsid w:val="359D5474"/>
    <w:rsid w:val="359F0D11"/>
    <w:rsid w:val="35A73296"/>
    <w:rsid w:val="35AC6C1E"/>
    <w:rsid w:val="35B90AE9"/>
    <w:rsid w:val="35BC61FC"/>
    <w:rsid w:val="35CB2017"/>
    <w:rsid w:val="35D22FBC"/>
    <w:rsid w:val="35D23A18"/>
    <w:rsid w:val="35D5288E"/>
    <w:rsid w:val="35D55D3A"/>
    <w:rsid w:val="35D56DC1"/>
    <w:rsid w:val="35D729F5"/>
    <w:rsid w:val="35D947B5"/>
    <w:rsid w:val="35DB0434"/>
    <w:rsid w:val="35DC1ED5"/>
    <w:rsid w:val="35E4505A"/>
    <w:rsid w:val="35E95E76"/>
    <w:rsid w:val="35F15CA5"/>
    <w:rsid w:val="35FA6D9A"/>
    <w:rsid w:val="35FC65A7"/>
    <w:rsid w:val="361F43D3"/>
    <w:rsid w:val="3630625E"/>
    <w:rsid w:val="364C7E87"/>
    <w:rsid w:val="365959F3"/>
    <w:rsid w:val="365E6299"/>
    <w:rsid w:val="36604265"/>
    <w:rsid w:val="367A2139"/>
    <w:rsid w:val="3689563D"/>
    <w:rsid w:val="369076AD"/>
    <w:rsid w:val="36A002D6"/>
    <w:rsid w:val="36A54EC1"/>
    <w:rsid w:val="36A70531"/>
    <w:rsid w:val="36A92B28"/>
    <w:rsid w:val="36C207A1"/>
    <w:rsid w:val="36C307AA"/>
    <w:rsid w:val="36C432B7"/>
    <w:rsid w:val="36CF6C9E"/>
    <w:rsid w:val="36EA7A6C"/>
    <w:rsid w:val="36EC4929"/>
    <w:rsid w:val="36FF60EC"/>
    <w:rsid w:val="37026762"/>
    <w:rsid w:val="370B5A7C"/>
    <w:rsid w:val="371110EC"/>
    <w:rsid w:val="37142588"/>
    <w:rsid w:val="371B1DD3"/>
    <w:rsid w:val="371E24AF"/>
    <w:rsid w:val="371F0843"/>
    <w:rsid w:val="37283C36"/>
    <w:rsid w:val="37283EE4"/>
    <w:rsid w:val="372A51FC"/>
    <w:rsid w:val="372F0D06"/>
    <w:rsid w:val="373547FB"/>
    <w:rsid w:val="373A134B"/>
    <w:rsid w:val="37493D87"/>
    <w:rsid w:val="374B0576"/>
    <w:rsid w:val="374C289C"/>
    <w:rsid w:val="374D7FD0"/>
    <w:rsid w:val="374F0388"/>
    <w:rsid w:val="375605D4"/>
    <w:rsid w:val="37586A32"/>
    <w:rsid w:val="375E4EB5"/>
    <w:rsid w:val="375E5773"/>
    <w:rsid w:val="37624DD2"/>
    <w:rsid w:val="37625935"/>
    <w:rsid w:val="376B2094"/>
    <w:rsid w:val="376D09E7"/>
    <w:rsid w:val="37792D83"/>
    <w:rsid w:val="377E6B1B"/>
    <w:rsid w:val="378362A8"/>
    <w:rsid w:val="37884963"/>
    <w:rsid w:val="378B7B22"/>
    <w:rsid w:val="378C5B56"/>
    <w:rsid w:val="378D0F73"/>
    <w:rsid w:val="37906FAB"/>
    <w:rsid w:val="3795022F"/>
    <w:rsid w:val="379606C2"/>
    <w:rsid w:val="37AE75F3"/>
    <w:rsid w:val="37B62FBA"/>
    <w:rsid w:val="37C95CC1"/>
    <w:rsid w:val="37DB0C9A"/>
    <w:rsid w:val="37DD54C2"/>
    <w:rsid w:val="37DD55A9"/>
    <w:rsid w:val="37EC1533"/>
    <w:rsid w:val="37EE3456"/>
    <w:rsid w:val="37F36031"/>
    <w:rsid w:val="37F55F9C"/>
    <w:rsid w:val="37F728A8"/>
    <w:rsid w:val="37FD203E"/>
    <w:rsid w:val="381B058D"/>
    <w:rsid w:val="381C6F33"/>
    <w:rsid w:val="382518E0"/>
    <w:rsid w:val="38283F71"/>
    <w:rsid w:val="382B4B3C"/>
    <w:rsid w:val="3830394F"/>
    <w:rsid w:val="38364F1E"/>
    <w:rsid w:val="383814CA"/>
    <w:rsid w:val="38500A03"/>
    <w:rsid w:val="38520362"/>
    <w:rsid w:val="385B5774"/>
    <w:rsid w:val="385E31CC"/>
    <w:rsid w:val="38692E4A"/>
    <w:rsid w:val="387219CB"/>
    <w:rsid w:val="38725787"/>
    <w:rsid w:val="387316C8"/>
    <w:rsid w:val="387738A2"/>
    <w:rsid w:val="387836B0"/>
    <w:rsid w:val="387B4FD8"/>
    <w:rsid w:val="38906150"/>
    <w:rsid w:val="38A66A0F"/>
    <w:rsid w:val="38B25252"/>
    <w:rsid w:val="38BD1B07"/>
    <w:rsid w:val="38BE1CC5"/>
    <w:rsid w:val="38EE32CF"/>
    <w:rsid w:val="38F37D02"/>
    <w:rsid w:val="38FD230F"/>
    <w:rsid w:val="39050CCC"/>
    <w:rsid w:val="391026B8"/>
    <w:rsid w:val="391B44CB"/>
    <w:rsid w:val="391F28AD"/>
    <w:rsid w:val="39231176"/>
    <w:rsid w:val="39245935"/>
    <w:rsid w:val="392F4C9F"/>
    <w:rsid w:val="393318EC"/>
    <w:rsid w:val="394578BE"/>
    <w:rsid w:val="39482532"/>
    <w:rsid w:val="394C3027"/>
    <w:rsid w:val="394C633C"/>
    <w:rsid w:val="395E1A61"/>
    <w:rsid w:val="3960666C"/>
    <w:rsid w:val="3967520A"/>
    <w:rsid w:val="396D5BEE"/>
    <w:rsid w:val="397B3358"/>
    <w:rsid w:val="39840C21"/>
    <w:rsid w:val="399515E4"/>
    <w:rsid w:val="399B7879"/>
    <w:rsid w:val="39A07CC4"/>
    <w:rsid w:val="39A106F7"/>
    <w:rsid w:val="39A42A32"/>
    <w:rsid w:val="39A94A17"/>
    <w:rsid w:val="39AA6CD6"/>
    <w:rsid w:val="39AC4A6A"/>
    <w:rsid w:val="39B0351B"/>
    <w:rsid w:val="39B71AA1"/>
    <w:rsid w:val="39BE27A9"/>
    <w:rsid w:val="39C47587"/>
    <w:rsid w:val="39CF7D7A"/>
    <w:rsid w:val="39DC61AA"/>
    <w:rsid w:val="39E353AF"/>
    <w:rsid w:val="39E866C1"/>
    <w:rsid w:val="39E903A9"/>
    <w:rsid w:val="39F1327F"/>
    <w:rsid w:val="39F3116F"/>
    <w:rsid w:val="39FF7336"/>
    <w:rsid w:val="3A030220"/>
    <w:rsid w:val="3A073FD8"/>
    <w:rsid w:val="3A1618DD"/>
    <w:rsid w:val="3A260AB7"/>
    <w:rsid w:val="3A29764E"/>
    <w:rsid w:val="3A317059"/>
    <w:rsid w:val="3A4761A9"/>
    <w:rsid w:val="3A49239C"/>
    <w:rsid w:val="3A4E391D"/>
    <w:rsid w:val="3A573B42"/>
    <w:rsid w:val="3A5A248F"/>
    <w:rsid w:val="3A635B8D"/>
    <w:rsid w:val="3A856C3A"/>
    <w:rsid w:val="3A856CCD"/>
    <w:rsid w:val="3A8C42A7"/>
    <w:rsid w:val="3A8D7213"/>
    <w:rsid w:val="3A981AF1"/>
    <w:rsid w:val="3A9C68DE"/>
    <w:rsid w:val="3AA11A06"/>
    <w:rsid w:val="3AA60C58"/>
    <w:rsid w:val="3AAC3FE0"/>
    <w:rsid w:val="3AAD3C75"/>
    <w:rsid w:val="3AB23805"/>
    <w:rsid w:val="3AB53EA2"/>
    <w:rsid w:val="3ABB6655"/>
    <w:rsid w:val="3AC01DC4"/>
    <w:rsid w:val="3AC02205"/>
    <w:rsid w:val="3AC14FB0"/>
    <w:rsid w:val="3AC2637A"/>
    <w:rsid w:val="3AC34641"/>
    <w:rsid w:val="3AC407F1"/>
    <w:rsid w:val="3AC451A6"/>
    <w:rsid w:val="3AD216DF"/>
    <w:rsid w:val="3AD41C41"/>
    <w:rsid w:val="3AD503BA"/>
    <w:rsid w:val="3ADB5B6E"/>
    <w:rsid w:val="3AE25BDC"/>
    <w:rsid w:val="3AF919F9"/>
    <w:rsid w:val="3AF97BD8"/>
    <w:rsid w:val="3B147617"/>
    <w:rsid w:val="3B1D5A2A"/>
    <w:rsid w:val="3B254C48"/>
    <w:rsid w:val="3B2C2EBB"/>
    <w:rsid w:val="3B304482"/>
    <w:rsid w:val="3B32737F"/>
    <w:rsid w:val="3B344BD7"/>
    <w:rsid w:val="3B3B20C6"/>
    <w:rsid w:val="3B3C25DB"/>
    <w:rsid w:val="3B4240EE"/>
    <w:rsid w:val="3B47384A"/>
    <w:rsid w:val="3B4B4114"/>
    <w:rsid w:val="3B4C7EC1"/>
    <w:rsid w:val="3B580E47"/>
    <w:rsid w:val="3B583DE9"/>
    <w:rsid w:val="3B613F1F"/>
    <w:rsid w:val="3B6352A7"/>
    <w:rsid w:val="3B65118E"/>
    <w:rsid w:val="3B69274B"/>
    <w:rsid w:val="3B6C157E"/>
    <w:rsid w:val="3B7533C6"/>
    <w:rsid w:val="3B7907C7"/>
    <w:rsid w:val="3B816648"/>
    <w:rsid w:val="3B8A6CAC"/>
    <w:rsid w:val="3B8C3B82"/>
    <w:rsid w:val="3B8C7BA4"/>
    <w:rsid w:val="3B9742EE"/>
    <w:rsid w:val="3B9A737B"/>
    <w:rsid w:val="3B9E02ED"/>
    <w:rsid w:val="3BAE07E6"/>
    <w:rsid w:val="3BB27BC2"/>
    <w:rsid w:val="3BB30461"/>
    <w:rsid w:val="3BB5560E"/>
    <w:rsid w:val="3BBB26ED"/>
    <w:rsid w:val="3BC4063A"/>
    <w:rsid w:val="3BCB47E9"/>
    <w:rsid w:val="3BD16F3E"/>
    <w:rsid w:val="3BD52D75"/>
    <w:rsid w:val="3BD85B3C"/>
    <w:rsid w:val="3BD86415"/>
    <w:rsid w:val="3BDB3B76"/>
    <w:rsid w:val="3BDF1FF6"/>
    <w:rsid w:val="3BE06C87"/>
    <w:rsid w:val="3BE84D75"/>
    <w:rsid w:val="3BEC5D0E"/>
    <w:rsid w:val="3BEE1CA8"/>
    <w:rsid w:val="3BF3778E"/>
    <w:rsid w:val="3BFE32DA"/>
    <w:rsid w:val="3C0C195B"/>
    <w:rsid w:val="3C106B73"/>
    <w:rsid w:val="3C13466A"/>
    <w:rsid w:val="3C192680"/>
    <w:rsid w:val="3C1A2A73"/>
    <w:rsid w:val="3C1D1E32"/>
    <w:rsid w:val="3C321450"/>
    <w:rsid w:val="3C3D015D"/>
    <w:rsid w:val="3C42796B"/>
    <w:rsid w:val="3C4C467F"/>
    <w:rsid w:val="3C4D5F7C"/>
    <w:rsid w:val="3C5632F1"/>
    <w:rsid w:val="3C585D9D"/>
    <w:rsid w:val="3C67240A"/>
    <w:rsid w:val="3C6A4C3B"/>
    <w:rsid w:val="3C6B6379"/>
    <w:rsid w:val="3C715572"/>
    <w:rsid w:val="3C7F7B15"/>
    <w:rsid w:val="3C817799"/>
    <w:rsid w:val="3C827C60"/>
    <w:rsid w:val="3C834105"/>
    <w:rsid w:val="3C835208"/>
    <w:rsid w:val="3C863B26"/>
    <w:rsid w:val="3C8664F1"/>
    <w:rsid w:val="3C8C476E"/>
    <w:rsid w:val="3C8F2954"/>
    <w:rsid w:val="3C911A38"/>
    <w:rsid w:val="3C9E1727"/>
    <w:rsid w:val="3C9F46AA"/>
    <w:rsid w:val="3CA214A8"/>
    <w:rsid w:val="3CA6764C"/>
    <w:rsid w:val="3CA93B3E"/>
    <w:rsid w:val="3CAF6E6D"/>
    <w:rsid w:val="3CBE47F8"/>
    <w:rsid w:val="3CC0435D"/>
    <w:rsid w:val="3CCE40CA"/>
    <w:rsid w:val="3CD202AD"/>
    <w:rsid w:val="3CD405AA"/>
    <w:rsid w:val="3CD41A7F"/>
    <w:rsid w:val="3CD60AD7"/>
    <w:rsid w:val="3CD8445B"/>
    <w:rsid w:val="3CE22CF0"/>
    <w:rsid w:val="3CE762DB"/>
    <w:rsid w:val="3CE8006F"/>
    <w:rsid w:val="3CE97679"/>
    <w:rsid w:val="3CEB1464"/>
    <w:rsid w:val="3CF208AA"/>
    <w:rsid w:val="3CFE53AE"/>
    <w:rsid w:val="3D155E36"/>
    <w:rsid w:val="3D164A2B"/>
    <w:rsid w:val="3D18062F"/>
    <w:rsid w:val="3D1A5240"/>
    <w:rsid w:val="3D2F2514"/>
    <w:rsid w:val="3D3A44F2"/>
    <w:rsid w:val="3D4C399E"/>
    <w:rsid w:val="3D4C4117"/>
    <w:rsid w:val="3D4D1DAD"/>
    <w:rsid w:val="3D565A17"/>
    <w:rsid w:val="3D66648E"/>
    <w:rsid w:val="3D6A7BFC"/>
    <w:rsid w:val="3D827C8D"/>
    <w:rsid w:val="3D867298"/>
    <w:rsid w:val="3D884C2E"/>
    <w:rsid w:val="3D9065C0"/>
    <w:rsid w:val="3D932C9D"/>
    <w:rsid w:val="3D961C3E"/>
    <w:rsid w:val="3D9F2B82"/>
    <w:rsid w:val="3D9F2FA1"/>
    <w:rsid w:val="3DA100AD"/>
    <w:rsid w:val="3DB15058"/>
    <w:rsid w:val="3DB2280E"/>
    <w:rsid w:val="3DB83392"/>
    <w:rsid w:val="3DC668A5"/>
    <w:rsid w:val="3DC7768C"/>
    <w:rsid w:val="3DCB3539"/>
    <w:rsid w:val="3DD20D49"/>
    <w:rsid w:val="3DE272EE"/>
    <w:rsid w:val="3DE45DF4"/>
    <w:rsid w:val="3DE74D9A"/>
    <w:rsid w:val="3DF57077"/>
    <w:rsid w:val="3DF8477A"/>
    <w:rsid w:val="3E0073DF"/>
    <w:rsid w:val="3E07723B"/>
    <w:rsid w:val="3E1452F2"/>
    <w:rsid w:val="3E147A2E"/>
    <w:rsid w:val="3E1A5280"/>
    <w:rsid w:val="3E205605"/>
    <w:rsid w:val="3E231B00"/>
    <w:rsid w:val="3E2B2837"/>
    <w:rsid w:val="3E363550"/>
    <w:rsid w:val="3E3A366A"/>
    <w:rsid w:val="3E3A3CEA"/>
    <w:rsid w:val="3E5B36D6"/>
    <w:rsid w:val="3E677287"/>
    <w:rsid w:val="3E6B48C6"/>
    <w:rsid w:val="3E762608"/>
    <w:rsid w:val="3E7E5563"/>
    <w:rsid w:val="3E864695"/>
    <w:rsid w:val="3E910D5F"/>
    <w:rsid w:val="3EB46DF5"/>
    <w:rsid w:val="3EC133F5"/>
    <w:rsid w:val="3ED87769"/>
    <w:rsid w:val="3EDA7558"/>
    <w:rsid w:val="3EE071C6"/>
    <w:rsid w:val="3EE966BB"/>
    <w:rsid w:val="3EEB1951"/>
    <w:rsid w:val="3EFB4AEF"/>
    <w:rsid w:val="3EFD0FC7"/>
    <w:rsid w:val="3F022D26"/>
    <w:rsid w:val="3F0F0225"/>
    <w:rsid w:val="3F1079CE"/>
    <w:rsid w:val="3F1634EF"/>
    <w:rsid w:val="3F1F1544"/>
    <w:rsid w:val="3F272A20"/>
    <w:rsid w:val="3F327DB9"/>
    <w:rsid w:val="3F345A01"/>
    <w:rsid w:val="3F3E6167"/>
    <w:rsid w:val="3F4E65C4"/>
    <w:rsid w:val="3F5E502B"/>
    <w:rsid w:val="3F761A92"/>
    <w:rsid w:val="3F7718DC"/>
    <w:rsid w:val="3F827044"/>
    <w:rsid w:val="3F8E0040"/>
    <w:rsid w:val="3F9361C1"/>
    <w:rsid w:val="3F974228"/>
    <w:rsid w:val="3F9974D5"/>
    <w:rsid w:val="3F9B327E"/>
    <w:rsid w:val="3FA17C6A"/>
    <w:rsid w:val="3FAE3F08"/>
    <w:rsid w:val="3FB21794"/>
    <w:rsid w:val="3FB81012"/>
    <w:rsid w:val="3FD63264"/>
    <w:rsid w:val="3FD76B9A"/>
    <w:rsid w:val="3FDD29D6"/>
    <w:rsid w:val="3FE34A11"/>
    <w:rsid w:val="3FF63E54"/>
    <w:rsid w:val="3FFE2BDF"/>
    <w:rsid w:val="400C1E91"/>
    <w:rsid w:val="400D501F"/>
    <w:rsid w:val="400F1FF0"/>
    <w:rsid w:val="400F5C80"/>
    <w:rsid w:val="401D6BFB"/>
    <w:rsid w:val="40433F2D"/>
    <w:rsid w:val="40433FF7"/>
    <w:rsid w:val="40522795"/>
    <w:rsid w:val="405A4AA3"/>
    <w:rsid w:val="40672448"/>
    <w:rsid w:val="406B6317"/>
    <w:rsid w:val="4075165F"/>
    <w:rsid w:val="407B2F1A"/>
    <w:rsid w:val="40820DE1"/>
    <w:rsid w:val="40884A6F"/>
    <w:rsid w:val="408D0453"/>
    <w:rsid w:val="40904B5E"/>
    <w:rsid w:val="40921BA7"/>
    <w:rsid w:val="409A2FB7"/>
    <w:rsid w:val="40AC2093"/>
    <w:rsid w:val="40AD4094"/>
    <w:rsid w:val="40CE32FF"/>
    <w:rsid w:val="40D8476B"/>
    <w:rsid w:val="40D92C20"/>
    <w:rsid w:val="40D97A6F"/>
    <w:rsid w:val="40DE5753"/>
    <w:rsid w:val="40E4678A"/>
    <w:rsid w:val="40E72B2A"/>
    <w:rsid w:val="40F06FD2"/>
    <w:rsid w:val="40FF340B"/>
    <w:rsid w:val="41020022"/>
    <w:rsid w:val="410F6F0D"/>
    <w:rsid w:val="4113199E"/>
    <w:rsid w:val="41136A14"/>
    <w:rsid w:val="4115645F"/>
    <w:rsid w:val="41196BC8"/>
    <w:rsid w:val="412865EA"/>
    <w:rsid w:val="412E0842"/>
    <w:rsid w:val="413807A0"/>
    <w:rsid w:val="413A200C"/>
    <w:rsid w:val="415636B1"/>
    <w:rsid w:val="41597BB8"/>
    <w:rsid w:val="415E1C15"/>
    <w:rsid w:val="415F1239"/>
    <w:rsid w:val="416278A5"/>
    <w:rsid w:val="41671E00"/>
    <w:rsid w:val="41684480"/>
    <w:rsid w:val="417378B8"/>
    <w:rsid w:val="41741F6F"/>
    <w:rsid w:val="41857510"/>
    <w:rsid w:val="41875460"/>
    <w:rsid w:val="419B460A"/>
    <w:rsid w:val="41A07C9F"/>
    <w:rsid w:val="41AE3C6B"/>
    <w:rsid w:val="41BA0EAD"/>
    <w:rsid w:val="41BD2FF4"/>
    <w:rsid w:val="41BF3F4B"/>
    <w:rsid w:val="41C17272"/>
    <w:rsid w:val="41D3665E"/>
    <w:rsid w:val="41D635BB"/>
    <w:rsid w:val="41D801C0"/>
    <w:rsid w:val="41F41F43"/>
    <w:rsid w:val="41F71C66"/>
    <w:rsid w:val="41F80DDD"/>
    <w:rsid w:val="41F82412"/>
    <w:rsid w:val="41FE751A"/>
    <w:rsid w:val="42022C5E"/>
    <w:rsid w:val="421971C7"/>
    <w:rsid w:val="4235791B"/>
    <w:rsid w:val="42361410"/>
    <w:rsid w:val="423C3789"/>
    <w:rsid w:val="42407DA2"/>
    <w:rsid w:val="424849B6"/>
    <w:rsid w:val="424A52C3"/>
    <w:rsid w:val="424F6ACF"/>
    <w:rsid w:val="425E58D6"/>
    <w:rsid w:val="426171EE"/>
    <w:rsid w:val="42640767"/>
    <w:rsid w:val="4268711E"/>
    <w:rsid w:val="426D752F"/>
    <w:rsid w:val="426E5CD9"/>
    <w:rsid w:val="426E649C"/>
    <w:rsid w:val="42775AC1"/>
    <w:rsid w:val="427A6350"/>
    <w:rsid w:val="42872558"/>
    <w:rsid w:val="428A2191"/>
    <w:rsid w:val="428A356E"/>
    <w:rsid w:val="42A61838"/>
    <w:rsid w:val="42AB4831"/>
    <w:rsid w:val="42BD72C7"/>
    <w:rsid w:val="42BE7FF1"/>
    <w:rsid w:val="42C10CA4"/>
    <w:rsid w:val="42C94B0F"/>
    <w:rsid w:val="42CE0DDA"/>
    <w:rsid w:val="42CE67DE"/>
    <w:rsid w:val="42E025EC"/>
    <w:rsid w:val="42E65A1A"/>
    <w:rsid w:val="430302AD"/>
    <w:rsid w:val="430A0257"/>
    <w:rsid w:val="4312744D"/>
    <w:rsid w:val="431310B0"/>
    <w:rsid w:val="431836C6"/>
    <w:rsid w:val="4320226B"/>
    <w:rsid w:val="43204585"/>
    <w:rsid w:val="433D4BE8"/>
    <w:rsid w:val="433F06CD"/>
    <w:rsid w:val="4346025C"/>
    <w:rsid w:val="435554D5"/>
    <w:rsid w:val="43570003"/>
    <w:rsid w:val="43584528"/>
    <w:rsid w:val="435D1DDE"/>
    <w:rsid w:val="436927EE"/>
    <w:rsid w:val="437D1940"/>
    <w:rsid w:val="43822ADF"/>
    <w:rsid w:val="43997ABB"/>
    <w:rsid w:val="439F1EC7"/>
    <w:rsid w:val="439F5D58"/>
    <w:rsid w:val="43A67484"/>
    <w:rsid w:val="43A85A8E"/>
    <w:rsid w:val="43AE5940"/>
    <w:rsid w:val="43B773EA"/>
    <w:rsid w:val="43C270B2"/>
    <w:rsid w:val="43C57FC6"/>
    <w:rsid w:val="43D63A2C"/>
    <w:rsid w:val="43D70A97"/>
    <w:rsid w:val="43E12A71"/>
    <w:rsid w:val="43E47F13"/>
    <w:rsid w:val="43F50629"/>
    <w:rsid w:val="43F77A8C"/>
    <w:rsid w:val="440C602F"/>
    <w:rsid w:val="440D3714"/>
    <w:rsid w:val="44110CEE"/>
    <w:rsid w:val="44152535"/>
    <w:rsid w:val="441F41D9"/>
    <w:rsid w:val="441F7C5A"/>
    <w:rsid w:val="44227296"/>
    <w:rsid w:val="442547DA"/>
    <w:rsid w:val="4429102E"/>
    <w:rsid w:val="44444A8E"/>
    <w:rsid w:val="444511D3"/>
    <w:rsid w:val="444737EF"/>
    <w:rsid w:val="444D016A"/>
    <w:rsid w:val="44557181"/>
    <w:rsid w:val="445E1C64"/>
    <w:rsid w:val="44605C26"/>
    <w:rsid w:val="4461077F"/>
    <w:rsid w:val="44644B62"/>
    <w:rsid w:val="44650397"/>
    <w:rsid w:val="446B16AB"/>
    <w:rsid w:val="44736294"/>
    <w:rsid w:val="44783514"/>
    <w:rsid w:val="447E40C7"/>
    <w:rsid w:val="447F1620"/>
    <w:rsid w:val="44827C23"/>
    <w:rsid w:val="448524C0"/>
    <w:rsid w:val="4486313C"/>
    <w:rsid w:val="44896553"/>
    <w:rsid w:val="448B732B"/>
    <w:rsid w:val="448D3C28"/>
    <w:rsid w:val="44963EB5"/>
    <w:rsid w:val="44980808"/>
    <w:rsid w:val="44A428F9"/>
    <w:rsid w:val="44A65E87"/>
    <w:rsid w:val="44A71ED0"/>
    <w:rsid w:val="44A852DB"/>
    <w:rsid w:val="44B70DA1"/>
    <w:rsid w:val="44BA1C4F"/>
    <w:rsid w:val="44BA1F18"/>
    <w:rsid w:val="44BA267E"/>
    <w:rsid w:val="44C13367"/>
    <w:rsid w:val="44C27352"/>
    <w:rsid w:val="44C90744"/>
    <w:rsid w:val="44C9393E"/>
    <w:rsid w:val="44CC5523"/>
    <w:rsid w:val="44D45639"/>
    <w:rsid w:val="44DC0A50"/>
    <w:rsid w:val="44EC094F"/>
    <w:rsid w:val="44F424E9"/>
    <w:rsid w:val="450A3ABE"/>
    <w:rsid w:val="45265651"/>
    <w:rsid w:val="45343036"/>
    <w:rsid w:val="454B2C1D"/>
    <w:rsid w:val="454C08B1"/>
    <w:rsid w:val="4554486B"/>
    <w:rsid w:val="45573568"/>
    <w:rsid w:val="45680293"/>
    <w:rsid w:val="45696157"/>
    <w:rsid w:val="45705E11"/>
    <w:rsid w:val="458B2A81"/>
    <w:rsid w:val="45971852"/>
    <w:rsid w:val="45A113FD"/>
    <w:rsid w:val="45A332A0"/>
    <w:rsid w:val="45BA7193"/>
    <w:rsid w:val="45BB0C99"/>
    <w:rsid w:val="45BC149E"/>
    <w:rsid w:val="45C17DB1"/>
    <w:rsid w:val="45CF4326"/>
    <w:rsid w:val="45DD5113"/>
    <w:rsid w:val="45E26414"/>
    <w:rsid w:val="45E64E43"/>
    <w:rsid w:val="45E91EB7"/>
    <w:rsid w:val="45F90769"/>
    <w:rsid w:val="460C2CCA"/>
    <w:rsid w:val="46133018"/>
    <w:rsid w:val="461D172C"/>
    <w:rsid w:val="46246138"/>
    <w:rsid w:val="46277072"/>
    <w:rsid w:val="462826A8"/>
    <w:rsid w:val="462D1F2E"/>
    <w:rsid w:val="462E13D0"/>
    <w:rsid w:val="462F0E18"/>
    <w:rsid w:val="46324591"/>
    <w:rsid w:val="463A1CFA"/>
    <w:rsid w:val="46482608"/>
    <w:rsid w:val="4649108E"/>
    <w:rsid w:val="464D2356"/>
    <w:rsid w:val="46564840"/>
    <w:rsid w:val="465B58AF"/>
    <w:rsid w:val="465C1EA0"/>
    <w:rsid w:val="465C21B1"/>
    <w:rsid w:val="46696795"/>
    <w:rsid w:val="466B71C1"/>
    <w:rsid w:val="466C76B1"/>
    <w:rsid w:val="4670161A"/>
    <w:rsid w:val="46722C0F"/>
    <w:rsid w:val="46740429"/>
    <w:rsid w:val="467A0011"/>
    <w:rsid w:val="46835C33"/>
    <w:rsid w:val="46910B75"/>
    <w:rsid w:val="46943608"/>
    <w:rsid w:val="4696065A"/>
    <w:rsid w:val="46A523C3"/>
    <w:rsid w:val="46A97E73"/>
    <w:rsid w:val="46AC062C"/>
    <w:rsid w:val="46AD7535"/>
    <w:rsid w:val="46B855E8"/>
    <w:rsid w:val="46B85B0F"/>
    <w:rsid w:val="46C05D2E"/>
    <w:rsid w:val="46C46F22"/>
    <w:rsid w:val="46C52467"/>
    <w:rsid w:val="46C865F9"/>
    <w:rsid w:val="46CD31C0"/>
    <w:rsid w:val="46E00C5E"/>
    <w:rsid w:val="46E04BF6"/>
    <w:rsid w:val="46E50034"/>
    <w:rsid w:val="46E72450"/>
    <w:rsid w:val="46EB25C8"/>
    <w:rsid w:val="46F05C32"/>
    <w:rsid w:val="46F8313C"/>
    <w:rsid w:val="46F90E57"/>
    <w:rsid w:val="47060636"/>
    <w:rsid w:val="470779A7"/>
    <w:rsid w:val="47087074"/>
    <w:rsid w:val="470F0953"/>
    <w:rsid w:val="470F752C"/>
    <w:rsid w:val="471772F5"/>
    <w:rsid w:val="471C434B"/>
    <w:rsid w:val="471E15A2"/>
    <w:rsid w:val="472C776A"/>
    <w:rsid w:val="47430C97"/>
    <w:rsid w:val="4743158B"/>
    <w:rsid w:val="474859BD"/>
    <w:rsid w:val="4751122C"/>
    <w:rsid w:val="47562AC4"/>
    <w:rsid w:val="475A0130"/>
    <w:rsid w:val="476029EC"/>
    <w:rsid w:val="476B66BD"/>
    <w:rsid w:val="476C4220"/>
    <w:rsid w:val="47736034"/>
    <w:rsid w:val="477D3938"/>
    <w:rsid w:val="4780235C"/>
    <w:rsid w:val="47836937"/>
    <w:rsid w:val="478832E7"/>
    <w:rsid w:val="478A3AAA"/>
    <w:rsid w:val="478E5166"/>
    <w:rsid w:val="47971651"/>
    <w:rsid w:val="47A17B7B"/>
    <w:rsid w:val="47AB6C18"/>
    <w:rsid w:val="47B37C31"/>
    <w:rsid w:val="47C63AE3"/>
    <w:rsid w:val="47C81A92"/>
    <w:rsid w:val="47ED655A"/>
    <w:rsid w:val="47ED7ABD"/>
    <w:rsid w:val="47F22864"/>
    <w:rsid w:val="47F74F64"/>
    <w:rsid w:val="47FB3F4F"/>
    <w:rsid w:val="48082354"/>
    <w:rsid w:val="48090B9A"/>
    <w:rsid w:val="481E6DF0"/>
    <w:rsid w:val="481F4E4C"/>
    <w:rsid w:val="4828713D"/>
    <w:rsid w:val="482B2394"/>
    <w:rsid w:val="48327C5F"/>
    <w:rsid w:val="48333487"/>
    <w:rsid w:val="483B7394"/>
    <w:rsid w:val="48514A78"/>
    <w:rsid w:val="48536305"/>
    <w:rsid w:val="485C2604"/>
    <w:rsid w:val="48602BB8"/>
    <w:rsid w:val="48680463"/>
    <w:rsid w:val="486E0F98"/>
    <w:rsid w:val="48730067"/>
    <w:rsid w:val="487F1C7C"/>
    <w:rsid w:val="48945F14"/>
    <w:rsid w:val="48995ED3"/>
    <w:rsid w:val="48A11862"/>
    <w:rsid w:val="48A86277"/>
    <w:rsid w:val="48B01167"/>
    <w:rsid w:val="48B87C79"/>
    <w:rsid w:val="48BD24A0"/>
    <w:rsid w:val="48C2344D"/>
    <w:rsid w:val="48E03A67"/>
    <w:rsid w:val="48E23F66"/>
    <w:rsid w:val="48EC33A9"/>
    <w:rsid w:val="48FF039F"/>
    <w:rsid w:val="49000A85"/>
    <w:rsid w:val="49053603"/>
    <w:rsid w:val="49084E39"/>
    <w:rsid w:val="49096890"/>
    <w:rsid w:val="490D1110"/>
    <w:rsid w:val="491124AC"/>
    <w:rsid w:val="491739FA"/>
    <w:rsid w:val="49352CF5"/>
    <w:rsid w:val="493927B6"/>
    <w:rsid w:val="49437AE0"/>
    <w:rsid w:val="4944692F"/>
    <w:rsid w:val="494F25F4"/>
    <w:rsid w:val="495655C0"/>
    <w:rsid w:val="496E6491"/>
    <w:rsid w:val="49752064"/>
    <w:rsid w:val="497B48C8"/>
    <w:rsid w:val="49855DF8"/>
    <w:rsid w:val="499331AB"/>
    <w:rsid w:val="49963BEC"/>
    <w:rsid w:val="4997211A"/>
    <w:rsid w:val="49977611"/>
    <w:rsid w:val="499C3252"/>
    <w:rsid w:val="49A33F94"/>
    <w:rsid w:val="49AC30B0"/>
    <w:rsid w:val="49AD0D67"/>
    <w:rsid w:val="49B72504"/>
    <w:rsid w:val="49B75CCF"/>
    <w:rsid w:val="49B937AB"/>
    <w:rsid w:val="49BC705A"/>
    <w:rsid w:val="49BD04BB"/>
    <w:rsid w:val="49BD12FC"/>
    <w:rsid w:val="49C642A2"/>
    <w:rsid w:val="49D861A0"/>
    <w:rsid w:val="49FD537A"/>
    <w:rsid w:val="4A1333E3"/>
    <w:rsid w:val="4A284DB9"/>
    <w:rsid w:val="4A292E32"/>
    <w:rsid w:val="4A334B67"/>
    <w:rsid w:val="4A384C39"/>
    <w:rsid w:val="4A3D2565"/>
    <w:rsid w:val="4A477DE3"/>
    <w:rsid w:val="4A490817"/>
    <w:rsid w:val="4A525551"/>
    <w:rsid w:val="4A552679"/>
    <w:rsid w:val="4A5B3A8C"/>
    <w:rsid w:val="4A5F037D"/>
    <w:rsid w:val="4A601268"/>
    <w:rsid w:val="4A667F58"/>
    <w:rsid w:val="4A671080"/>
    <w:rsid w:val="4A67544E"/>
    <w:rsid w:val="4A727BC8"/>
    <w:rsid w:val="4A76623A"/>
    <w:rsid w:val="4A802AAF"/>
    <w:rsid w:val="4A8904DE"/>
    <w:rsid w:val="4A957771"/>
    <w:rsid w:val="4A9C1498"/>
    <w:rsid w:val="4A9D3D0F"/>
    <w:rsid w:val="4AB56523"/>
    <w:rsid w:val="4AB96834"/>
    <w:rsid w:val="4ABA35B7"/>
    <w:rsid w:val="4AC16CC9"/>
    <w:rsid w:val="4AC26396"/>
    <w:rsid w:val="4AC32886"/>
    <w:rsid w:val="4AC3475F"/>
    <w:rsid w:val="4AC72CA6"/>
    <w:rsid w:val="4AC93C8B"/>
    <w:rsid w:val="4AD1185E"/>
    <w:rsid w:val="4AD355DF"/>
    <w:rsid w:val="4AD42731"/>
    <w:rsid w:val="4ADD658B"/>
    <w:rsid w:val="4AE558E6"/>
    <w:rsid w:val="4AE86B4F"/>
    <w:rsid w:val="4AF17454"/>
    <w:rsid w:val="4AF26003"/>
    <w:rsid w:val="4AF51BD6"/>
    <w:rsid w:val="4AFD75F9"/>
    <w:rsid w:val="4B0B3694"/>
    <w:rsid w:val="4B0C03BD"/>
    <w:rsid w:val="4B140186"/>
    <w:rsid w:val="4B161992"/>
    <w:rsid w:val="4B260F6D"/>
    <w:rsid w:val="4B292E0A"/>
    <w:rsid w:val="4B2C6722"/>
    <w:rsid w:val="4B3E26EE"/>
    <w:rsid w:val="4B411C1E"/>
    <w:rsid w:val="4B4151EB"/>
    <w:rsid w:val="4B4420ED"/>
    <w:rsid w:val="4B467D50"/>
    <w:rsid w:val="4B486777"/>
    <w:rsid w:val="4B672D0A"/>
    <w:rsid w:val="4B794575"/>
    <w:rsid w:val="4B82534B"/>
    <w:rsid w:val="4B955F0D"/>
    <w:rsid w:val="4B9C2B6C"/>
    <w:rsid w:val="4BA245A0"/>
    <w:rsid w:val="4BA34211"/>
    <w:rsid w:val="4BA761AE"/>
    <w:rsid w:val="4BA92322"/>
    <w:rsid w:val="4BAC39FB"/>
    <w:rsid w:val="4BBE141E"/>
    <w:rsid w:val="4BC666E3"/>
    <w:rsid w:val="4BCB3452"/>
    <w:rsid w:val="4BCB576C"/>
    <w:rsid w:val="4BCF0C18"/>
    <w:rsid w:val="4BD24FE4"/>
    <w:rsid w:val="4BD3628F"/>
    <w:rsid w:val="4BD94D54"/>
    <w:rsid w:val="4BD97185"/>
    <w:rsid w:val="4BDB0E6A"/>
    <w:rsid w:val="4BE62B9C"/>
    <w:rsid w:val="4BE72652"/>
    <w:rsid w:val="4BEB36DB"/>
    <w:rsid w:val="4BF333F8"/>
    <w:rsid w:val="4BF3349B"/>
    <w:rsid w:val="4BF61646"/>
    <w:rsid w:val="4BF83209"/>
    <w:rsid w:val="4BFB730A"/>
    <w:rsid w:val="4C081D6D"/>
    <w:rsid w:val="4C0C200F"/>
    <w:rsid w:val="4C0D1E8E"/>
    <w:rsid w:val="4C1818D2"/>
    <w:rsid w:val="4C215673"/>
    <w:rsid w:val="4C350A23"/>
    <w:rsid w:val="4C394EF2"/>
    <w:rsid w:val="4C4B73B6"/>
    <w:rsid w:val="4C5977FC"/>
    <w:rsid w:val="4C5D6A93"/>
    <w:rsid w:val="4C660D58"/>
    <w:rsid w:val="4C6762FE"/>
    <w:rsid w:val="4C6B66EA"/>
    <w:rsid w:val="4C7D1703"/>
    <w:rsid w:val="4C97425F"/>
    <w:rsid w:val="4C974F1D"/>
    <w:rsid w:val="4CA45813"/>
    <w:rsid w:val="4CA774BE"/>
    <w:rsid w:val="4CAA04E2"/>
    <w:rsid w:val="4CAA3902"/>
    <w:rsid w:val="4CB27743"/>
    <w:rsid w:val="4CB8396A"/>
    <w:rsid w:val="4CC571FB"/>
    <w:rsid w:val="4CE063FF"/>
    <w:rsid w:val="4CE46434"/>
    <w:rsid w:val="4D156D96"/>
    <w:rsid w:val="4D254217"/>
    <w:rsid w:val="4D2F2ABD"/>
    <w:rsid w:val="4D2F3228"/>
    <w:rsid w:val="4D363DD4"/>
    <w:rsid w:val="4D3C1607"/>
    <w:rsid w:val="4D4A7DFA"/>
    <w:rsid w:val="4D4E54C4"/>
    <w:rsid w:val="4D5C77B9"/>
    <w:rsid w:val="4D6E79D4"/>
    <w:rsid w:val="4D713980"/>
    <w:rsid w:val="4D787818"/>
    <w:rsid w:val="4D7A5ACA"/>
    <w:rsid w:val="4D7B01C3"/>
    <w:rsid w:val="4D831C64"/>
    <w:rsid w:val="4D9246E4"/>
    <w:rsid w:val="4D9A0BF0"/>
    <w:rsid w:val="4D9B493D"/>
    <w:rsid w:val="4DAB43C4"/>
    <w:rsid w:val="4DAD392E"/>
    <w:rsid w:val="4DB02F9F"/>
    <w:rsid w:val="4DC2111F"/>
    <w:rsid w:val="4DCE66EB"/>
    <w:rsid w:val="4DD23F7B"/>
    <w:rsid w:val="4DE87CCD"/>
    <w:rsid w:val="4DEB1FD6"/>
    <w:rsid w:val="4DEC3124"/>
    <w:rsid w:val="4DF24F95"/>
    <w:rsid w:val="4DF66DB5"/>
    <w:rsid w:val="4DFB3144"/>
    <w:rsid w:val="4E080F57"/>
    <w:rsid w:val="4E0A3492"/>
    <w:rsid w:val="4E0D5983"/>
    <w:rsid w:val="4E151C11"/>
    <w:rsid w:val="4E1E64B6"/>
    <w:rsid w:val="4E294048"/>
    <w:rsid w:val="4E302C3A"/>
    <w:rsid w:val="4E305A6A"/>
    <w:rsid w:val="4E312E48"/>
    <w:rsid w:val="4E3A2439"/>
    <w:rsid w:val="4E45687F"/>
    <w:rsid w:val="4E523562"/>
    <w:rsid w:val="4E530683"/>
    <w:rsid w:val="4E5E730F"/>
    <w:rsid w:val="4E6133DF"/>
    <w:rsid w:val="4E642CD5"/>
    <w:rsid w:val="4E6A2969"/>
    <w:rsid w:val="4E6F02E1"/>
    <w:rsid w:val="4E756543"/>
    <w:rsid w:val="4E7665B6"/>
    <w:rsid w:val="4E7E0758"/>
    <w:rsid w:val="4E7F65A3"/>
    <w:rsid w:val="4E821698"/>
    <w:rsid w:val="4E845EA8"/>
    <w:rsid w:val="4E85499B"/>
    <w:rsid w:val="4E894B9C"/>
    <w:rsid w:val="4E8A08D0"/>
    <w:rsid w:val="4E8A1754"/>
    <w:rsid w:val="4E9875F6"/>
    <w:rsid w:val="4E9B0DA1"/>
    <w:rsid w:val="4EA5373E"/>
    <w:rsid w:val="4EA9425C"/>
    <w:rsid w:val="4EB126A0"/>
    <w:rsid w:val="4EC05091"/>
    <w:rsid w:val="4ECE6B63"/>
    <w:rsid w:val="4ED67979"/>
    <w:rsid w:val="4EDA7132"/>
    <w:rsid w:val="4EDB55CD"/>
    <w:rsid w:val="4EE75057"/>
    <w:rsid w:val="4EE81B1A"/>
    <w:rsid w:val="4EE9373C"/>
    <w:rsid w:val="4EF05D8C"/>
    <w:rsid w:val="4EF66B59"/>
    <w:rsid w:val="4EFC7966"/>
    <w:rsid w:val="4EFD03DA"/>
    <w:rsid w:val="4F1904D9"/>
    <w:rsid w:val="4F191F02"/>
    <w:rsid w:val="4F216CBC"/>
    <w:rsid w:val="4F2E6906"/>
    <w:rsid w:val="4F3B1AAE"/>
    <w:rsid w:val="4F423F75"/>
    <w:rsid w:val="4F450181"/>
    <w:rsid w:val="4F4A059B"/>
    <w:rsid w:val="4F534B21"/>
    <w:rsid w:val="4F5B14AF"/>
    <w:rsid w:val="4F63123A"/>
    <w:rsid w:val="4F640FF8"/>
    <w:rsid w:val="4F6A5E95"/>
    <w:rsid w:val="4F703C9C"/>
    <w:rsid w:val="4F7E2E92"/>
    <w:rsid w:val="4F803204"/>
    <w:rsid w:val="4F803E57"/>
    <w:rsid w:val="4F833D52"/>
    <w:rsid w:val="4F9329D7"/>
    <w:rsid w:val="4F9F4F1F"/>
    <w:rsid w:val="4FB475F7"/>
    <w:rsid w:val="4FB81D90"/>
    <w:rsid w:val="4FBA60EF"/>
    <w:rsid w:val="4FC234D2"/>
    <w:rsid w:val="4FD153D7"/>
    <w:rsid w:val="4FD159A7"/>
    <w:rsid w:val="4FD62137"/>
    <w:rsid w:val="4FEF16EA"/>
    <w:rsid w:val="4FF642FE"/>
    <w:rsid w:val="4FFD3893"/>
    <w:rsid w:val="500242B4"/>
    <w:rsid w:val="50075086"/>
    <w:rsid w:val="50096EB9"/>
    <w:rsid w:val="50167F7F"/>
    <w:rsid w:val="501D3B2F"/>
    <w:rsid w:val="501F1870"/>
    <w:rsid w:val="502077FA"/>
    <w:rsid w:val="50320FC5"/>
    <w:rsid w:val="503265C5"/>
    <w:rsid w:val="503C5CE7"/>
    <w:rsid w:val="50473A97"/>
    <w:rsid w:val="504C2F16"/>
    <w:rsid w:val="504E0EC9"/>
    <w:rsid w:val="50631D8A"/>
    <w:rsid w:val="50830F67"/>
    <w:rsid w:val="508B107B"/>
    <w:rsid w:val="508D2AD0"/>
    <w:rsid w:val="508E76F6"/>
    <w:rsid w:val="508F6EF1"/>
    <w:rsid w:val="509B4FA4"/>
    <w:rsid w:val="509B67EC"/>
    <w:rsid w:val="50A20699"/>
    <w:rsid w:val="50A70ABA"/>
    <w:rsid w:val="50B55970"/>
    <w:rsid w:val="50B74B7F"/>
    <w:rsid w:val="50BD372E"/>
    <w:rsid w:val="50DA2AE6"/>
    <w:rsid w:val="50DF4D6B"/>
    <w:rsid w:val="50E0708A"/>
    <w:rsid w:val="50E52B44"/>
    <w:rsid w:val="50E54191"/>
    <w:rsid w:val="50FD630C"/>
    <w:rsid w:val="51052A68"/>
    <w:rsid w:val="51075E95"/>
    <w:rsid w:val="510C175A"/>
    <w:rsid w:val="510C2B84"/>
    <w:rsid w:val="51121D7B"/>
    <w:rsid w:val="511A7E2B"/>
    <w:rsid w:val="511E7840"/>
    <w:rsid w:val="512E07A1"/>
    <w:rsid w:val="51435CDE"/>
    <w:rsid w:val="51535A8F"/>
    <w:rsid w:val="515723DA"/>
    <w:rsid w:val="515C7A4C"/>
    <w:rsid w:val="5165472A"/>
    <w:rsid w:val="516954BD"/>
    <w:rsid w:val="517638C3"/>
    <w:rsid w:val="51763A94"/>
    <w:rsid w:val="51964C3D"/>
    <w:rsid w:val="519A672E"/>
    <w:rsid w:val="519B0950"/>
    <w:rsid w:val="51A43214"/>
    <w:rsid w:val="51A6039A"/>
    <w:rsid w:val="51A838BB"/>
    <w:rsid w:val="51C11151"/>
    <w:rsid w:val="51E83911"/>
    <w:rsid w:val="51EA7F4E"/>
    <w:rsid w:val="51F429E1"/>
    <w:rsid w:val="51F84E20"/>
    <w:rsid w:val="520A71F1"/>
    <w:rsid w:val="5210791C"/>
    <w:rsid w:val="52136473"/>
    <w:rsid w:val="52163771"/>
    <w:rsid w:val="521F6F1A"/>
    <w:rsid w:val="52206EFF"/>
    <w:rsid w:val="52217698"/>
    <w:rsid w:val="522B27DD"/>
    <w:rsid w:val="523972F1"/>
    <w:rsid w:val="52452B9A"/>
    <w:rsid w:val="524B31F2"/>
    <w:rsid w:val="524D7DB3"/>
    <w:rsid w:val="52502750"/>
    <w:rsid w:val="525B5F4A"/>
    <w:rsid w:val="525D4746"/>
    <w:rsid w:val="526D169E"/>
    <w:rsid w:val="5270772B"/>
    <w:rsid w:val="528D2FCE"/>
    <w:rsid w:val="52963BC2"/>
    <w:rsid w:val="529C4197"/>
    <w:rsid w:val="529D548E"/>
    <w:rsid w:val="52A75E87"/>
    <w:rsid w:val="52B1134C"/>
    <w:rsid w:val="52B9378D"/>
    <w:rsid w:val="52BA452D"/>
    <w:rsid w:val="52BE0DCD"/>
    <w:rsid w:val="52C008B5"/>
    <w:rsid w:val="52C90589"/>
    <w:rsid w:val="52D862EC"/>
    <w:rsid w:val="52EA6AF4"/>
    <w:rsid w:val="52EF6FEF"/>
    <w:rsid w:val="52F85495"/>
    <w:rsid w:val="53020264"/>
    <w:rsid w:val="53086E05"/>
    <w:rsid w:val="53101F47"/>
    <w:rsid w:val="53117187"/>
    <w:rsid w:val="531C1C0C"/>
    <w:rsid w:val="53231E5F"/>
    <w:rsid w:val="532B1C58"/>
    <w:rsid w:val="532F3FCA"/>
    <w:rsid w:val="53410387"/>
    <w:rsid w:val="53543829"/>
    <w:rsid w:val="535E7D5A"/>
    <w:rsid w:val="53623AC6"/>
    <w:rsid w:val="53692D12"/>
    <w:rsid w:val="536D077E"/>
    <w:rsid w:val="53746509"/>
    <w:rsid w:val="53754145"/>
    <w:rsid w:val="5379420F"/>
    <w:rsid w:val="5379557E"/>
    <w:rsid w:val="53812A39"/>
    <w:rsid w:val="53867767"/>
    <w:rsid w:val="53890FC1"/>
    <w:rsid w:val="538B3D0E"/>
    <w:rsid w:val="53A138DF"/>
    <w:rsid w:val="53A8769B"/>
    <w:rsid w:val="53AC7392"/>
    <w:rsid w:val="53B20212"/>
    <w:rsid w:val="53BF60E2"/>
    <w:rsid w:val="53C3157B"/>
    <w:rsid w:val="53C35D82"/>
    <w:rsid w:val="53D41370"/>
    <w:rsid w:val="53E05339"/>
    <w:rsid w:val="53E671C1"/>
    <w:rsid w:val="53F424B1"/>
    <w:rsid w:val="53FF1095"/>
    <w:rsid w:val="54005D48"/>
    <w:rsid w:val="5406343C"/>
    <w:rsid w:val="542F4875"/>
    <w:rsid w:val="543A0E8B"/>
    <w:rsid w:val="543B468B"/>
    <w:rsid w:val="544524ED"/>
    <w:rsid w:val="545140E0"/>
    <w:rsid w:val="5457178E"/>
    <w:rsid w:val="545B0E29"/>
    <w:rsid w:val="54666120"/>
    <w:rsid w:val="546B25D6"/>
    <w:rsid w:val="54713AB7"/>
    <w:rsid w:val="547B0B57"/>
    <w:rsid w:val="547E5E19"/>
    <w:rsid w:val="547E7A5F"/>
    <w:rsid w:val="54875D26"/>
    <w:rsid w:val="548D0373"/>
    <w:rsid w:val="54913BDF"/>
    <w:rsid w:val="549D5417"/>
    <w:rsid w:val="54A16B08"/>
    <w:rsid w:val="54BD4528"/>
    <w:rsid w:val="54BE1AE9"/>
    <w:rsid w:val="54BE639B"/>
    <w:rsid w:val="54C51FE7"/>
    <w:rsid w:val="54D960C9"/>
    <w:rsid w:val="54DC0FD8"/>
    <w:rsid w:val="54E53118"/>
    <w:rsid w:val="54F26FFE"/>
    <w:rsid w:val="54F300E9"/>
    <w:rsid w:val="54F65C13"/>
    <w:rsid w:val="54FC0652"/>
    <w:rsid w:val="5506289B"/>
    <w:rsid w:val="5512558C"/>
    <w:rsid w:val="55267581"/>
    <w:rsid w:val="552A2363"/>
    <w:rsid w:val="553134AC"/>
    <w:rsid w:val="55341B94"/>
    <w:rsid w:val="55472575"/>
    <w:rsid w:val="554C5464"/>
    <w:rsid w:val="554D67C1"/>
    <w:rsid w:val="5554606E"/>
    <w:rsid w:val="55563B6F"/>
    <w:rsid w:val="556375F9"/>
    <w:rsid w:val="55656141"/>
    <w:rsid w:val="556B695A"/>
    <w:rsid w:val="55711845"/>
    <w:rsid w:val="55771EFC"/>
    <w:rsid w:val="559A768B"/>
    <w:rsid w:val="55A13FC4"/>
    <w:rsid w:val="55A160FE"/>
    <w:rsid w:val="55A918BB"/>
    <w:rsid w:val="55AF1608"/>
    <w:rsid w:val="55B56023"/>
    <w:rsid w:val="55C53720"/>
    <w:rsid w:val="55C77B37"/>
    <w:rsid w:val="55C82CD5"/>
    <w:rsid w:val="55D23660"/>
    <w:rsid w:val="55D51321"/>
    <w:rsid w:val="55DB06C3"/>
    <w:rsid w:val="55FD6D68"/>
    <w:rsid w:val="56140068"/>
    <w:rsid w:val="56177EFE"/>
    <w:rsid w:val="561D35D6"/>
    <w:rsid w:val="562013FB"/>
    <w:rsid w:val="562175FF"/>
    <w:rsid w:val="562C1376"/>
    <w:rsid w:val="562F461D"/>
    <w:rsid w:val="56312291"/>
    <w:rsid w:val="56343293"/>
    <w:rsid w:val="563B1D1B"/>
    <w:rsid w:val="5641511E"/>
    <w:rsid w:val="564C1683"/>
    <w:rsid w:val="564D7476"/>
    <w:rsid w:val="566C7EA7"/>
    <w:rsid w:val="567E27DB"/>
    <w:rsid w:val="567E333A"/>
    <w:rsid w:val="56871B89"/>
    <w:rsid w:val="568B7EDD"/>
    <w:rsid w:val="568C4F6A"/>
    <w:rsid w:val="56944EFE"/>
    <w:rsid w:val="56994493"/>
    <w:rsid w:val="56A7689C"/>
    <w:rsid w:val="56AE7776"/>
    <w:rsid w:val="56BA5FD4"/>
    <w:rsid w:val="56C51D77"/>
    <w:rsid w:val="56DA1FA2"/>
    <w:rsid w:val="56DC75A7"/>
    <w:rsid w:val="56F025A3"/>
    <w:rsid w:val="56F16E5D"/>
    <w:rsid w:val="56F903C5"/>
    <w:rsid w:val="56FA5602"/>
    <w:rsid w:val="5703426C"/>
    <w:rsid w:val="570478EE"/>
    <w:rsid w:val="571323CB"/>
    <w:rsid w:val="57242829"/>
    <w:rsid w:val="572C65AC"/>
    <w:rsid w:val="572D6B45"/>
    <w:rsid w:val="572E2251"/>
    <w:rsid w:val="57390EA2"/>
    <w:rsid w:val="573C4A84"/>
    <w:rsid w:val="573D4BD1"/>
    <w:rsid w:val="573F5CCC"/>
    <w:rsid w:val="57403CD3"/>
    <w:rsid w:val="57597AC3"/>
    <w:rsid w:val="57652984"/>
    <w:rsid w:val="576834E7"/>
    <w:rsid w:val="576B24D1"/>
    <w:rsid w:val="5773523C"/>
    <w:rsid w:val="57750FF1"/>
    <w:rsid w:val="577E55F2"/>
    <w:rsid w:val="5787765E"/>
    <w:rsid w:val="578D3E5C"/>
    <w:rsid w:val="57941BAA"/>
    <w:rsid w:val="57976119"/>
    <w:rsid w:val="57985B96"/>
    <w:rsid w:val="57A34ECA"/>
    <w:rsid w:val="57A5639B"/>
    <w:rsid w:val="57B56393"/>
    <w:rsid w:val="57B956F5"/>
    <w:rsid w:val="57C508BB"/>
    <w:rsid w:val="57C55339"/>
    <w:rsid w:val="57C84A4B"/>
    <w:rsid w:val="57CE3149"/>
    <w:rsid w:val="57E07E8B"/>
    <w:rsid w:val="57E30F4C"/>
    <w:rsid w:val="57E52071"/>
    <w:rsid w:val="57E95953"/>
    <w:rsid w:val="57F251D1"/>
    <w:rsid w:val="57FE5399"/>
    <w:rsid w:val="58024A3E"/>
    <w:rsid w:val="58075858"/>
    <w:rsid w:val="580D267F"/>
    <w:rsid w:val="58100639"/>
    <w:rsid w:val="581A1705"/>
    <w:rsid w:val="581B00C5"/>
    <w:rsid w:val="581C0239"/>
    <w:rsid w:val="581C0E6D"/>
    <w:rsid w:val="583227DE"/>
    <w:rsid w:val="58363651"/>
    <w:rsid w:val="583B7FC0"/>
    <w:rsid w:val="584678FF"/>
    <w:rsid w:val="58492354"/>
    <w:rsid w:val="584C5FC5"/>
    <w:rsid w:val="58516661"/>
    <w:rsid w:val="585B5421"/>
    <w:rsid w:val="58736B9F"/>
    <w:rsid w:val="58737BB8"/>
    <w:rsid w:val="58740A9F"/>
    <w:rsid w:val="587C637A"/>
    <w:rsid w:val="588404E5"/>
    <w:rsid w:val="58A51D3B"/>
    <w:rsid w:val="58A81D46"/>
    <w:rsid w:val="58B02E3F"/>
    <w:rsid w:val="58C7691A"/>
    <w:rsid w:val="58D86735"/>
    <w:rsid w:val="58D97C89"/>
    <w:rsid w:val="58DB3C24"/>
    <w:rsid w:val="58DE66B7"/>
    <w:rsid w:val="58E13CCB"/>
    <w:rsid w:val="58F459C1"/>
    <w:rsid w:val="58F6518D"/>
    <w:rsid w:val="59004377"/>
    <w:rsid w:val="59134FF7"/>
    <w:rsid w:val="59152FAB"/>
    <w:rsid w:val="591541EC"/>
    <w:rsid w:val="5921092A"/>
    <w:rsid w:val="592858DF"/>
    <w:rsid w:val="5934359C"/>
    <w:rsid w:val="593677FC"/>
    <w:rsid w:val="59396E36"/>
    <w:rsid w:val="59417CA0"/>
    <w:rsid w:val="5949166A"/>
    <w:rsid w:val="594D514B"/>
    <w:rsid w:val="595D7343"/>
    <w:rsid w:val="595D766C"/>
    <w:rsid w:val="596B5954"/>
    <w:rsid w:val="596C7C9A"/>
    <w:rsid w:val="598C24C6"/>
    <w:rsid w:val="59990BE7"/>
    <w:rsid w:val="59A0546B"/>
    <w:rsid w:val="59A70E09"/>
    <w:rsid w:val="59A907FF"/>
    <w:rsid w:val="59AD51BB"/>
    <w:rsid w:val="59BB5E7C"/>
    <w:rsid w:val="59C76ADC"/>
    <w:rsid w:val="59CA3B47"/>
    <w:rsid w:val="59CF3AB8"/>
    <w:rsid w:val="59D27831"/>
    <w:rsid w:val="59D33296"/>
    <w:rsid w:val="59DC3B96"/>
    <w:rsid w:val="59E102C9"/>
    <w:rsid w:val="59E2230E"/>
    <w:rsid w:val="59E36A80"/>
    <w:rsid w:val="59E560BB"/>
    <w:rsid w:val="59F01534"/>
    <w:rsid w:val="59F75064"/>
    <w:rsid w:val="5A0C6633"/>
    <w:rsid w:val="5A0D083C"/>
    <w:rsid w:val="5A0D0EEC"/>
    <w:rsid w:val="5A1741CD"/>
    <w:rsid w:val="5A1E7527"/>
    <w:rsid w:val="5A210AB0"/>
    <w:rsid w:val="5A331BFD"/>
    <w:rsid w:val="5A343345"/>
    <w:rsid w:val="5A377087"/>
    <w:rsid w:val="5A3C7BBD"/>
    <w:rsid w:val="5A3F665B"/>
    <w:rsid w:val="5A46218E"/>
    <w:rsid w:val="5A4C2159"/>
    <w:rsid w:val="5A5A029E"/>
    <w:rsid w:val="5A6237DE"/>
    <w:rsid w:val="5A63392A"/>
    <w:rsid w:val="5A6B242B"/>
    <w:rsid w:val="5A6D017B"/>
    <w:rsid w:val="5A700FAC"/>
    <w:rsid w:val="5A705B26"/>
    <w:rsid w:val="5A7B0A69"/>
    <w:rsid w:val="5A842FA8"/>
    <w:rsid w:val="5A8F460B"/>
    <w:rsid w:val="5A8F743D"/>
    <w:rsid w:val="5A907EFD"/>
    <w:rsid w:val="5A9535EC"/>
    <w:rsid w:val="5A9B1886"/>
    <w:rsid w:val="5A9E6DA7"/>
    <w:rsid w:val="5AA87D3D"/>
    <w:rsid w:val="5AAD1E77"/>
    <w:rsid w:val="5ABB3689"/>
    <w:rsid w:val="5ABC3456"/>
    <w:rsid w:val="5AC43303"/>
    <w:rsid w:val="5ACC4CEE"/>
    <w:rsid w:val="5ACC6749"/>
    <w:rsid w:val="5AD404EB"/>
    <w:rsid w:val="5AEC667A"/>
    <w:rsid w:val="5AF32202"/>
    <w:rsid w:val="5B0854AB"/>
    <w:rsid w:val="5B0B083C"/>
    <w:rsid w:val="5B137D0B"/>
    <w:rsid w:val="5B17432E"/>
    <w:rsid w:val="5B284031"/>
    <w:rsid w:val="5B29575A"/>
    <w:rsid w:val="5B2B1D08"/>
    <w:rsid w:val="5B397000"/>
    <w:rsid w:val="5B3D5C6D"/>
    <w:rsid w:val="5B3F2E40"/>
    <w:rsid w:val="5B48356D"/>
    <w:rsid w:val="5B4A73C0"/>
    <w:rsid w:val="5B510597"/>
    <w:rsid w:val="5B534B20"/>
    <w:rsid w:val="5B572A96"/>
    <w:rsid w:val="5B5D571D"/>
    <w:rsid w:val="5B6F52A0"/>
    <w:rsid w:val="5B724882"/>
    <w:rsid w:val="5B726774"/>
    <w:rsid w:val="5B7810BC"/>
    <w:rsid w:val="5B7D2E19"/>
    <w:rsid w:val="5B7E058D"/>
    <w:rsid w:val="5B9D52C8"/>
    <w:rsid w:val="5BA66419"/>
    <w:rsid w:val="5BAD03D9"/>
    <w:rsid w:val="5BB105E0"/>
    <w:rsid w:val="5BBA4DAE"/>
    <w:rsid w:val="5BBB2F03"/>
    <w:rsid w:val="5BC227A1"/>
    <w:rsid w:val="5BC60932"/>
    <w:rsid w:val="5BDB343E"/>
    <w:rsid w:val="5BE11681"/>
    <w:rsid w:val="5BE5098B"/>
    <w:rsid w:val="5BEC7069"/>
    <w:rsid w:val="5BFD126F"/>
    <w:rsid w:val="5BFF1181"/>
    <w:rsid w:val="5C147E83"/>
    <w:rsid w:val="5C162B9D"/>
    <w:rsid w:val="5C187B3D"/>
    <w:rsid w:val="5C1E63A4"/>
    <w:rsid w:val="5C1F2C27"/>
    <w:rsid w:val="5C270DA4"/>
    <w:rsid w:val="5C336A9B"/>
    <w:rsid w:val="5C4107A9"/>
    <w:rsid w:val="5C4D79EF"/>
    <w:rsid w:val="5C605E5F"/>
    <w:rsid w:val="5C6C0B94"/>
    <w:rsid w:val="5C6D1DFA"/>
    <w:rsid w:val="5C715706"/>
    <w:rsid w:val="5C7C594B"/>
    <w:rsid w:val="5C8646B4"/>
    <w:rsid w:val="5C9013D8"/>
    <w:rsid w:val="5C93726F"/>
    <w:rsid w:val="5C94422A"/>
    <w:rsid w:val="5C994987"/>
    <w:rsid w:val="5CA11D41"/>
    <w:rsid w:val="5CA6712E"/>
    <w:rsid w:val="5CAE78C3"/>
    <w:rsid w:val="5CB13972"/>
    <w:rsid w:val="5CB70E8D"/>
    <w:rsid w:val="5CC46ADC"/>
    <w:rsid w:val="5CD53DB0"/>
    <w:rsid w:val="5CD70B09"/>
    <w:rsid w:val="5CDB5BCB"/>
    <w:rsid w:val="5CDC7BCE"/>
    <w:rsid w:val="5CE3532B"/>
    <w:rsid w:val="5CE70253"/>
    <w:rsid w:val="5CE91E5F"/>
    <w:rsid w:val="5CF911DF"/>
    <w:rsid w:val="5CFA5DB6"/>
    <w:rsid w:val="5CFA6877"/>
    <w:rsid w:val="5D017046"/>
    <w:rsid w:val="5D0E4D64"/>
    <w:rsid w:val="5D164F59"/>
    <w:rsid w:val="5D3F312E"/>
    <w:rsid w:val="5D423F30"/>
    <w:rsid w:val="5D474972"/>
    <w:rsid w:val="5D4B5A08"/>
    <w:rsid w:val="5D53684C"/>
    <w:rsid w:val="5D557A47"/>
    <w:rsid w:val="5D5A7D74"/>
    <w:rsid w:val="5D5E2A41"/>
    <w:rsid w:val="5D627AD9"/>
    <w:rsid w:val="5D6C266A"/>
    <w:rsid w:val="5D7F04BF"/>
    <w:rsid w:val="5D8362C7"/>
    <w:rsid w:val="5D897EEB"/>
    <w:rsid w:val="5D8A06BE"/>
    <w:rsid w:val="5D8B3B6E"/>
    <w:rsid w:val="5D8C677B"/>
    <w:rsid w:val="5D8D6F3D"/>
    <w:rsid w:val="5D983004"/>
    <w:rsid w:val="5D9B0130"/>
    <w:rsid w:val="5DA513FA"/>
    <w:rsid w:val="5DA702F5"/>
    <w:rsid w:val="5DAC2F77"/>
    <w:rsid w:val="5DAD6031"/>
    <w:rsid w:val="5DC92B00"/>
    <w:rsid w:val="5DD24DA8"/>
    <w:rsid w:val="5DD6756B"/>
    <w:rsid w:val="5DE92F41"/>
    <w:rsid w:val="5DF0093F"/>
    <w:rsid w:val="5DF90A86"/>
    <w:rsid w:val="5DFC0B57"/>
    <w:rsid w:val="5E015476"/>
    <w:rsid w:val="5E033D34"/>
    <w:rsid w:val="5E2F5C02"/>
    <w:rsid w:val="5E34792D"/>
    <w:rsid w:val="5E3640E4"/>
    <w:rsid w:val="5E3935B4"/>
    <w:rsid w:val="5E3B50B1"/>
    <w:rsid w:val="5E3F4B55"/>
    <w:rsid w:val="5E4663F9"/>
    <w:rsid w:val="5E4723FF"/>
    <w:rsid w:val="5E4D1144"/>
    <w:rsid w:val="5E513F51"/>
    <w:rsid w:val="5E590BEA"/>
    <w:rsid w:val="5E5D4914"/>
    <w:rsid w:val="5E652639"/>
    <w:rsid w:val="5E65458B"/>
    <w:rsid w:val="5E692DAA"/>
    <w:rsid w:val="5E703A35"/>
    <w:rsid w:val="5E744BE7"/>
    <w:rsid w:val="5E7C39C9"/>
    <w:rsid w:val="5E996955"/>
    <w:rsid w:val="5E9A3198"/>
    <w:rsid w:val="5E9B2258"/>
    <w:rsid w:val="5E9D163A"/>
    <w:rsid w:val="5E9D42F9"/>
    <w:rsid w:val="5EA46D19"/>
    <w:rsid w:val="5EAD794D"/>
    <w:rsid w:val="5EB45BE3"/>
    <w:rsid w:val="5ECA1D5B"/>
    <w:rsid w:val="5ECF419B"/>
    <w:rsid w:val="5EDB7FF8"/>
    <w:rsid w:val="5EE60FC4"/>
    <w:rsid w:val="5EED2F5F"/>
    <w:rsid w:val="5EFA6285"/>
    <w:rsid w:val="5EFC2FD0"/>
    <w:rsid w:val="5F116AB4"/>
    <w:rsid w:val="5F125CE9"/>
    <w:rsid w:val="5F170CAC"/>
    <w:rsid w:val="5F1E028A"/>
    <w:rsid w:val="5F20350F"/>
    <w:rsid w:val="5F236E3A"/>
    <w:rsid w:val="5F24453E"/>
    <w:rsid w:val="5F2D024F"/>
    <w:rsid w:val="5F41179D"/>
    <w:rsid w:val="5F437727"/>
    <w:rsid w:val="5F471678"/>
    <w:rsid w:val="5F4C1CCA"/>
    <w:rsid w:val="5F4D0A70"/>
    <w:rsid w:val="5F563F08"/>
    <w:rsid w:val="5F781B88"/>
    <w:rsid w:val="5F862048"/>
    <w:rsid w:val="5F881E02"/>
    <w:rsid w:val="5F8A1E68"/>
    <w:rsid w:val="5F965824"/>
    <w:rsid w:val="5FA04017"/>
    <w:rsid w:val="5FAA2746"/>
    <w:rsid w:val="5FB26EFD"/>
    <w:rsid w:val="5FB7229F"/>
    <w:rsid w:val="5FCC167D"/>
    <w:rsid w:val="5FE8157D"/>
    <w:rsid w:val="5FF4209C"/>
    <w:rsid w:val="60064D04"/>
    <w:rsid w:val="600E09B8"/>
    <w:rsid w:val="60107D48"/>
    <w:rsid w:val="60140206"/>
    <w:rsid w:val="601B3605"/>
    <w:rsid w:val="602458CC"/>
    <w:rsid w:val="60254D45"/>
    <w:rsid w:val="60295A21"/>
    <w:rsid w:val="60304BC4"/>
    <w:rsid w:val="60325143"/>
    <w:rsid w:val="60347ECC"/>
    <w:rsid w:val="603B774A"/>
    <w:rsid w:val="6049446C"/>
    <w:rsid w:val="604D0D18"/>
    <w:rsid w:val="604D6C60"/>
    <w:rsid w:val="605E66AF"/>
    <w:rsid w:val="605F2AD8"/>
    <w:rsid w:val="6067310C"/>
    <w:rsid w:val="607060EE"/>
    <w:rsid w:val="60725859"/>
    <w:rsid w:val="60731285"/>
    <w:rsid w:val="607323C0"/>
    <w:rsid w:val="60825690"/>
    <w:rsid w:val="60865336"/>
    <w:rsid w:val="6087763E"/>
    <w:rsid w:val="60A25E30"/>
    <w:rsid w:val="60B16B98"/>
    <w:rsid w:val="60B73E23"/>
    <w:rsid w:val="60B80937"/>
    <w:rsid w:val="60BB0E09"/>
    <w:rsid w:val="60C245F2"/>
    <w:rsid w:val="60C42769"/>
    <w:rsid w:val="60DF5C2D"/>
    <w:rsid w:val="60F25D54"/>
    <w:rsid w:val="610A0FD4"/>
    <w:rsid w:val="610E514A"/>
    <w:rsid w:val="61131F37"/>
    <w:rsid w:val="611F2028"/>
    <w:rsid w:val="61234A30"/>
    <w:rsid w:val="61261216"/>
    <w:rsid w:val="61266D7B"/>
    <w:rsid w:val="61280192"/>
    <w:rsid w:val="61283D0D"/>
    <w:rsid w:val="612B754A"/>
    <w:rsid w:val="6132378F"/>
    <w:rsid w:val="61370270"/>
    <w:rsid w:val="613A4411"/>
    <w:rsid w:val="614073DC"/>
    <w:rsid w:val="6147685F"/>
    <w:rsid w:val="614A59BB"/>
    <w:rsid w:val="614E3F7B"/>
    <w:rsid w:val="61505ABC"/>
    <w:rsid w:val="61630E75"/>
    <w:rsid w:val="61646247"/>
    <w:rsid w:val="616C0DBB"/>
    <w:rsid w:val="617570B7"/>
    <w:rsid w:val="61820E42"/>
    <w:rsid w:val="618E16B3"/>
    <w:rsid w:val="61904ACF"/>
    <w:rsid w:val="619255DA"/>
    <w:rsid w:val="619C0D29"/>
    <w:rsid w:val="61A10E77"/>
    <w:rsid w:val="61A1124E"/>
    <w:rsid w:val="61AE7AB4"/>
    <w:rsid w:val="61B2523E"/>
    <w:rsid w:val="61B625ED"/>
    <w:rsid w:val="61C17AC5"/>
    <w:rsid w:val="61CA7F9E"/>
    <w:rsid w:val="61CB6D4B"/>
    <w:rsid w:val="61CF5783"/>
    <w:rsid w:val="61D42BEC"/>
    <w:rsid w:val="61D56617"/>
    <w:rsid w:val="61D85B7E"/>
    <w:rsid w:val="61EA3825"/>
    <w:rsid w:val="61EE3B78"/>
    <w:rsid w:val="61F32039"/>
    <w:rsid w:val="61FB1A5F"/>
    <w:rsid w:val="61FD532C"/>
    <w:rsid w:val="62047D9E"/>
    <w:rsid w:val="621E47F2"/>
    <w:rsid w:val="62254C26"/>
    <w:rsid w:val="6232482C"/>
    <w:rsid w:val="62393F0A"/>
    <w:rsid w:val="623C0706"/>
    <w:rsid w:val="62405746"/>
    <w:rsid w:val="624125B1"/>
    <w:rsid w:val="62476F94"/>
    <w:rsid w:val="624D1024"/>
    <w:rsid w:val="624F4CD8"/>
    <w:rsid w:val="6259769C"/>
    <w:rsid w:val="625A0036"/>
    <w:rsid w:val="625F6AFC"/>
    <w:rsid w:val="62651BA4"/>
    <w:rsid w:val="6266391C"/>
    <w:rsid w:val="62697FC1"/>
    <w:rsid w:val="626E7F02"/>
    <w:rsid w:val="628D1BEF"/>
    <w:rsid w:val="62982FAD"/>
    <w:rsid w:val="629A422C"/>
    <w:rsid w:val="62A90356"/>
    <w:rsid w:val="62AB506E"/>
    <w:rsid w:val="62B83FE4"/>
    <w:rsid w:val="62C40D7E"/>
    <w:rsid w:val="62C42773"/>
    <w:rsid w:val="62C5451F"/>
    <w:rsid w:val="62C67207"/>
    <w:rsid w:val="62CA3824"/>
    <w:rsid w:val="62CB6ADD"/>
    <w:rsid w:val="62DF3F15"/>
    <w:rsid w:val="62E57EC9"/>
    <w:rsid w:val="62F10A59"/>
    <w:rsid w:val="62F9644C"/>
    <w:rsid w:val="62FB2158"/>
    <w:rsid w:val="6305371F"/>
    <w:rsid w:val="6320795D"/>
    <w:rsid w:val="632B3D1E"/>
    <w:rsid w:val="632C794D"/>
    <w:rsid w:val="63407E8B"/>
    <w:rsid w:val="6345273B"/>
    <w:rsid w:val="635776B1"/>
    <w:rsid w:val="635B6316"/>
    <w:rsid w:val="635C6256"/>
    <w:rsid w:val="636070D9"/>
    <w:rsid w:val="638A29B5"/>
    <w:rsid w:val="638C502B"/>
    <w:rsid w:val="6392187E"/>
    <w:rsid w:val="63981C44"/>
    <w:rsid w:val="63BD346B"/>
    <w:rsid w:val="63C576B7"/>
    <w:rsid w:val="63C7124F"/>
    <w:rsid w:val="63CE1B5C"/>
    <w:rsid w:val="63CF52DC"/>
    <w:rsid w:val="63D039D1"/>
    <w:rsid w:val="63D93604"/>
    <w:rsid w:val="63EE5F4C"/>
    <w:rsid w:val="63F17F0C"/>
    <w:rsid w:val="63F35C87"/>
    <w:rsid w:val="63F429F5"/>
    <w:rsid w:val="64084397"/>
    <w:rsid w:val="64116685"/>
    <w:rsid w:val="64194781"/>
    <w:rsid w:val="64256FDB"/>
    <w:rsid w:val="642B2460"/>
    <w:rsid w:val="64334992"/>
    <w:rsid w:val="6439475A"/>
    <w:rsid w:val="643A37A7"/>
    <w:rsid w:val="645118AA"/>
    <w:rsid w:val="64563FE8"/>
    <w:rsid w:val="64603F49"/>
    <w:rsid w:val="64665A21"/>
    <w:rsid w:val="64754D1D"/>
    <w:rsid w:val="647B1ED7"/>
    <w:rsid w:val="648321FC"/>
    <w:rsid w:val="64842343"/>
    <w:rsid w:val="648B7D85"/>
    <w:rsid w:val="6493139A"/>
    <w:rsid w:val="6498386C"/>
    <w:rsid w:val="64B47875"/>
    <w:rsid w:val="64B53A32"/>
    <w:rsid w:val="64B8715E"/>
    <w:rsid w:val="64BB74C8"/>
    <w:rsid w:val="64BC1F6C"/>
    <w:rsid w:val="64C3774F"/>
    <w:rsid w:val="64D16AFC"/>
    <w:rsid w:val="64D9520F"/>
    <w:rsid w:val="64E002D7"/>
    <w:rsid w:val="64E616AE"/>
    <w:rsid w:val="64E701B8"/>
    <w:rsid w:val="64E92EF6"/>
    <w:rsid w:val="64F15FB7"/>
    <w:rsid w:val="64F22C2D"/>
    <w:rsid w:val="64F52DC3"/>
    <w:rsid w:val="64F53485"/>
    <w:rsid w:val="64FD49F4"/>
    <w:rsid w:val="650F7464"/>
    <w:rsid w:val="652750DA"/>
    <w:rsid w:val="652C4112"/>
    <w:rsid w:val="653433D0"/>
    <w:rsid w:val="653841D6"/>
    <w:rsid w:val="653C347D"/>
    <w:rsid w:val="653D32E7"/>
    <w:rsid w:val="65443330"/>
    <w:rsid w:val="6547787C"/>
    <w:rsid w:val="65532912"/>
    <w:rsid w:val="6553579F"/>
    <w:rsid w:val="655A750A"/>
    <w:rsid w:val="655C37F9"/>
    <w:rsid w:val="655D58AD"/>
    <w:rsid w:val="656A3A7F"/>
    <w:rsid w:val="656B6857"/>
    <w:rsid w:val="656F2FD1"/>
    <w:rsid w:val="65700E86"/>
    <w:rsid w:val="65765217"/>
    <w:rsid w:val="65782559"/>
    <w:rsid w:val="657A7C1D"/>
    <w:rsid w:val="65805535"/>
    <w:rsid w:val="658713ED"/>
    <w:rsid w:val="659149AA"/>
    <w:rsid w:val="659F4492"/>
    <w:rsid w:val="65A73737"/>
    <w:rsid w:val="65AC356E"/>
    <w:rsid w:val="65BB562D"/>
    <w:rsid w:val="65C13DF3"/>
    <w:rsid w:val="65CA22D9"/>
    <w:rsid w:val="65DA0397"/>
    <w:rsid w:val="65F8120E"/>
    <w:rsid w:val="65F92433"/>
    <w:rsid w:val="660005EE"/>
    <w:rsid w:val="660C3AD5"/>
    <w:rsid w:val="660E6DD5"/>
    <w:rsid w:val="66157CDA"/>
    <w:rsid w:val="66202739"/>
    <w:rsid w:val="662458B4"/>
    <w:rsid w:val="663465FC"/>
    <w:rsid w:val="663B0D81"/>
    <w:rsid w:val="663E5879"/>
    <w:rsid w:val="663F1087"/>
    <w:rsid w:val="66400B09"/>
    <w:rsid w:val="6652591D"/>
    <w:rsid w:val="665D1FA5"/>
    <w:rsid w:val="66616633"/>
    <w:rsid w:val="666329C3"/>
    <w:rsid w:val="66635E18"/>
    <w:rsid w:val="66655D8B"/>
    <w:rsid w:val="666E0AD4"/>
    <w:rsid w:val="66755861"/>
    <w:rsid w:val="667D5E34"/>
    <w:rsid w:val="66896D09"/>
    <w:rsid w:val="668D560E"/>
    <w:rsid w:val="668F4154"/>
    <w:rsid w:val="669A7F9C"/>
    <w:rsid w:val="669B32B3"/>
    <w:rsid w:val="66A03F9B"/>
    <w:rsid w:val="66B00C22"/>
    <w:rsid w:val="66B921D3"/>
    <w:rsid w:val="66CA19EF"/>
    <w:rsid w:val="66D8394E"/>
    <w:rsid w:val="66D85B7F"/>
    <w:rsid w:val="66DC4C58"/>
    <w:rsid w:val="66E45619"/>
    <w:rsid w:val="66FF092B"/>
    <w:rsid w:val="6704009F"/>
    <w:rsid w:val="670A7EB5"/>
    <w:rsid w:val="671B0E7B"/>
    <w:rsid w:val="671F29CF"/>
    <w:rsid w:val="671F48C3"/>
    <w:rsid w:val="672104D0"/>
    <w:rsid w:val="673A7149"/>
    <w:rsid w:val="6740246C"/>
    <w:rsid w:val="674933FA"/>
    <w:rsid w:val="674A1A98"/>
    <w:rsid w:val="674D71CB"/>
    <w:rsid w:val="67532275"/>
    <w:rsid w:val="675D4A54"/>
    <w:rsid w:val="676519C2"/>
    <w:rsid w:val="67732312"/>
    <w:rsid w:val="67773D49"/>
    <w:rsid w:val="677A007C"/>
    <w:rsid w:val="677B7B62"/>
    <w:rsid w:val="67800DCF"/>
    <w:rsid w:val="67817D23"/>
    <w:rsid w:val="679655E2"/>
    <w:rsid w:val="67A41BCE"/>
    <w:rsid w:val="67A933A2"/>
    <w:rsid w:val="67B35ED8"/>
    <w:rsid w:val="67B36E0E"/>
    <w:rsid w:val="67BF3105"/>
    <w:rsid w:val="67C96482"/>
    <w:rsid w:val="67D86C07"/>
    <w:rsid w:val="67F12C54"/>
    <w:rsid w:val="67F21879"/>
    <w:rsid w:val="67F832EE"/>
    <w:rsid w:val="681D15A1"/>
    <w:rsid w:val="682028B8"/>
    <w:rsid w:val="6820525F"/>
    <w:rsid w:val="68285C63"/>
    <w:rsid w:val="682C790C"/>
    <w:rsid w:val="68394C76"/>
    <w:rsid w:val="683B18EA"/>
    <w:rsid w:val="683D0C34"/>
    <w:rsid w:val="68437A5E"/>
    <w:rsid w:val="68494579"/>
    <w:rsid w:val="684B7578"/>
    <w:rsid w:val="68675803"/>
    <w:rsid w:val="686760AB"/>
    <w:rsid w:val="68701568"/>
    <w:rsid w:val="68730387"/>
    <w:rsid w:val="68807EB4"/>
    <w:rsid w:val="68814A2E"/>
    <w:rsid w:val="688153FD"/>
    <w:rsid w:val="68854B85"/>
    <w:rsid w:val="68922628"/>
    <w:rsid w:val="689A15C9"/>
    <w:rsid w:val="689B0EE1"/>
    <w:rsid w:val="68BF60FC"/>
    <w:rsid w:val="68C028E3"/>
    <w:rsid w:val="68C45E0C"/>
    <w:rsid w:val="68CF07DE"/>
    <w:rsid w:val="68D367DD"/>
    <w:rsid w:val="68DB1F60"/>
    <w:rsid w:val="68DC39A6"/>
    <w:rsid w:val="68E74A52"/>
    <w:rsid w:val="68E8038A"/>
    <w:rsid w:val="68ED2AA3"/>
    <w:rsid w:val="68F01E28"/>
    <w:rsid w:val="68F32AF2"/>
    <w:rsid w:val="68F46301"/>
    <w:rsid w:val="68F62FCB"/>
    <w:rsid w:val="6900408E"/>
    <w:rsid w:val="69004BA5"/>
    <w:rsid w:val="69035DC6"/>
    <w:rsid w:val="69057199"/>
    <w:rsid w:val="69065101"/>
    <w:rsid w:val="690D3360"/>
    <w:rsid w:val="69151291"/>
    <w:rsid w:val="69201587"/>
    <w:rsid w:val="6930257A"/>
    <w:rsid w:val="693A527D"/>
    <w:rsid w:val="693E144F"/>
    <w:rsid w:val="69406F3B"/>
    <w:rsid w:val="694227CF"/>
    <w:rsid w:val="69476BBB"/>
    <w:rsid w:val="695E42DC"/>
    <w:rsid w:val="69671518"/>
    <w:rsid w:val="69705172"/>
    <w:rsid w:val="698F6F71"/>
    <w:rsid w:val="69956FD8"/>
    <w:rsid w:val="699577BF"/>
    <w:rsid w:val="69974312"/>
    <w:rsid w:val="69A31A34"/>
    <w:rsid w:val="69A67567"/>
    <w:rsid w:val="69B601C4"/>
    <w:rsid w:val="69BA3944"/>
    <w:rsid w:val="69BB1E92"/>
    <w:rsid w:val="69C05F37"/>
    <w:rsid w:val="69D36798"/>
    <w:rsid w:val="69D42715"/>
    <w:rsid w:val="69E2387A"/>
    <w:rsid w:val="69E27A66"/>
    <w:rsid w:val="69EC045E"/>
    <w:rsid w:val="69ED3BDD"/>
    <w:rsid w:val="69F13D9C"/>
    <w:rsid w:val="69FF4722"/>
    <w:rsid w:val="69FF4A27"/>
    <w:rsid w:val="6A012B2A"/>
    <w:rsid w:val="6A031D5E"/>
    <w:rsid w:val="6A050C05"/>
    <w:rsid w:val="6A0978AA"/>
    <w:rsid w:val="6A1756F5"/>
    <w:rsid w:val="6A226811"/>
    <w:rsid w:val="6A2779AB"/>
    <w:rsid w:val="6A3340C3"/>
    <w:rsid w:val="6A402293"/>
    <w:rsid w:val="6A4C00DC"/>
    <w:rsid w:val="6A4E16A0"/>
    <w:rsid w:val="6A564414"/>
    <w:rsid w:val="6A590453"/>
    <w:rsid w:val="6A5B4C24"/>
    <w:rsid w:val="6A68302C"/>
    <w:rsid w:val="6A6F318D"/>
    <w:rsid w:val="6A7F0412"/>
    <w:rsid w:val="6A912EC4"/>
    <w:rsid w:val="6A92397D"/>
    <w:rsid w:val="6A940B4E"/>
    <w:rsid w:val="6A99415F"/>
    <w:rsid w:val="6A9F05F6"/>
    <w:rsid w:val="6AAC6A26"/>
    <w:rsid w:val="6ADF26DE"/>
    <w:rsid w:val="6B0E2AB2"/>
    <w:rsid w:val="6B110C1B"/>
    <w:rsid w:val="6B1221A6"/>
    <w:rsid w:val="6B1A411F"/>
    <w:rsid w:val="6B2976BB"/>
    <w:rsid w:val="6B311A7E"/>
    <w:rsid w:val="6B4020C1"/>
    <w:rsid w:val="6B410179"/>
    <w:rsid w:val="6B4168D0"/>
    <w:rsid w:val="6B4E5DBA"/>
    <w:rsid w:val="6B5350AF"/>
    <w:rsid w:val="6B617350"/>
    <w:rsid w:val="6B660FE7"/>
    <w:rsid w:val="6B692FB8"/>
    <w:rsid w:val="6B6C2C62"/>
    <w:rsid w:val="6B6D4B4C"/>
    <w:rsid w:val="6B7C6E40"/>
    <w:rsid w:val="6B7D7E4D"/>
    <w:rsid w:val="6B841B64"/>
    <w:rsid w:val="6B8B2CDD"/>
    <w:rsid w:val="6B8D586B"/>
    <w:rsid w:val="6B8E20E9"/>
    <w:rsid w:val="6B8E3380"/>
    <w:rsid w:val="6B955EC3"/>
    <w:rsid w:val="6B9C3299"/>
    <w:rsid w:val="6BA02C85"/>
    <w:rsid w:val="6BA775A8"/>
    <w:rsid w:val="6BB44CB9"/>
    <w:rsid w:val="6BB82BA9"/>
    <w:rsid w:val="6BBB4668"/>
    <w:rsid w:val="6BE5633F"/>
    <w:rsid w:val="6BE96361"/>
    <w:rsid w:val="6BEF1538"/>
    <w:rsid w:val="6BEF6A47"/>
    <w:rsid w:val="6BF71D76"/>
    <w:rsid w:val="6BFA449E"/>
    <w:rsid w:val="6BFC3AF3"/>
    <w:rsid w:val="6BFC40CF"/>
    <w:rsid w:val="6C04445A"/>
    <w:rsid w:val="6C0D0E8F"/>
    <w:rsid w:val="6C0D0F85"/>
    <w:rsid w:val="6C0F53C4"/>
    <w:rsid w:val="6C254A44"/>
    <w:rsid w:val="6C38007E"/>
    <w:rsid w:val="6C391AB7"/>
    <w:rsid w:val="6C391C7C"/>
    <w:rsid w:val="6C53438D"/>
    <w:rsid w:val="6C553660"/>
    <w:rsid w:val="6C5E6760"/>
    <w:rsid w:val="6C663B41"/>
    <w:rsid w:val="6C6E3644"/>
    <w:rsid w:val="6C6E7715"/>
    <w:rsid w:val="6C720063"/>
    <w:rsid w:val="6C72291D"/>
    <w:rsid w:val="6C812007"/>
    <w:rsid w:val="6C903A09"/>
    <w:rsid w:val="6C914050"/>
    <w:rsid w:val="6C9A1382"/>
    <w:rsid w:val="6C9A320D"/>
    <w:rsid w:val="6C9D2B1E"/>
    <w:rsid w:val="6CA344CB"/>
    <w:rsid w:val="6CA51B39"/>
    <w:rsid w:val="6CAB4703"/>
    <w:rsid w:val="6CBF6B27"/>
    <w:rsid w:val="6CC038F5"/>
    <w:rsid w:val="6CC322C0"/>
    <w:rsid w:val="6CC727C1"/>
    <w:rsid w:val="6CC72BFB"/>
    <w:rsid w:val="6CD04922"/>
    <w:rsid w:val="6CD253A9"/>
    <w:rsid w:val="6CD91180"/>
    <w:rsid w:val="6CDC5F77"/>
    <w:rsid w:val="6CDF029F"/>
    <w:rsid w:val="6CE64597"/>
    <w:rsid w:val="6CEB484F"/>
    <w:rsid w:val="6CFB1D7A"/>
    <w:rsid w:val="6CFE0429"/>
    <w:rsid w:val="6D150A71"/>
    <w:rsid w:val="6D16377A"/>
    <w:rsid w:val="6D1845B0"/>
    <w:rsid w:val="6D1A09F2"/>
    <w:rsid w:val="6D1A695F"/>
    <w:rsid w:val="6D1B02C2"/>
    <w:rsid w:val="6D301C07"/>
    <w:rsid w:val="6D3A40E2"/>
    <w:rsid w:val="6D474C96"/>
    <w:rsid w:val="6D553569"/>
    <w:rsid w:val="6D6E2103"/>
    <w:rsid w:val="6D706F79"/>
    <w:rsid w:val="6D791FB0"/>
    <w:rsid w:val="6D8438E3"/>
    <w:rsid w:val="6D986023"/>
    <w:rsid w:val="6D9960DD"/>
    <w:rsid w:val="6DAB03E4"/>
    <w:rsid w:val="6DBD735A"/>
    <w:rsid w:val="6DC63973"/>
    <w:rsid w:val="6DD342CE"/>
    <w:rsid w:val="6DD90ECB"/>
    <w:rsid w:val="6DE16E63"/>
    <w:rsid w:val="6DE4250A"/>
    <w:rsid w:val="6DEF2145"/>
    <w:rsid w:val="6DF36EFF"/>
    <w:rsid w:val="6DF75C5A"/>
    <w:rsid w:val="6DF827B6"/>
    <w:rsid w:val="6E03152B"/>
    <w:rsid w:val="6E034A26"/>
    <w:rsid w:val="6E0549E3"/>
    <w:rsid w:val="6E071A10"/>
    <w:rsid w:val="6E0E426C"/>
    <w:rsid w:val="6E0F7F19"/>
    <w:rsid w:val="6E153E64"/>
    <w:rsid w:val="6E181465"/>
    <w:rsid w:val="6E196CFD"/>
    <w:rsid w:val="6E1F0689"/>
    <w:rsid w:val="6E217D54"/>
    <w:rsid w:val="6E2E119F"/>
    <w:rsid w:val="6E387F05"/>
    <w:rsid w:val="6E4B21CB"/>
    <w:rsid w:val="6E4B380E"/>
    <w:rsid w:val="6E514C3F"/>
    <w:rsid w:val="6E55277E"/>
    <w:rsid w:val="6E5B563E"/>
    <w:rsid w:val="6E637BC5"/>
    <w:rsid w:val="6E6E5F50"/>
    <w:rsid w:val="6E73792C"/>
    <w:rsid w:val="6E7712DC"/>
    <w:rsid w:val="6E7F0574"/>
    <w:rsid w:val="6E96483C"/>
    <w:rsid w:val="6E9A7BBB"/>
    <w:rsid w:val="6EA53422"/>
    <w:rsid w:val="6EA74CDB"/>
    <w:rsid w:val="6EAE47B1"/>
    <w:rsid w:val="6EB052EC"/>
    <w:rsid w:val="6EB31B8A"/>
    <w:rsid w:val="6EBA23D4"/>
    <w:rsid w:val="6ED4278C"/>
    <w:rsid w:val="6ED60889"/>
    <w:rsid w:val="6EE75349"/>
    <w:rsid w:val="6EEB730C"/>
    <w:rsid w:val="6EEE0734"/>
    <w:rsid w:val="6EF04FCE"/>
    <w:rsid w:val="6EF93B99"/>
    <w:rsid w:val="6EFA57C1"/>
    <w:rsid w:val="6F0267DA"/>
    <w:rsid w:val="6F115ADC"/>
    <w:rsid w:val="6F1C17F5"/>
    <w:rsid w:val="6F2B7184"/>
    <w:rsid w:val="6F3D77BD"/>
    <w:rsid w:val="6F545EAA"/>
    <w:rsid w:val="6F5E0B56"/>
    <w:rsid w:val="6F626A7C"/>
    <w:rsid w:val="6F686089"/>
    <w:rsid w:val="6F8B670F"/>
    <w:rsid w:val="6F8E1EA8"/>
    <w:rsid w:val="6FA22FD1"/>
    <w:rsid w:val="6FA71111"/>
    <w:rsid w:val="6FA75710"/>
    <w:rsid w:val="6FB059EE"/>
    <w:rsid w:val="6FB827F3"/>
    <w:rsid w:val="6FBE00E3"/>
    <w:rsid w:val="6FC827F6"/>
    <w:rsid w:val="6FC83341"/>
    <w:rsid w:val="6FC8552C"/>
    <w:rsid w:val="6FCD11ED"/>
    <w:rsid w:val="6FCD247C"/>
    <w:rsid w:val="6FD047DD"/>
    <w:rsid w:val="6FD41061"/>
    <w:rsid w:val="6FD9093D"/>
    <w:rsid w:val="6FDB7C3F"/>
    <w:rsid w:val="6FDF1DD9"/>
    <w:rsid w:val="6FE04948"/>
    <w:rsid w:val="6FE90583"/>
    <w:rsid w:val="6FF076BD"/>
    <w:rsid w:val="6FFA1EBB"/>
    <w:rsid w:val="6FFF067C"/>
    <w:rsid w:val="700644C9"/>
    <w:rsid w:val="700B0805"/>
    <w:rsid w:val="70190EA4"/>
    <w:rsid w:val="702F498F"/>
    <w:rsid w:val="70360173"/>
    <w:rsid w:val="70423B2E"/>
    <w:rsid w:val="70431505"/>
    <w:rsid w:val="70442F72"/>
    <w:rsid w:val="704803BE"/>
    <w:rsid w:val="70533D5F"/>
    <w:rsid w:val="7072414E"/>
    <w:rsid w:val="70733680"/>
    <w:rsid w:val="70880559"/>
    <w:rsid w:val="70880B47"/>
    <w:rsid w:val="708A5AC1"/>
    <w:rsid w:val="709647DF"/>
    <w:rsid w:val="70984E14"/>
    <w:rsid w:val="70987560"/>
    <w:rsid w:val="709D1466"/>
    <w:rsid w:val="70A041FA"/>
    <w:rsid w:val="70A70418"/>
    <w:rsid w:val="70AE1B73"/>
    <w:rsid w:val="70BB19FF"/>
    <w:rsid w:val="70BC1815"/>
    <w:rsid w:val="70C436A0"/>
    <w:rsid w:val="70CD347D"/>
    <w:rsid w:val="70D0199C"/>
    <w:rsid w:val="70D91133"/>
    <w:rsid w:val="70E84A4F"/>
    <w:rsid w:val="70F46674"/>
    <w:rsid w:val="70FA0A8D"/>
    <w:rsid w:val="710C2D8F"/>
    <w:rsid w:val="711143C7"/>
    <w:rsid w:val="71160FA3"/>
    <w:rsid w:val="712666FA"/>
    <w:rsid w:val="712A6B04"/>
    <w:rsid w:val="71343260"/>
    <w:rsid w:val="713963FB"/>
    <w:rsid w:val="713E38D7"/>
    <w:rsid w:val="713E7ABD"/>
    <w:rsid w:val="71514CBA"/>
    <w:rsid w:val="715643F0"/>
    <w:rsid w:val="71761B0C"/>
    <w:rsid w:val="71771609"/>
    <w:rsid w:val="717C784E"/>
    <w:rsid w:val="71817892"/>
    <w:rsid w:val="71847D25"/>
    <w:rsid w:val="71855EE0"/>
    <w:rsid w:val="7187442E"/>
    <w:rsid w:val="718F6D3C"/>
    <w:rsid w:val="7191030F"/>
    <w:rsid w:val="71942913"/>
    <w:rsid w:val="719A379B"/>
    <w:rsid w:val="719C4BFB"/>
    <w:rsid w:val="71A32E43"/>
    <w:rsid w:val="71A42272"/>
    <w:rsid w:val="71A64D09"/>
    <w:rsid w:val="71AF072F"/>
    <w:rsid w:val="71B95D63"/>
    <w:rsid w:val="71BA6AC8"/>
    <w:rsid w:val="71BD56AB"/>
    <w:rsid w:val="71BF7A2C"/>
    <w:rsid w:val="71C631B4"/>
    <w:rsid w:val="71C63AF8"/>
    <w:rsid w:val="71C72F6B"/>
    <w:rsid w:val="71C934D4"/>
    <w:rsid w:val="71D34B4A"/>
    <w:rsid w:val="71D749F1"/>
    <w:rsid w:val="71DA15CC"/>
    <w:rsid w:val="71DD7EC8"/>
    <w:rsid w:val="71E028E6"/>
    <w:rsid w:val="71EC5786"/>
    <w:rsid w:val="71F1201F"/>
    <w:rsid w:val="71F86F5F"/>
    <w:rsid w:val="72030C2A"/>
    <w:rsid w:val="72111A18"/>
    <w:rsid w:val="721774A8"/>
    <w:rsid w:val="72282812"/>
    <w:rsid w:val="722B4039"/>
    <w:rsid w:val="7232344D"/>
    <w:rsid w:val="72330901"/>
    <w:rsid w:val="72375CFB"/>
    <w:rsid w:val="72425749"/>
    <w:rsid w:val="72470CFC"/>
    <w:rsid w:val="72481EE0"/>
    <w:rsid w:val="72515A6D"/>
    <w:rsid w:val="725D14C1"/>
    <w:rsid w:val="72611BC6"/>
    <w:rsid w:val="7264759A"/>
    <w:rsid w:val="72665F9E"/>
    <w:rsid w:val="7271774A"/>
    <w:rsid w:val="72762D07"/>
    <w:rsid w:val="7285186B"/>
    <w:rsid w:val="72905669"/>
    <w:rsid w:val="729C5DAA"/>
    <w:rsid w:val="72A4328D"/>
    <w:rsid w:val="72A66E48"/>
    <w:rsid w:val="72AE7152"/>
    <w:rsid w:val="72BA051F"/>
    <w:rsid w:val="72C16A1E"/>
    <w:rsid w:val="72C1725F"/>
    <w:rsid w:val="72C51358"/>
    <w:rsid w:val="72CA3637"/>
    <w:rsid w:val="72CE3CF2"/>
    <w:rsid w:val="72D94860"/>
    <w:rsid w:val="72DF13CC"/>
    <w:rsid w:val="72E46E9B"/>
    <w:rsid w:val="72E752F8"/>
    <w:rsid w:val="72F10C9D"/>
    <w:rsid w:val="72F34AB4"/>
    <w:rsid w:val="72F456CE"/>
    <w:rsid w:val="73076D52"/>
    <w:rsid w:val="730B1A4B"/>
    <w:rsid w:val="73160D11"/>
    <w:rsid w:val="731E522D"/>
    <w:rsid w:val="7322043B"/>
    <w:rsid w:val="732439FB"/>
    <w:rsid w:val="73284176"/>
    <w:rsid w:val="73386713"/>
    <w:rsid w:val="734817D4"/>
    <w:rsid w:val="7349566C"/>
    <w:rsid w:val="734A32AD"/>
    <w:rsid w:val="734F12FC"/>
    <w:rsid w:val="73500732"/>
    <w:rsid w:val="73813C69"/>
    <w:rsid w:val="738525E4"/>
    <w:rsid w:val="739329AA"/>
    <w:rsid w:val="7395238B"/>
    <w:rsid w:val="73972059"/>
    <w:rsid w:val="739A0B7A"/>
    <w:rsid w:val="739E270C"/>
    <w:rsid w:val="73A00C32"/>
    <w:rsid w:val="73A034F6"/>
    <w:rsid w:val="73B27F5B"/>
    <w:rsid w:val="73B60EB2"/>
    <w:rsid w:val="73B75EF6"/>
    <w:rsid w:val="73BF5CAF"/>
    <w:rsid w:val="73C146E6"/>
    <w:rsid w:val="73C2368B"/>
    <w:rsid w:val="73C668D1"/>
    <w:rsid w:val="73C974C0"/>
    <w:rsid w:val="73CC04A8"/>
    <w:rsid w:val="73CD6656"/>
    <w:rsid w:val="73CE2B03"/>
    <w:rsid w:val="73D32E36"/>
    <w:rsid w:val="73DA3D2D"/>
    <w:rsid w:val="73E1423F"/>
    <w:rsid w:val="73F064BA"/>
    <w:rsid w:val="73F76A53"/>
    <w:rsid w:val="73F77A6D"/>
    <w:rsid w:val="73F806C7"/>
    <w:rsid w:val="73FF0506"/>
    <w:rsid w:val="74032046"/>
    <w:rsid w:val="74083B3D"/>
    <w:rsid w:val="74091300"/>
    <w:rsid w:val="741E3ACB"/>
    <w:rsid w:val="741E7163"/>
    <w:rsid w:val="74270F0E"/>
    <w:rsid w:val="7429694E"/>
    <w:rsid w:val="744D5742"/>
    <w:rsid w:val="74524F3C"/>
    <w:rsid w:val="74663934"/>
    <w:rsid w:val="747851B7"/>
    <w:rsid w:val="747C7DCD"/>
    <w:rsid w:val="747F37CA"/>
    <w:rsid w:val="74894821"/>
    <w:rsid w:val="749D0A04"/>
    <w:rsid w:val="74B91FBA"/>
    <w:rsid w:val="74C44480"/>
    <w:rsid w:val="74C471F8"/>
    <w:rsid w:val="74C932AB"/>
    <w:rsid w:val="74C97B61"/>
    <w:rsid w:val="74CE0219"/>
    <w:rsid w:val="74D31EF3"/>
    <w:rsid w:val="74F027F2"/>
    <w:rsid w:val="74FA2FA3"/>
    <w:rsid w:val="74FE4DFD"/>
    <w:rsid w:val="750B23B4"/>
    <w:rsid w:val="75113E0D"/>
    <w:rsid w:val="7512233F"/>
    <w:rsid w:val="751667E3"/>
    <w:rsid w:val="751737AF"/>
    <w:rsid w:val="75233069"/>
    <w:rsid w:val="753A168C"/>
    <w:rsid w:val="754318CC"/>
    <w:rsid w:val="754510F2"/>
    <w:rsid w:val="754C465F"/>
    <w:rsid w:val="754F0E8A"/>
    <w:rsid w:val="75603240"/>
    <w:rsid w:val="75625FBE"/>
    <w:rsid w:val="756A7CAC"/>
    <w:rsid w:val="756B22A2"/>
    <w:rsid w:val="75703EDD"/>
    <w:rsid w:val="75816F73"/>
    <w:rsid w:val="759046D2"/>
    <w:rsid w:val="759E65EB"/>
    <w:rsid w:val="75AF367E"/>
    <w:rsid w:val="75AF448B"/>
    <w:rsid w:val="75B36B35"/>
    <w:rsid w:val="75DA4FAB"/>
    <w:rsid w:val="75FA0C27"/>
    <w:rsid w:val="76041BD3"/>
    <w:rsid w:val="760E0CAE"/>
    <w:rsid w:val="760F5355"/>
    <w:rsid w:val="76204906"/>
    <w:rsid w:val="76336DD5"/>
    <w:rsid w:val="764C382B"/>
    <w:rsid w:val="764E4C20"/>
    <w:rsid w:val="76506835"/>
    <w:rsid w:val="76552D18"/>
    <w:rsid w:val="767D654F"/>
    <w:rsid w:val="76964C73"/>
    <w:rsid w:val="76A222C5"/>
    <w:rsid w:val="76A3440B"/>
    <w:rsid w:val="76A64E0E"/>
    <w:rsid w:val="76B16F35"/>
    <w:rsid w:val="76BA719C"/>
    <w:rsid w:val="76BB1633"/>
    <w:rsid w:val="76BD5579"/>
    <w:rsid w:val="76C34371"/>
    <w:rsid w:val="76C45242"/>
    <w:rsid w:val="76CD0E5E"/>
    <w:rsid w:val="76CD3787"/>
    <w:rsid w:val="76D62192"/>
    <w:rsid w:val="76D964A2"/>
    <w:rsid w:val="76DB3536"/>
    <w:rsid w:val="76E27C66"/>
    <w:rsid w:val="76E74F02"/>
    <w:rsid w:val="76ED5E9D"/>
    <w:rsid w:val="76F65D9C"/>
    <w:rsid w:val="76F704D5"/>
    <w:rsid w:val="770040FD"/>
    <w:rsid w:val="770066B0"/>
    <w:rsid w:val="7704104E"/>
    <w:rsid w:val="7711213B"/>
    <w:rsid w:val="77112793"/>
    <w:rsid w:val="77143E9F"/>
    <w:rsid w:val="77180127"/>
    <w:rsid w:val="772F732E"/>
    <w:rsid w:val="773242A0"/>
    <w:rsid w:val="77377CF7"/>
    <w:rsid w:val="77451290"/>
    <w:rsid w:val="7749190F"/>
    <w:rsid w:val="774D6E45"/>
    <w:rsid w:val="7753103C"/>
    <w:rsid w:val="775A6144"/>
    <w:rsid w:val="77633DE1"/>
    <w:rsid w:val="77642C23"/>
    <w:rsid w:val="776D4720"/>
    <w:rsid w:val="776D5449"/>
    <w:rsid w:val="77864190"/>
    <w:rsid w:val="778A2C6A"/>
    <w:rsid w:val="778A2DA8"/>
    <w:rsid w:val="779E535E"/>
    <w:rsid w:val="77AB31C4"/>
    <w:rsid w:val="77BA3D8F"/>
    <w:rsid w:val="77C26E63"/>
    <w:rsid w:val="77C71BC2"/>
    <w:rsid w:val="77DB3850"/>
    <w:rsid w:val="77DB79DE"/>
    <w:rsid w:val="77E95ED4"/>
    <w:rsid w:val="77F33422"/>
    <w:rsid w:val="78062A9C"/>
    <w:rsid w:val="7808122C"/>
    <w:rsid w:val="7811740E"/>
    <w:rsid w:val="781454F5"/>
    <w:rsid w:val="781536CA"/>
    <w:rsid w:val="78190DDC"/>
    <w:rsid w:val="78231084"/>
    <w:rsid w:val="782657D3"/>
    <w:rsid w:val="782675A8"/>
    <w:rsid w:val="78394B8D"/>
    <w:rsid w:val="78495731"/>
    <w:rsid w:val="784A4502"/>
    <w:rsid w:val="784A6028"/>
    <w:rsid w:val="785C5093"/>
    <w:rsid w:val="785F0DA5"/>
    <w:rsid w:val="786153EB"/>
    <w:rsid w:val="787176A5"/>
    <w:rsid w:val="787448C3"/>
    <w:rsid w:val="78766377"/>
    <w:rsid w:val="787D3A33"/>
    <w:rsid w:val="788710D9"/>
    <w:rsid w:val="788944BF"/>
    <w:rsid w:val="788951E5"/>
    <w:rsid w:val="788C067D"/>
    <w:rsid w:val="78A21BCD"/>
    <w:rsid w:val="78AE2DFE"/>
    <w:rsid w:val="78B532F8"/>
    <w:rsid w:val="78C369CA"/>
    <w:rsid w:val="78C63E52"/>
    <w:rsid w:val="78DA22BE"/>
    <w:rsid w:val="79007011"/>
    <w:rsid w:val="790B0C9D"/>
    <w:rsid w:val="79233052"/>
    <w:rsid w:val="79255E10"/>
    <w:rsid w:val="792760CE"/>
    <w:rsid w:val="79283991"/>
    <w:rsid w:val="79301B3D"/>
    <w:rsid w:val="793828BC"/>
    <w:rsid w:val="79443391"/>
    <w:rsid w:val="79507B1D"/>
    <w:rsid w:val="795E6A82"/>
    <w:rsid w:val="7960516C"/>
    <w:rsid w:val="79660ED1"/>
    <w:rsid w:val="797A7049"/>
    <w:rsid w:val="79836B4B"/>
    <w:rsid w:val="798A46DC"/>
    <w:rsid w:val="79950ED9"/>
    <w:rsid w:val="79991FB4"/>
    <w:rsid w:val="79A41D71"/>
    <w:rsid w:val="79A5040E"/>
    <w:rsid w:val="79A66F6C"/>
    <w:rsid w:val="79A75F8F"/>
    <w:rsid w:val="79AA1375"/>
    <w:rsid w:val="79AC7F8C"/>
    <w:rsid w:val="79BA466D"/>
    <w:rsid w:val="79CB16B4"/>
    <w:rsid w:val="79CD3F5B"/>
    <w:rsid w:val="79D04D24"/>
    <w:rsid w:val="79DB2BDE"/>
    <w:rsid w:val="79DF6634"/>
    <w:rsid w:val="79E6403D"/>
    <w:rsid w:val="79E72073"/>
    <w:rsid w:val="79E81ED4"/>
    <w:rsid w:val="79EA5693"/>
    <w:rsid w:val="79EE6C67"/>
    <w:rsid w:val="79FA2C8F"/>
    <w:rsid w:val="79FF4DCC"/>
    <w:rsid w:val="7A00084A"/>
    <w:rsid w:val="7A082024"/>
    <w:rsid w:val="7A0B6846"/>
    <w:rsid w:val="7A1201D4"/>
    <w:rsid w:val="7A184E81"/>
    <w:rsid w:val="7A243918"/>
    <w:rsid w:val="7A3A5EB3"/>
    <w:rsid w:val="7A3C713E"/>
    <w:rsid w:val="7A452FBC"/>
    <w:rsid w:val="7A471077"/>
    <w:rsid w:val="7A472B94"/>
    <w:rsid w:val="7A506D62"/>
    <w:rsid w:val="7A5562F5"/>
    <w:rsid w:val="7A580316"/>
    <w:rsid w:val="7A602FCF"/>
    <w:rsid w:val="7A650A84"/>
    <w:rsid w:val="7A6E2B13"/>
    <w:rsid w:val="7A70628E"/>
    <w:rsid w:val="7A9B7DD4"/>
    <w:rsid w:val="7AA34388"/>
    <w:rsid w:val="7AA37D09"/>
    <w:rsid w:val="7AA402AE"/>
    <w:rsid w:val="7AA77129"/>
    <w:rsid w:val="7AAB1F6B"/>
    <w:rsid w:val="7AAD2A11"/>
    <w:rsid w:val="7AB15665"/>
    <w:rsid w:val="7ABE3B1E"/>
    <w:rsid w:val="7ABF6693"/>
    <w:rsid w:val="7ACC058A"/>
    <w:rsid w:val="7ADF0990"/>
    <w:rsid w:val="7AE441FC"/>
    <w:rsid w:val="7AF30898"/>
    <w:rsid w:val="7B0D77E3"/>
    <w:rsid w:val="7B120FF4"/>
    <w:rsid w:val="7B157701"/>
    <w:rsid w:val="7B160325"/>
    <w:rsid w:val="7B1A13D3"/>
    <w:rsid w:val="7B2657D5"/>
    <w:rsid w:val="7B266378"/>
    <w:rsid w:val="7B4143B4"/>
    <w:rsid w:val="7B415D9E"/>
    <w:rsid w:val="7B453038"/>
    <w:rsid w:val="7B5A6B47"/>
    <w:rsid w:val="7B603773"/>
    <w:rsid w:val="7B6D1D01"/>
    <w:rsid w:val="7B781ECB"/>
    <w:rsid w:val="7B7F5ECA"/>
    <w:rsid w:val="7B8D05E8"/>
    <w:rsid w:val="7B9670B3"/>
    <w:rsid w:val="7BA76C5F"/>
    <w:rsid w:val="7BC23494"/>
    <w:rsid w:val="7BCE5FAB"/>
    <w:rsid w:val="7BCF3560"/>
    <w:rsid w:val="7BD81C23"/>
    <w:rsid w:val="7BDD0905"/>
    <w:rsid w:val="7BDD47BD"/>
    <w:rsid w:val="7BE026BE"/>
    <w:rsid w:val="7BF22FFC"/>
    <w:rsid w:val="7BF31AF9"/>
    <w:rsid w:val="7C006D00"/>
    <w:rsid w:val="7C0B50DF"/>
    <w:rsid w:val="7C0C0945"/>
    <w:rsid w:val="7C0C7231"/>
    <w:rsid w:val="7C0D3F16"/>
    <w:rsid w:val="7C131637"/>
    <w:rsid w:val="7C1A47D2"/>
    <w:rsid w:val="7C2037CF"/>
    <w:rsid w:val="7C2108DD"/>
    <w:rsid w:val="7C2E47C8"/>
    <w:rsid w:val="7C306ED9"/>
    <w:rsid w:val="7C3F2E21"/>
    <w:rsid w:val="7C3F6600"/>
    <w:rsid w:val="7C4F2A5A"/>
    <w:rsid w:val="7C547F4B"/>
    <w:rsid w:val="7C667125"/>
    <w:rsid w:val="7C705439"/>
    <w:rsid w:val="7C74426F"/>
    <w:rsid w:val="7C774421"/>
    <w:rsid w:val="7C846A15"/>
    <w:rsid w:val="7C891DFD"/>
    <w:rsid w:val="7C8E3E9B"/>
    <w:rsid w:val="7C96558D"/>
    <w:rsid w:val="7CA06074"/>
    <w:rsid w:val="7CA66590"/>
    <w:rsid w:val="7CB84424"/>
    <w:rsid w:val="7CBA0668"/>
    <w:rsid w:val="7CCA7621"/>
    <w:rsid w:val="7CCE523F"/>
    <w:rsid w:val="7CDF43E7"/>
    <w:rsid w:val="7CE36AE7"/>
    <w:rsid w:val="7CEA7B24"/>
    <w:rsid w:val="7CEE2CA8"/>
    <w:rsid w:val="7CEE4D16"/>
    <w:rsid w:val="7CEF3454"/>
    <w:rsid w:val="7CF85763"/>
    <w:rsid w:val="7CF95A37"/>
    <w:rsid w:val="7D043245"/>
    <w:rsid w:val="7D0830F4"/>
    <w:rsid w:val="7D1A6DDA"/>
    <w:rsid w:val="7D2D0030"/>
    <w:rsid w:val="7D2F1B65"/>
    <w:rsid w:val="7D3B3CE2"/>
    <w:rsid w:val="7D3B547A"/>
    <w:rsid w:val="7D4C3A37"/>
    <w:rsid w:val="7D4D654E"/>
    <w:rsid w:val="7D536EF0"/>
    <w:rsid w:val="7D5C46D6"/>
    <w:rsid w:val="7D660840"/>
    <w:rsid w:val="7D6F6569"/>
    <w:rsid w:val="7D717850"/>
    <w:rsid w:val="7D770D0C"/>
    <w:rsid w:val="7D7A0B1A"/>
    <w:rsid w:val="7D8401DC"/>
    <w:rsid w:val="7D8D7A8C"/>
    <w:rsid w:val="7D90392F"/>
    <w:rsid w:val="7D993DD7"/>
    <w:rsid w:val="7DA44C41"/>
    <w:rsid w:val="7DA65350"/>
    <w:rsid w:val="7DAB3585"/>
    <w:rsid w:val="7DB03F1E"/>
    <w:rsid w:val="7DB87AB6"/>
    <w:rsid w:val="7DB91779"/>
    <w:rsid w:val="7DBC0704"/>
    <w:rsid w:val="7DCA3569"/>
    <w:rsid w:val="7DCE23B0"/>
    <w:rsid w:val="7DD42AB4"/>
    <w:rsid w:val="7DD94650"/>
    <w:rsid w:val="7DDB7F5D"/>
    <w:rsid w:val="7DE660FE"/>
    <w:rsid w:val="7DE72B48"/>
    <w:rsid w:val="7DED03D6"/>
    <w:rsid w:val="7DF26ED5"/>
    <w:rsid w:val="7DF8620B"/>
    <w:rsid w:val="7E03516A"/>
    <w:rsid w:val="7E084BF3"/>
    <w:rsid w:val="7E0D171C"/>
    <w:rsid w:val="7E2333FA"/>
    <w:rsid w:val="7E4E1763"/>
    <w:rsid w:val="7E522895"/>
    <w:rsid w:val="7E575389"/>
    <w:rsid w:val="7E5D384B"/>
    <w:rsid w:val="7E616824"/>
    <w:rsid w:val="7E65342B"/>
    <w:rsid w:val="7E662842"/>
    <w:rsid w:val="7E6A3278"/>
    <w:rsid w:val="7E6B4992"/>
    <w:rsid w:val="7E766976"/>
    <w:rsid w:val="7E7B5F7E"/>
    <w:rsid w:val="7E7E7EF1"/>
    <w:rsid w:val="7E884DA6"/>
    <w:rsid w:val="7E89593D"/>
    <w:rsid w:val="7E8D6491"/>
    <w:rsid w:val="7E94687F"/>
    <w:rsid w:val="7E960234"/>
    <w:rsid w:val="7E991D8F"/>
    <w:rsid w:val="7EAB6092"/>
    <w:rsid w:val="7EC643EA"/>
    <w:rsid w:val="7ED935FD"/>
    <w:rsid w:val="7EE6622C"/>
    <w:rsid w:val="7EFC11FA"/>
    <w:rsid w:val="7F04279B"/>
    <w:rsid w:val="7F1731DB"/>
    <w:rsid w:val="7F2902F1"/>
    <w:rsid w:val="7F2C781B"/>
    <w:rsid w:val="7F2E4495"/>
    <w:rsid w:val="7F5914C0"/>
    <w:rsid w:val="7F641D04"/>
    <w:rsid w:val="7F70387B"/>
    <w:rsid w:val="7F741519"/>
    <w:rsid w:val="7F746756"/>
    <w:rsid w:val="7F7D1F7A"/>
    <w:rsid w:val="7F81065D"/>
    <w:rsid w:val="7F816975"/>
    <w:rsid w:val="7F847058"/>
    <w:rsid w:val="7F865399"/>
    <w:rsid w:val="7F9627D1"/>
    <w:rsid w:val="7F9A4DB6"/>
    <w:rsid w:val="7F9B1C2E"/>
    <w:rsid w:val="7F9D5AA9"/>
    <w:rsid w:val="7FC11DF3"/>
    <w:rsid w:val="7FCE6E8F"/>
    <w:rsid w:val="7FD262D0"/>
    <w:rsid w:val="7FD5631C"/>
    <w:rsid w:val="7FDF5E3C"/>
    <w:rsid w:val="7FE212BE"/>
    <w:rsid w:val="7FE66B33"/>
    <w:rsid w:val="7FE85B10"/>
    <w:rsid w:val="7FE87EC9"/>
    <w:rsid w:val="7FEB7B21"/>
    <w:rsid w:val="7FEC6264"/>
    <w:rsid w:val="7FEF3256"/>
    <w:rsid w:val="7FF54D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semiHidden="0" w:name="heading 6"/>
    <w:lsdException w:qFormat="1" w:unhideWhenUsed="0" w:uiPriority="0" w:semiHidden="0" w:name="heading 7"/>
    <w:lsdException w:qFormat="1" w:unhideWhenUsed="0" w:uiPriority="0" w:name="heading 8"/>
    <w:lsdException w:qFormat="1" w:unhideWhenUsed="0" w:uiPriority="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semiHidden="0" w:name="endnote reference"/>
    <w:lsdException w:uiPriority="99" w:semiHidden="0"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nhideWhenUsed="0" w:uiPriority="99"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unhideWhenUsed="0" w:uiPriority="0" w:semiHidden="0" w:name="Strong"/>
    <w:lsdException w:unhideWhenUsed="0" w:uiPriority="0" w:semiHidden="0" w:name="Emphasis"/>
    <w:lsdException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nhideWhenUsed="0" w:uiPriority="0" w:semiHidden="0" w:name="HTML Cite"/>
    <w:lsdException w:unhideWhenUsed="0" w:uiPriority="0" w:semiHidden="0"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Arial"/>
      <w:sz w:val="21"/>
      <w:szCs w:val="21"/>
      <w:lang w:val="en-US" w:eastAsia="zh-CN" w:bidi="ar-SA"/>
    </w:rPr>
  </w:style>
  <w:style w:type="paragraph" w:styleId="3">
    <w:name w:val="heading 1"/>
    <w:basedOn w:val="1"/>
    <w:next w:val="1"/>
    <w:link w:val="45"/>
    <w:qFormat/>
    <w:uiPriority w:val="0"/>
    <w:pPr>
      <w:numPr>
        <w:ilvl w:val="0"/>
        <w:numId w:val="1"/>
      </w:numPr>
      <w:spacing w:before="100" w:beforeLines="100" w:after="100" w:afterLines="100" w:line="480" w:lineRule="auto"/>
      <w:ind w:left="432" w:hanging="432"/>
      <w:jc w:val="center"/>
      <w:outlineLvl w:val="0"/>
    </w:pPr>
    <w:rPr>
      <w:rFonts w:ascii="Times New Roman" w:hAnsi="Times New Roman" w:eastAsia="黑体" w:cs="Times New Roman"/>
      <w:sz w:val="44"/>
      <w:szCs w:val="28"/>
    </w:rPr>
  </w:style>
  <w:style w:type="paragraph" w:styleId="4">
    <w:name w:val="heading 2"/>
    <w:basedOn w:val="1"/>
    <w:next w:val="1"/>
    <w:link w:val="46"/>
    <w:qFormat/>
    <w:uiPriority w:val="0"/>
    <w:pPr>
      <w:numPr>
        <w:ilvl w:val="1"/>
        <w:numId w:val="1"/>
      </w:numPr>
      <w:spacing w:before="50" w:beforeLines="50" w:after="50" w:afterLines="50" w:line="600" w:lineRule="exact"/>
      <w:ind w:left="575" w:hanging="575"/>
      <w:outlineLvl w:val="1"/>
    </w:pPr>
    <w:rPr>
      <w:rFonts w:eastAsia="黑体" w:cs="Times New Roman"/>
      <w:bCs/>
      <w:sz w:val="30"/>
      <w:szCs w:val="20"/>
    </w:rPr>
  </w:style>
  <w:style w:type="paragraph" w:styleId="5">
    <w:name w:val="heading 3"/>
    <w:basedOn w:val="1"/>
    <w:next w:val="1"/>
    <w:link w:val="47"/>
    <w:qFormat/>
    <w:uiPriority w:val="0"/>
    <w:pPr>
      <w:numPr>
        <w:ilvl w:val="2"/>
        <w:numId w:val="1"/>
      </w:numPr>
      <w:spacing w:before="50" w:beforeLines="50" w:after="50" w:afterLines="50" w:line="480" w:lineRule="exact"/>
      <w:ind w:left="720" w:hanging="720"/>
      <w:outlineLvl w:val="2"/>
    </w:pPr>
    <w:rPr>
      <w:rFonts w:eastAsia="黑体" w:cs="Times New Roman"/>
      <w:snapToGrid w:val="0"/>
      <w:sz w:val="28"/>
      <w:szCs w:val="20"/>
    </w:rPr>
  </w:style>
  <w:style w:type="paragraph" w:styleId="6">
    <w:name w:val="heading 4"/>
    <w:basedOn w:val="1"/>
    <w:next w:val="1"/>
    <w:link w:val="48"/>
    <w:qFormat/>
    <w:uiPriority w:val="0"/>
    <w:pPr>
      <w:numPr>
        <w:ilvl w:val="3"/>
        <w:numId w:val="1"/>
      </w:numPr>
      <w:adjustRightInd w:val="0"/>
      <w:snapToGrid w:val="0"/>
      <w:spacing w:before="50" w:beforeLines="50" w:after="50" w:afterLines="50" w:line="480" w:lineRule="exact"/>
      <w:ind w:left="864" w:hanging="864"/>
      <w:outlineLvl w:val="3"/>
    </w:pPr>
    <w:rPr>
      <w:rFonts w:eastAsia="黑体" w:cs="Times New Roman"/>
      <w:snapToGrid w:val="0"/>
      <w:sz w:val="28"/>
      <w:szCs w:val="20"/>
    </w:rPr>
  </w:style>
  <w:style w:type="paragraph" w:styleId="7">
    <w:name w:val="heading 5"/>
    <w:basedOn w:val="1"/>
    <w:next w:val="1"/>
    <w:link w:val="49"/>
    <w:qFormat/>
    <w:uiPriority w:val="0"/>
    <w:pPr>
      <w:numPr>
        <w:ilvl w:val="4"/>
        <w:numId w:val="1"/>
      </w:numPr>
      <w:adjustRightInd w:val="0"/>
      <w:snapToGrid w:val="0"/>
      <w:spacing w:line="480" w:lineRule="exact"/>
      <w:ind w:left="1008" w:hanging="1008"/>
      <w:jc w:val="center"/>
      <w:outlineLvl w:val="4"/>
    </w:pPr>
    <w:rPr>
      <w:rFonts w:ascii="Times New Roman" w:hAnsi="Times New Roman" w:eastAsia="宋体"/>
      <w:bCs/>
      <w:color w:val="000000"/>
      <w:sz w:val="28"/>
      <w:szCs w:val="28"/>
    </w:rPr>
  </w:style>
  <w:style w:type="paragraph" w:styleId="8">
    <w:name w:val="heading 6"/>
    <w:basedOn w:val="7"/>
    <w:next w:val="7"/>
    <w:link w:val="44"/>
    <w:unhideWhenUsed/>
    <w:qFormat/>
    <w:uiPriority w:val="0"/>
    <w:pPr>
      <w:numPr>
        <w:ilvl w:val="5"/>
        <w:numId w:val="1"/>
      </w:numPr>
      <w:spacing w:line="480" w:lineRule="exact"/>
      <w:ind w:left="1151" w:hanging="1151"/>
      <w:outlineLvl w:val="5"/>
    </w:pPr>
    <w:rPr>
      <w:rFonts w:ascii="Times New Roman" w:hAnsi="Times New Roman" w:eastAsia="宋体"/>
    </w:rPr>
  </w:style>
  <w:style w:type="paragraph" w:styleId="9">
    <w:name w:val="heading 7"/>
    <w:basedOn w:val="1"/>
    <w:next w:val="1"/>
    <w:link w:val="50"/>
    <w:qFormat/>
    <w:uiPriority w:val="0"/>
    <w:pPr>
      <w:keepNext/>
      <w:keepLines/>
      <w:numPr>
        <w:ilvl w:val="6"/>
        <w:numId w:val="1"/>
      </w:numPr>
      <w:spacing w:before="240" w:after="64" w:line="320" w:lineRule="auto"/>
      <w:ind w:left="1296" w:hanging="1296"/>
      <w:outlineLvl w:val="6"/>
    </w:pPr>
    <w:rPr>
      <w:rFonts w:cs="Times New Roman"/>
      <w:b/>
      <w:bCs/>
      <w:sz w:val="24"/>
      <w:lang w:val="zh-CN" w:eastAsia="zh-CN"/>
    </w:rPr>
  </w:style>
  <w:style w:type="paragraph" w:styleId="10">
    <w:name w:val="heading 8"/>
    <w:basedOn w:val="1"/>
    <w:next w:val="1"/>
    <w:link w:val="51"/>
    <w:semiHidden/>
    <w:qFormat/>
    <w:uiPriority w:val="0"/>
    <w:pPr>
      <w:keepNext/>
      <w:keepLines/>
      <w:numPr>
        <w:ilvl w:val="7"/>
        <w:numId w:val="1"/>
      </w:numPr>
      <w:tabs>
        <w:tab w:val="left" w:pos="1440"/>
      </w:tabs>
      <w:spacing w:before="240" w:after="64" w:line="320" w:lineRule="auto"/>
      <w:ind w:left="1440" w:hanging="1440"/>
      <w:outlineLvl w:val="7"/>
    </w:pPr>
    <w:rPr>
      <w:rFonts w:ascii="Arial" w:hAnsi="Arial" w:eastAsia="黑体" w:cs="Times New Roman"/>
      <w:sz w:val="24"/>
      <w:lang w:val="zh-CN" w:eastAsia="zh-CN"/>
    </w:rPr>
  </w:style>
  <w:style w:type="paragraph" w:styleId="11">
    <w:name w:val="heading 9"/>
    <w:basedOn w:val="1"/>
    <w:next w:val="1"/>
    <w:link w:val="52"/>
    <w:semiHidden/>
    <w:qFormat/>
    <w:uiPriority w:val="0"/>
    <w:pPr>
      <w:keepNext/>
      <w:keepLines/>
      <w:numPr>
        <w:ilvl w:val="8"/>
        <w:numId w:val="1"/>
      </w:numPr>
      <w:tabs>
        <w:tab w:val="left" w:pos="1584"/>
      </w:tabs>
      <w:spacing w:before="240" w:after="64" w:line="320" w:lineRule="auto"/>
      <w:ind w:left="1583" w:hanging="1583"/>
      <w:outlineLvl w:val="8"/>
    </w:pPr>
    <w:rPr>
      <w:rFonts w:ascii="Arial" w:hAnsi="Arial" w:eastAsia="黑体" w:cs="Times New Roman"/>
      <w:lang w:val="zh-CN" w:eastAsia="zh-CN"/>
    </w:rPr>
  </w:style>
  <w:style w:type="character" w:default="1" w:styleId="36">
    <w:name w:val="Default Paragraph Font"/>
    <w:unhideWhenUsed/>
    <w:qFormat/>
    <w:uiPriority w:val="1"/>
  </w:style>
  <w:style w:type="table" w:default="1" w:styleId="3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格式"/>
    <w:basedOn w:val="1"/>
    <w:next w:val="1"/>
    <w:qFormat/>
    <w:uiPriority w:val="0"/>
    <w:pPr>
      <w:spacing w:line="360" w:lineRule="auto"/>
      <w:ind w:firstLine="482" w:firstLineChars="200"/>
    </w:pPr>
    <w:rPr>
      <w:rFonts w:cs="Times New Roman"/>
      <w:sz w:val="24"/>
      <w:szCs w:val="24"/>
    </w:rPr>
  </w:style>
  <w:style w:type="paragraph" w:styleId="12">
    <w:name w:val="Normal Indent"/>
    <w:basedOn w:val="1"/>
    <w:qFormat/>
    <w:uiPriority w:val="0"/>
    <w:pPr>
      <w:ind w:firstLine="420"/>
    </w:pPr>
    <w:rPr>
      <w:szCs w:val="20"/>
    </w:rPr>
  </w:style>
  <w:style w:type="paragraph" w:styleId="13">
    <w:name w:val="caption"/>
    <w:basedOn w:val="1"/>
    <w:next w:val="1"/>
    <w:unhideWhenUsed/>
    <w:qFormat/>
    <w:uiPriority w:val="35"/>
    <w:rPr>
      <w:rFonts w:ascii="等线 Light" w:hAnsi="等线 Light" w:eastAsia="黑体" w:cs="Times New Roman"/>
      <w:sz w:val="20"/>
      <w:szCs w:val="20"/>
    </w:rPr>
  </w:style>
  <w:style w:type="paragraph" w:styleId="14">
    <w:name w:val="annotation text"/>
    <w:basedOn w:val="1"/>
    <w:link w:val="64"/>
    <w:qFormat/>
    <w:uiPriority w:val="99"/>
    <w:pPr>
      <w:jc w:val="left"/>
    </w:pPr>
  </w:style>
  <w:style w:type="paragraph" w:styleId="15">
    <w:name w:val="Body Text 3"/>
    <w:basedOn w:val="1"/>
    <w:qFormat/>
    <w:uiPriority w:val="0"/>
    <w:pPr>
      <w:jc w:val="center"/>
    </w:pPr>
    <w:rPr>
      <w:rFonts w:ascii="Arial" w:hAnsi="Arial"/>
      <w:sz w:val="24"/>
      <w:szCs w:val="20"/>
    </w:rPr>
  </w:style>
  <w:style w:type="paragraph" w:styleId="16">
    <w:name w:val="Body Text"/>
    <w:basedOn w:val="1"/>
    <w:next w:val="17"/>
    <w:link w:val="62"/>
    <w:unhideWhenUsed/>
    <w:qFormat/>
    <w:uiPriority w:val="99"/>
    <w:pPr>
      <w:spacing w:after="120"/>
    </w:pPr>
  </w:style>
  <w:style w:type="paragraph" w:customStyle="1" w:styleId="17">
    <w:name w:val="Normal (Web)1"/>
    <w:basedOn w:val="1"/>
    <w:next w:val="18"/>
    <w:qFormat/>
    <w:uiPriority w:val="0"/>
    <w:pPr>
      <w:widowControl/>
      <w:jc w:val="left"/>
    </w:pPr>
    <w:rPr>
      <w:rFonts w:ascii="宋体" w:cs="Times New Roman"/>
      <w:kern w:val="0"/>
      <w:sz w:val="24"/>
      <w:szCs w:val="21"/>
    </w:rPr>
  </w:style>
  <w:style w:type="paragraph" w:customStyle="1" w:styleId="18">
    <w:name w:val="Date1"/>
    <w:basedOn w:val="1"/>
    <w:next w:val="1"/>
    <w:qFormat/>
    <w:uiPriority w:val="0"/>
    <w:pPr>
      <w:ind w:left="2500" w:leftChars="2500"/>
    </w:pPr>
  </w:style>
  <w:style w:type="paragraph" w:styleId="19">
    <w:name w:val="Body Text Indent"/>
    <w:basedOn w:val="1"/>
    <w:qFormat/>
    <w:uiPriority w:val="0"/>
    <w:pPr>
      <w:adjustRightInd w:val="0"/>
      <w:spacing w:line="290" w:lineRule="auto"/>
      <w:ind w:firstLine="420"/>
      <w:textAlignment w:val="baseline"/>
    </w:pPr>
    <w:rPr>
      <w:rFonts w:ascii="宋体" w:hAnsi="Arial"/>
      <w:sz w:val="24"/>
      <w:szCs w:val="20"/>
    </w:rPr>
  </w:style>
  <w:style w:type="paragraph" w:styleId="20">
    <w:name w:val="Plain Text"/>
    <w:basedOn w:val="1"/>
    <w:qFormat/>
    <w:uiPriority w:val="0"/>
    <w:pPr>
      <w:adjustRightInd w:val="0"/>
      <w:textAlignment w:val="baseline"/>
    </w:pPr>
    <w:rPr>
      <w:rFonts w:ascii="宋体" w:hAnsi="Courier New"/>
      <w:sz w:val="24"/>
      <w:szCs w:val="20"/>
    </w:rPr>
  </w:style>
  <w:style w:type="paragraph" w:styleId="21">
    <w:name w:val="Body Text Indent 2"/>
    <w:basedOn w:val="1"/>
    <w:link w:val="61"/>
    <w:qFormat/>
    <w:uiPriority w:val="0"/>
    <w:pPr>
      <w:spacing w:line="480" w:lineRule="exact"/>
      <w:ind w:left="0" w:leftChars="0" w:firstLine="420" w:firstLineChars="200"/>
    </w:pPr>
    <w:rPr>
      <w:rFonts w:ascii="Times New Roman" w:hAnsi="Times New Roman" w:eastAsia="宋体"/>
    </w:rPr>
  </w:style>
  <w:style w:type="paragraph" w:styleId="22">
    <w:name w:val="Balloon Text"/>
    <w:basedOn w:val="1"/>
    <w:link w:val="53"/>
    <w:qFormat/>
    <w:uiPriority w:val="99"/>
    <w:rPr>
      <w:sz w:val="18"/>
      <w:szCs w:val="18"/>
    </w:rPr>
  </w:style>
  <w:style w:type="paragraph" w:styleId="23">
    <w:name w:val="footer"/>
    <w:basedOn w:val="1"/>
    <w:link w:val="71"/>
    <w:qFormat/>
    <w:uiPriority w:val="99"/>
    <w:pPr>
      <w:tabs>
        <w:tab w:val="center" w:pos="4153"/>
        <w:tab w:val="right" w:pos="8306"/>
      </w:tabs>
      <w:snapToGrid w:val="0"/>
      <w:jc w:val="left"/>
    </w:pPr>
    <w:rPr>
      <w:sz w:val="18"/>
      <w:szCs w:val="18"/>
    </w:rPr>
  </w:style>
  <w:style w:type="paragraph" w:styleId="24">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style>
  <w:style w:type="paragraph" w:styleId="26">
    <w:name w:val="Subtitle"/>
    <w:basedOn w:val="1"/>
    <w:next w:val="1"/>
    <w:link w:val="57"/>
    <w:qFormat/>
    <w:uiPriority w:val="11"/>
    <w:pPr>
      <w:jc w:val="center"/>
    </w:pPr>
    <w:rPr>
      <w:rFonts w:ascii="楷体" w:hAnsi="楷体" w:eastAsia="楷体"/>
      <w:bCs/>
      <w:sz w:val="52"/>
      <w:szCs w:val="52"/>
    </w:rPr>
  </w:style>
  <w:style w:type="paragraph" w:styleId="27">
    <w:name w:val="Body Text Indent 3"/>
    <w:basedOn w:val="1"/>
    <w:qFormat/>
    <w:uiPriority w:val="0"/>
    <w:pPr>
      <w:spacing w:after="120"/>
      <w:ind w:left="420" w:leftChars="200"/>
    </w:pPr>
    <w:rPr>
      <w:sz w:val="16"/>
      <w:szCs w:val="16"/>
    </w:rPr>
  </w:style>
  <w:style w:type="paragraph" w:styleId="28">
    <w:name w:val="toc 2"/>
    <w:basedOn w:val="1"/>
    <w:next w:val="1"/>
    <w:qFormat/>
    <w:uiPriority w:val="39"/>
    <w:pPr>
      <w:tabs>
        <w:tab w:val="right" w:leader="dot" w:pos="9006"/>
      </w:tabs>
      <w:ind w:left="420" w:leftChars="200"/>
    </w:pPr>
    <w:rPr>
      <w:rFonts w:cs="Times New Roman"/>
      <w:sz w:val="28"/>
      <w:szCs w:val="28"/>
    </w:rPr>
  </w:style>
  <w:style w:type="paragraph" w:styleId="29">
    <w:name w:val="Normal (Web)"/>
    <w:basedOn w:val="1"/>
    <w:qFormat/>
    <w:uiPriority w:val="0"/>
    <w:rPr>
      <w:rFonts w:cs="Times New Roman"/>
      <w:sz w:val="24"/>
      <w:szCs w:val="24"/>
    </w:rPr>
  </w:style>
  <w:style w:type="paragraph" w:styleId="30">
    <w:name w:val="index 1"/>
    <w:basedOn w:val="1"/>
    <w:next w:val="1"/>
    <w:semiHidden/>
    <w:qFormat/>
    <w:uiPriority w:val="0"/>
    <w:pPr>
      <w:spacing w:line="280" w:lineRule="exact"/>
    </w:pPr>
    <w:rPr>
      <w:rFonts w:ascii="宋体" w:hAnsi="宋体"/>
    </w:rPr>
  </w:style>
  <w:style w:type="paragraph" w:styleId="31">
    <w:name w:val="Title"/>
    <w:basedOn w:val="1"/>
    <w:next w:val="1"/>
    <w:link w:val="56"/>
    <w:qFormat/>
    <w:uiPriority w:val="10"/>
    <w:pPr>
      <w:spacing w:line="360" w:lineRule="auto"/>
      <w:jc w:val="center"/>
    </w:pPr>
    <w:rPr>
      <w:b/>
      <w:bCs/>
      <w:sz w:val="48"/>
      <w:szCs w:val="48"/>
    </w:rPr>
  </w:style>
  <w:style w:type="paragraph" w:styleId="32">
    <w:name w:val="annotation subject"/>
    <w:basedOn w:val="14"/>
    <w:next w:val="14"/>
    <w:link w:val="65"/>
    <w:qFormat/>
    <w:uiPriority w:val="99"/>
    <w:rPr>
      <w:b/>
      <w:bCs/>
    </w:rPr>
  </w:style>
  <w:style w:type="paragraph" w:styleId="33">
    <w:name w:val="Body Text First Indent"/>
    <w:basedOn w:val="1"/>
    <w:link w:val="63"/>
    <w:qFormat/>
    <w:uiPriority w:val="0"/>
    <w:pPr>
      <w:adjustRightInd w:val="0"/>
      <w:snapToGrid w:val="0"/>
      <w:spacing w:line="480" w:lineRule="exact"/>
      <w:ind w:firstLine="560"/>
    </w:pPr>
    <w:rPr>
      <w:sz w:val="28"/>
      <w:szCs w:val="28"/>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basedOn w:val="36"/>
    <w:qFormat/>
    <w:uiPriority w:val="0"/>
  </w:style>
  <w:style w:type="character" w:styleId="38">
    <w:name w:val="FollowedHyperlink"/>
    <w:unhideWhenUsed/>
    <w:qFormat/>
    <w:uiPriority w:val="99"/>
    <w:rPr>
      <w:color w:val="954F72"/>
      <w:u w:val="single"/>
    </w:rPr>
  </w:style>
  <w:style w:type="character" w:styleId="39">
    <w:name w:val="Hyperlink"/>
    <w:unhideWhenUsed/>
    <w:qFormat/>
    <w:uiPriority w:val="99"/>
    <w:rPr>
      <w:color w:val="0563C1"/>
      <w:u w:val="single"/>
    </w:rPr>
  </w:style>
  <w:style w:type="character" w:styleId="40">
    <w:name w:val="annotation reference"/>
    <w:qFormat/>
    <w:uiPriority w:val="99"/>
    <w:rPr>
      <w:sz w:val="21"/>
      <w:szCs w:val="21"/>
    </w:rPr>
  </w:style>
  <w:style w:type="paragraph" w:customStyle="1" w:styleId="41">
    <w:name w:val="11111"/>
    <w:basedOn w:val="1"/>
    <w:next w:val="1"/>
    <w:qFormat/>
    <w:uiPriority w:val="0"/>
    <w:pPr>
      <w:spacing w:line="360" w:lineRule="auto"/>
      <w:ind w:firstLine="200" w:firstLineChars="200"/>
    </w:pPr>
    <w:rPr>
      <w:rFonts w:ascii="Times New Roman" w:hAnsi="宋体" w:cs="宋体"/>
      <w:kern w:val="2"/>
      <w:szCs w:val="24"/>
    </w:rPr>
  </w:style>
  <w:style w:type="paragraph" w:customStyle="1" w:styleId="42">
    <w:name w:val="Default"/>
    <w:basedOn w:val="43"/>
    <w:next w:val="1"/>
    <w:qFormat/>
    <w:uiPriority w:val="0"/>
    <w:pPr>
      <w:widowControl w:val="0"/>
      <w:tabs>
        <w:tab w:val="right" w:leader="dot" w:pos="9006"/>
        <w:tab w:val="right" w:leader="dot" w:pos="9061"/>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表头"/>
    <w:basedOn w:val="28"/>
    <w:next w:val="1"/>
    <w:qFormat/>
    <w:uiPriority w:val="0"/>
    <w:pPr>
      <w:tabs>
        <w:tab w:val="right" w:leader="dot" w:pos="9061"/>
      </w:tabs>
      <w:adjustRightInd w:val="0"/>
      <w:snapToGrid w:val="0"/>
      <w:spacing w:line="480" w:lineRule="exact"/>
      <w:ind w:firstLine="140" w:firstLineChars="50"/>
      <w:jc w:val="center"/>
    </w:pPr>
    <w:rPr>
      <w:snapToGrid/>
      <w:kern w:val="2"/>
      <w:sz w:val="28"/>
      <w:szCs w:val="28"/>
    </w:rPr>
  </w:style>
  <w:style w:type="character" w:customStyle="1" w:styleId="44">
    <w:name w:val="标题 6 字符"/>
    <w:link w:val="8"/>
    <w:qFormat/>
    <w:uiPriority w:val="9"/>
    <w:rPr>
      <w:rFonts w:ascii="Times New Roman" w:hAnsi="Times New Roman" w:eastAsia="宋体" w:cs="Arial"/>
      <w:bCs/>
      <w:color w:val="000000"/>
      <w:sz w:val="28"/>
      <w:szCs w:val="28"/>
    </w:rPr>
  </w:style>
  <w:style w:type="character" w:customStyle="1" w:styleId="45">
    <w:name w:val="标题 1 字符"/>
    <w:link w:val="3"/>
    <w:qFormat/>
    <w:uiPriority w:val="0"/>
    <w:rPr>
      <w:rFonts w:ascii="Times New Roman" w:hAnsi="Times New Roman" w:eastAsia="黑体"/>
      <w:sz w:val="44"/>
      <w:szCs w:val="28"/>
    </w:rPr>
  </w:style>
  <w:style w:type="character" w:customStyle="1" w:styleId="46">
    <w:name w:val="标题 2 字符1"/>
    <w:link w:val="4"/>
    <w:qFormat/>
    <w:uiPriority w:val="0"/>
    <w:rPr>
      <w:rFonts w:eastAsia="黑体"/>
      <w:bCs/>
      <w:sz w:val="30"/>
    </w:rPr>
  </w:style>
  <w:style w:type="character" w:customStyle="1" w:styleId="47">
    <w:name w:val="标题 3 字符1"/>
    <w:link w:val="5"/>
    <w:qFormat/>
    <w:uiPriority w:val="0"/>
    <w:rPr>
      <w:rFonts w:eastAsia="黑体"/>
      <w:snapToGrid w:val="0"/>
      <w:sz w:val="28"/>
    </w:rPr>
  </w:style>
  <w:style w:type="character" w:customStyle="1" w:styleId="48">
    <w:name w:val="标题 4 字符1"/>
    <w:link w:val="6"/>
    <w:qFormat/>
    <w:uiPriority w:val="0"/>
    <w:rPr>
      <w:rFonts w:eastAsia="黑体"/>
      <w:snapToGrid w:val="0"/>
      <w:sz w:val="28"/>
    </w:rPr>
  </w:style>
  <w:style w:type="character" w:customStyle="1" w:styleId="49">
    <w:name w:val="标题 5 字符"/>
    <w:link w:val="7"/>
    <w:qFormat/>
    <w:uiPriority w:val="0"/>
    <w:rPr>
      <w:rFonts w:ascii="Times New Roman" w:hAnsi="Times New Roman" w:eastAsia="宋体" w:cs="Arial"/>
      <w:bCs/>
      <w:color w:val="000000"/>
      <w:sz w:val="28"/>
      <w:szCs w:val="28"/>
    </w:rPr>
  </w:style>
  <w:style w:type="character" w:customStyle="1" w:styleId="50">
    <w:name w:val="标题 7 字符"/>
    <w:link w:val="9"/>
    <w:semiHidden/>
    <w:qFormat/>
    <w:uiPriority w:val="0"/>
    <w:rPr>
      <w:b/>
      <w:bCs/>
      <w:sz w:val="24"/>
      <w:szCs w:val="21"/>
      <w:lang w:val="zh-CN" w:eastAsia="zh-CN"/>
    </w:rPr>
  </w:style>
  <w:style w:type="character" w:customStyle="1" w:styleId="51">
    <w:name w:val="标题 8 字符"/>
    <w:link w:val="10"/>
    <w:semiHidden/>
    <w:qFormat/>
    <w:uiPriority w:val="0"/>
    <w:rPr>
      <w:rFonts w:ascii="Arial" w:hAnsi="Arial" w:eastAsia="黑体"/>
      <w:sz w:val="24"/>
      <w:szCs w:val="21"/>
      <w:lang w:val="zh-CN" w:eastAsia="zh-CN"/>
    </w:rPr>
  </w:style>
  <w:style w:type="character" w:customStyle="1" w:styleId="52">
    <w:name w:val="标题 9 字符"/>
    <w:link w:val="11"/>
    <w:semiHidden/>
    <w:qFormat/>
    <w:uiPriority w:val="0"/>
    <w:rPr>
      <w:rFonts w:ascii="Arial" w:hAnsi="Arial" w:eastAsia="黑体"/>
      <w:sz w:val="21"/>
      <w:szCs w:val="21"/>
      <w:lang w:val="zh-CN" w:eastAsia="zh-CN"/>
    </w:rPr>
  </w:style>
  <w:style w:type="character" w:customStyle="1" w:styleId="53">
    <w:name w:val="批注框文本 字符"/>
    <w:link w:val="22"/>
    <w:qFormat/>
    <w:uiPriority w:val="99"/>
    <w:rPr>
      <w:rFonts w:cs="Arial"/>
      <w:sz w:val="18"/>
      <w:szCs w:val="18"/>
    </w:rPr>
  </w:style>
  <w:style w:type="paragraph" w:customStyle="1" w:styleId="54">
    <w:name w:val="B表内4号"/>
    <w:basedOn w:val="1"/>
    <w:link w:val="55"/>
    <w:qFormat/>
    <w:uiPriority w:val="0"/>
    <w:pPr>
      <w:spacing w:line="360" w:lineRule="auto"/>
      <w:jc w:val="center"/>
    </w:pPr>
    <w:rPr>
      <w:rFonts w:cs="Times New Roman"/>
      <w:sz w:val="24"/>
      <w:szCs w:val="20"/>
    </w:rPr>
  </w:style>
  <w:style w:type="character" w:customStyle="1" w:styleId="55">
    <w:name w:val="表内4号 正文 字符"/>
    <w:link w:val="54"/>
    <w:qFormat/>
    <w:uiPriority w:val="0"/>
    <w:rPr>
      <w:rFonts w:eastAsia="宋体"/>
      <w:sz w:val="24"/>
    </w:rPr>
  </w:style>
  <w:style w:type="character" w:customStyle="1" w:styleId="56">
    <w:name w:val="标题 字符"/>
    <w:link w:val="31"/>
    <w:qFormat/>
    <w:uiPriority w:val="10"/>
    <w:rPr>
      <w:rFonts w:cs="Arial"/>
      <w:b/>
      <w:bCs/>
      <w:sz w:val="48"/>
      <w:szCs w:val="48"/>
    </w:rPr>
  </w:style>
  <w:style w:type="character" w:customStyle="1" w:styleId="57">
    <w:name w:val="副标题 字符"/>
    <w:link w:val="26"/>
    <w:qFormat/>
    <w:uiPriority w:val="11"/>
    <w:rPr>
      <w:rFonts w:ascii="楷体" w:hAnsi="楷体" w:eastAsia="楷体" w:cs="Arial"/>
      <w:bCs/>
      <w:sz w:val="52"/>
      <w:szCs w:val="52"/>
    </w:rPr>
  </w:style>
  <w:style w:type="paragraph" w:customStyle="1" w:styleId="58">
    <w:name w:val="建设单位"/>
    <w:basedOn w:val="1"/>
    <w:link w:val="59"/>
    <w:qFormat/>
    <w:uiPriority w:val="0"/>
    <w:pPr>
      <w:spacing w:line="276" w:lineRule="auto"/>
      <w:jc w:val="center"/>
    </w:pPr>
    <w:rPr>
      <w:rFonts w:ascii="黑体" w:hAnsi="黑体" w:eastAsia="黑体"/>
      <w:kern w:val="2"/>
      <w:sz w:val="30"/>
      <w:szCs w:val="30"/>
    </w:rPr>
  </w:style>
  <w:style w:type="character" w:customStyle="1" w:styleId="59">
    <w:name w:val="建设单位 字符"/>
    <w:link w:val="58"/>
    <w:qFormat/>
    <w:uiPriority w:val="0"/>
    <w:rPr>
      <w:rFonts w:ascii="黑体" w:hAnsi="黑体" w:eastAsia="黑体" w:cs="Arial"/>
      <w:kern w:val="2"/>
      <w:sz w:val="30"/>
      <w:szCs w:val="30"/>
    </w:rPr>
  </w:style>
  <w:style w:type="paragraph" w:customStyle="1" w:styleId="60">
    <w:name w:val="封面时间"/>
    <w:basedOn w:val="1"/>
    <w:qFormat/>
    <w:uiPriority w:val="0"/>
    <w:pPr>
      <w:jc w:val="center"/>
    </w:pPr>
    <w:rPr>
      <w:sz w:val="36"/>
      <w:szCs w:val="36"/>
    </w:rPr>
  </w:style>
  <w:style w:type="character" w:customStyle="1" w:styleId="61">
    <w:name w:val="正文文本缩进 2 字符"/>
    <w:link w:val="21"/>
    <w:qFormat/>
    <w:uiPriority w:val="0"/>
    <w:rPr>
      <w:rFonts w:ascii="Times New Roman" w:hAnsi="Times New Roman" w:eastAsia="宋体" w:cs="Arial"/>
      <w:sz w:val="21"/>
      <w:szCs w:val="21"/>
    </w:rPr>
  </w:style>
  <w:style w:type="character" w:customStyle="1" w:styleId="62">
    <w:name w:val="正文文本 字符"/>
    <w:link w:val="16"/>
    <w:qFormat/>
    <w:uiPriority w:val="99"/>
    <w:rPr>
      <w:rFonts w:cs="Arial"/>
      <w:sz w:val="21"/>
      <w:szCs w:val="21"/>
    </w:rPr>
  </w:style>
  <w:style w:type="character" w:customStyle="1" w:styleId="63">
    <w:name w:val="正文首行缩进 字符"/>
    <w:link w:val="33"/>
    <w:qFormat/>
    <w:uiPriority w:val="0"/>
    <w:rPr>
      <w:rFonts w:cs="Arial"/>
      <w:sz w:val="28"/>
      <w:szCs w:val="28"/>
    </w:rPr>
  </w:style>
  <w:style w:type="character" w:customStyle="1" w:styleId="64">
    <w:name w:val="批注文字 字符"/>
    <w:link w:val="14"/>
    <w:qFormat/>
    <w:uiPriority w:val="0"/>
    <w:rPr>
      <w:rFonts w:cs="Arial"/>
      <w:sz w:val="21"/>
      <w:szCs w:val="21"/>
    </w:rPr>
  </w:style>
  <w:style w:type="character" w:customStyle="1" w:styleId="65">
    <w:name w:val="批注主题 字符"/>
    <w:link w:val="32"/>
    <w:qFormat/>
    <w:uiPriority w:val="99"/>
    <w:rPr>
      <w:rFonts w:cs="Arial"/>
      <w:b/>
      <w:bCs/>
      <w:sz w:val="21"/>
      <w:szCs w:val="21"/>
    </w:rPr>
  </w:style>
  <w:style w:type="paragraph" w:customStyle="1" w:styleId="66">
    <w:name w:val="Revision"/>
    <w:hidden/>
    <w:unhideWhenUsed/>
    <w:qFormat/>
    <w:uiPriority w:val="99"/>
    <w:rPr>
      <w:rFonts w:ascii="Times New Roman" w:hAnsi="Times New Roman" w:eastAsia="宋体" w:cs="Arial"/>
      <w:sz w:val="21"/>
      <w:szCs w:val="21"/>
      <w:lang w:val="en-US" w:eastAsia="zh-CN" w:bidi="ar-SA"/>
    </w:rPr>
  </w:style>
  <w:style w:type="character" w:customStyle="1" w:styleId="67">
    <w:name w:val="标题 1 Char"/>
    <w:qFormat/>
    <w:uiPriority w:val="0"/>
    <w:rPr>
      <w:rFonts w:ascii="Times New Roman" w:hAnsi="Times New Roman" w:eastAsia="黑体" w:cs="Times New Roman"/>
      <w:b/>
      <w:bCs/>
      <w:kern w:val="44"/>
      <w:sz w:val="32"/>
      <w:szCs w:val="44"/>
    </w:rPr>
  </w:style>
  <w:style w:type="character" w:customStyle="1" w:styleId="68">
    <w:name w:val="批注文字 Char"/>
    <w:qFormat/>
    <w:uiPriority w:val="0"/>
    <w:rPr>
      <w:rFonts w:ascii="Times New Roman" w:hAnsi="Times New Roman" w:eastAsia="宋体" w:cs="Times New Roman"/>
      <w:szCs w:val="24"/>
    </w:rPr>
  </w:style>
  <w:style w:type="character" w:customStyle="1" w:styleId="69">
    <w:name w:val="表格标题 Char Char"/>
    <w:link w:val="70"/>
    <w:qFormat/>
    <w:uiPriority w:val="0"/>
    <w:rPr>
      <w:snapToGrid w:val="0"/>
      <w:sz w:val="24"/>
      <w:szCs w:val="24"/>
    </w:rPr>
  </w:style>
  <w:style w:type="paragraph" w:customStyle="1" w:styleId="70">
    <w:name w:val="表格标题"/>
    <w:basedOn w:val="1"/>
    <w:next w:val="1"/>
    <w:link w:val="69"/>
    <w:qFormat/>
    <w:uiPriority w:val="0"/>
    <w:pPr>
      <w:adjustRightInd w:val="0"/>
      <w:snapToGrid w:val="0"/>
      <w:jc w:val="center"/>
    </w:pPr>
    <w:rPr>
      <w:rFonts w:cs="Times New Roman"/>
      <w:snapToGrid w:val="0"/>
      <w:sz w:val="24"/>
      <w:szCs w:val="24"/>
    </w:rPr>
  </w:style>
  <w:style w:type="character" w:customStyle="1" w:styleId="71">
    <w:name w:val="页脚 字符"/>
    <w:link w:val="23"/>
    <w:qFormat/>
    <w:uiPriority w:val="99"/>
    <w:rPr>
      <w:rFonts w:cs="Arial"/>
      <w:sz w:val="18"/>
      <w:szCs w:val="18"/>
    </w:rPr>
  </w:style>
  <w:style w:type="paragraph" w:customStyle="1" w:styleId="72">
    <w:name w:val="B表内5号"/>
    <w:basedOn w:val="16"/>
    <w:qFormat/>
    <w:uiPriority w:val="0"/>
    <w:pPr>
      <w:snapToGrid w:val="0"/>
      <w:spacing w:line="0" w:lineRule="atLeast"/>
      <w:jc w:val="center"/>
    </w:pPr>
    <w:rPr>
      <w:rFonts w:cs="Times New Roman"/>
      <w:szCs w:val="24"/>
    </w:rPr>
  </w:style>
  <w:style w:type="table" w:customStyle="1" w:styleId="73">
    <w:name w:val="Table Normal"/>
    <w:semiHidden/>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74">
    <w:name w:val="表格s"/>
    <w:basedOn w:val="1"/>
    <w:link w:val="75"/>
    <w:qFormat/>
    <w:uiPriority w:val="0"/>
    <w:pPr>
      <w:jc w:val="left"/>
    </w:pPr>
    <w:rPr>
      <w:rFonts w:cs="Times New Roman"/>
      <w:color w:val="000000"/>
      <w:kern w:val="2"/>
      <w:lang w:val="zh-CN" w:eastAsia="zh-CN"/>
    </w:rPr>
  </w:style>
  <w:style w:type="character" w:customStyle="1" w:styleId="75">
    <w:name w:val="表格s Char"/>
    <w:link w:val="74"/>
    <w:qFormat/>
    <w:uiPriority w:val="0"/>
    <w:rPr>
      <w:color w:val="000000"/>
      <w:kern w:val="2"/>
      <w:sz w:val="21"/>
      <w:szCs w:val="21"/>
      <w:lang w:val="zh-CN" w:eastAsia="zh-CN"/>
    </w:rPr>
  </w:style>
  <w:style w:type="character" w:customStyle="1" w:styleId="76">
    <w:name w:val="批注文字 字符1"/>
    <w:qFormat/>
    <w:uiPriority w:val="99"/>
    <w:rPr>
      <w:kern w:val="2"/>
      <w:sz w:val="21"/>
      <w:szCs w:val="24"/>
    </w:rPr>
  </w:style>
  <w:style w:type="character" w:customStyle="1" w:styleId="77">
    <w:name w:val="页眉 字符"/>
    <w:basedOn w:val="36"/>
    <w:link w:val="24"/>
    <w:qFormat/>
    <w:uiPriority w:val="0"/>
    <w:rPr>
      <w:rFonts w:cs="Arial"/>
      <w:sz w:val="18"/>
      <w:szCs w:val="18"/>
    </w:rPr>
  </w:style>
  <w:style w:type="paragraph" w:customStyle="1" w:styleId="78">
    <w:name w:val="Table Paragraph"/>
    <w:basedOn w:val="1"/>
    <w:qFormat/>
    <w:uiPriority w:val="1"/>
    <w:pPr>
      <w:jc w:val="left"/>
    </w:pPr>
    <w:rPr>
      <w:rFonts w:ascii="Calibri" w:hAnsi="Calibri"/>
      <w:kern w:val="0"/>
      <w:sz w:val="22"/>
      <w:szCs w:val="22"/>
      <w:lang w:eastAsia="en-US"/>
    </w:rPr>
  </w:style>
  <w:style w:type="paragraph" w:customStyle="1" w:styleId="79">
    <w:name w:val="B-表内"/>
    <w:basedOn w:val="1"/>
    <w:qFormat/>
    <w:uiPriority w:val="0"/>
    <w:rPr>
      <w:kern w:val="0"/>
      <w:szCs w:val="21"/>
    </w:rPr>
  </w:style>
  <w:style w:type="paragraph" w:customStyle="1" w:styleId="80">
    <w:name w:val="表格"/>
    <w:basedOn w:val="1"/>
    <w:qFormat/>
    <w:uiPriority w:val="0"/>
    <w:pPr>
      <w:spacing w:line="300" w:lineRule="exact"/>
      <w:ind w:firstLine="0" w:firstLineChars="0"/>
      <w:jc w:val="center"/>
    </w:pPr>
    <w:rPr>
      <w:sz w:val="18"/>
    </w:rPr>
  </w:style>
  <w:style w:type="paragraph" w:customStyle="1" w:styleId="81">
    <w:name w:val="表内5号正文"/>
    <w:basedOn w:val="1"/>
    <w:qFormat/>
    <w:uiPriority w:val="0"/>
    <w:pPr>
      <w:spacing w:line="0" w:lineRule="atLeast"/>
      <w:jc w:val="center"/>
    </w:pPr>
    <w:rPr>
      <w:kern w:val="0"/>
      <w:szCs w:val="21"/>
    </w:rPr>
  </w:style>
  <w:style w:type="paragraph" w:customStyle="1" w:styleId="82">
    <w:name w:val="正文(首行缩进)"/>
    <w:basedOn w:val="1"/>
    <w:link w:val="98"/>
    <w:qFormat/>
    <w:uiPriority w:val="0"/>
    <w:pPr>
      <w:spacing w:line="360" w:lineRule="auto"/>
      <w:ind w:firstLine="540" w:firstLineChars="225"/>
    </w:pPr>
    <w:rPr>
      <w:snapToGrid w:val="0"/>
      <w:color w:val="000000"/>
      <w:kern w:val="0"/>
      <w:sz w:val="24"/>
    </w:rPr>
  </w:style>
  <w:style w:type="paragraph" w:customStyle="1" w:styleId="83">
    <w:name w:val="byj正文"/>
    <w:basedOn w:val="1"/>
    <w:link w:val="85"/>
    <w:qFormat/>
    <w:uiPriority w:val="0"/>
    <w:pPr>
      <w:adjustRightInd w:val="0"/>
      <w:snapToGrid w:val="0"/>
      <w:spacing w:line="480" w:lineRule="exact"/>
      <w:ind w:firstLine="560" w:firstLineChars="200"/>
      <w:jc w:val="left"/>
    </w:pPr>
    <w:rPr>
      <w:rFonts w:ascii="Times New Roman" w:hAnsi="Times New Roman" w:eastAsia="宋体" w:cs="Times New Roman"/>
      <w:snapToGrid w:val="0"/>
      <w:color w:val="000000"/>
      <w:sz w:val="28"/>
      <w:szCs w:val="28"/>
    </w:rPr>
  </w:style>
  <w:style w:type="paragraph" w:customStyle="1" w:styleId="84">
    <w:name w:val="说明书正文"/>
    <w:basedOn w:val="1"/>
    <w:qFormat/>
    <w:uiPriority w:val="0"/>
    <w:pPr>
      <w:adjustRightInd w:val="0"/>
      <w:spacing w:line="440" w:lineRule="exact"/>
      <w:ind w:firstLine="200" w:firstLineChars="200"/>
      <w:textAlignment w:val="baseline"/>
    </w:pPr>
    <w:rPr>
      <w:kern w:val="0"/>
      <w:sz w:val="24"/>
    </w:rPr>
  </w:style>
  <w:style w:type="character" w:customStyle="1" w:styleId="85">
    <w:name w:val="byj正文 Char"/>
    <w:link w:val="83"/>
    <w:qFormat/>
    <w:uiPriority w:val="0"/>
    <w:rPr>
      <w:rFonts w:ascii="Times New Roman" w:hAnsi="Times New Roman" w:eastAsia="宋体" w:cs="Times New Roman"/>
      <w:snapToGrid w:val="0"/>
      <w:color w:val="000000"/>
      <w:sz w:val="28"/>
      <w:szCs w:val="28"/>
    </w:rPr>
  </w:style>
  <w:style w:type="paragraph" w:customStyle="1" w:styleId="86">
    <w:name w:val="正文（首行缩进两字）"/>
    <w:basedOn w:val="1"/>
    <w:qFormat/>
    <w:uiPriority w:val="0"/>
    <w:pPr>
      <w:adjustRightInd w:val="0"/>
      <w:snapToGrid w:val="0"/>
      <w:spacing w:line="480" w:lineRule="atLeast"/>
      <w:ind w:firstLine="420"/>
    </w:pPr>
    <w:rPr>
      <w:sz w:val="28"/>
      <w:szCs w:val="20"/>
    </w:rPr>
  </w:style>
  <w:style w:type="table" w:customStyle="1" w:styleId="87">
    <w:name w:val="TableGrid"/>
    <w:qFormat/>
    <w:uiPriority w:val="0"/>
    <w:rPr>
      <w:rFonts w:ascii="等线" w:hAnsi="等线" w:eastAsia="等线"/>
    </w:rPr>
    <w:tblPr>
      <w:tblCellMar>
        <w:top w:w="0" w:type="dxa"/>
        <w:left w:w="0" w:type="dxa"/>
        <w:bottom w:w="0" w:type="dxa"/>
        <w:right w:w="0" w:type="dxa"/>
      </w:tblCellMar>
    </w:tblPr>
  </w:style>
  <w:style w:type="character" w:customStyle="1" w:styleId="88">
    <w:name w:val="font21"/>
    <w:basedOn w:val="36"/>
    <w:qFormat/>
    <w:uiPriority w:val="0"/>
    <w:rPr>
      <w:rFonts w:hint="default" w:ascii="Times New Roman" w:hAnsi="Times New Roman" w:cs="Times New Roman"/>
      <w:color w:val="000000"/>
      <w:sz w:val="21"/>
      <w:szCs w:val="21"/>
      <w:u w:val="none"/>
    </w:rPr>
  </w:style>
  <w:style w:type="character" w:customStyle="1" w:styleId="89">
    <w:name w:val="font41"/>
    <w:basedOn w:val="36"/>
    <w:qFormat/>
    <w:uiPriority w:val="0"/>
    <w:rPr>
      <w:rFonts w:hint="default" w:ascii="Times New Roman" w:hAnsi="Times New Roman" w:cs="Times New Roman"/>
      <w:color w:val="000000"/>
      <w:sz w:val="21"/>
      <w:szCs w:val="21"/>
      <w:u w:val="none"/>
      <w:vertAlign w:val="subscript"/>
    </w:rPr>
  </w:style>
  <w:style w:type="character" w:customStyle="1" w:styleId="90">
    <w:name w:val="font51"/>
    <w:basedOn w:val="36"/>
    <w:qFormat/>
    <w:uiPriority w:val="0"/>
    <w:rPr>
      <w:rFonts w:hint="default" w:ascii="Times New Roman" w:hAnsi="Times New Roman" w:cs="Times New Roman"/>
      <w:color w:val="000000"/>
      <w:sz w:val="18"/>
      <w:szCs w:val="18"/>
      <w:u w:val="none"/>
      <w:vertAlign w:val="superscript"/>
    </w:rPr>
  </w:style>
  <w:style w:type="character" w:customStyle="1" w:styleId="91">
    <w:name w:val="font61"/>
    <w:basedOn w:val="36"/>
    <w:qFormat/>
    <w:uiPriority w:val="0"/>
    <w:rPr>
      <w:rFonts w:hint="default" w:ascii="Times New Roman" w:hAnsi="Times New Roman" w:cs="Times New Roman"/>
      <w:color w:val="000000"/>
      <w:sz w:val="18"/>
      <w:szCs w:val="18"/>
      <w:u w:val="none"/>
      <w:vertAlign w:val="subscript"/>
    </w:rPr>
  </w:style>
  <w:style w:type="character" w:customStyle="1" w:styleId="92">
    <w:name w:val="font71"/>
    <w:basedOn w:val="36"/>
    <w:qFormat/>
    <w:uiPriority w:val="0"/>
    <w:rPr>
      <w:rFonts w:hint="eastAsia" w:ascii="宋体" w:hAnsi="宋体" w:eastAsia="宋体" w:cs="宋体"/>
      <w:color w:val="000000"/>
      <w:sz w:val="18"/>
      <w:szCs w:val="18"/>
      <w:u w:val="none"/>
      <w:vertAlign w:val="subscript"/>
    </w:rPr>
  </w:style>
  <w:style w:type="character" w:customStyle="1" w:styleId="93">
    <w:name w:val="font01"/>
    <w:basedOn w:val="36"/>
    <w:qFormat/>
    <w:uiPriority w:val="0"/>
    <w:rPr>
      <w:rFonts w:hint="eastAsia" w:ascii="宋体" w:hAnsi="宋体" w:eastAsia="宋体" w:cs="宋体"/>
      <w:color w:val="000000"/>
      <w:sz w:val="18"/>
      <w:szCs w:val="18"/>
      <w:u w:val="none"/>
    </w:rPr>
  </w:style>
  <w:style w:type="character" w:customStyle="1" w:styleId="94">
    <w:name w:val="font31"/>
    <w:basedOn w:val="36"/>
    <w:qFormat/>
    <w:uiPriority w:val="0"/>
    <w:rPr>
      <w:rFonts w:hint="default" w:ascii="Times New Roman" w:hAnsi="Times New Roman" w:cs="Times New Roman"/>
      <w:color w:val="000000"/>
      <w:sz w:val="18"/>
      <w:szCs w:val="18"/>
      <w:u w:val="none"/>
      <w:vertAlign w:val="superscript"/>
    </w:rPr>
  </w:style>
  <w:style w:type="character" w:customStyle="1" w:styleId="95">
    <w:name w:val="font81"/>
    <w:basedOn w:val="36"/>
    <w:qFormat/>
    <w:uiPriority w:val="0"/>
    <w:rPr>
      <w:rFonts w:hint="eastAsia" w:ascii="宋体" w:hAnsi="宋体" w:eastAsia="宋体" w:cs="宋体"/>
      <w:color w:val="000000"/>
      <w:sz w:val="18"/>
      <w:szCs w:val="18"/>
      <w:u w:val="none"/>
      <w:vertAlign w:val="subscript"/>
    </w:rPr>
  </w:style>
  <w:style w:type="character" w:customStyle="1" w:styleId="96">
    <w:name w:val="font11"/>
    <w:basedOn w:val="36"/>
    <w:qFormat/>
    <w:uiPriority w:val="0"/>
    <w:rPr>
      <w:rFonts w:hint="default" w:ascii="Times New Roman" w:hAnsi="Times New Roman" w:cs="Times New Roman"/>
      <w:color w:val="000000"/>
      <w:sz w:val="21"/>
      <w:szCs w:val="21"/>
      <w:u w:val="none"/>
    </w:rPr>
  </w:style>
  <w:style w:type="paragraph" w:customStyle="1" w:styleId="97">
    <w:name w:val="正文 New New"/>
    <w:qFormat/>
    <w:uiPriority w:val="0"/>
    <w:pPr>
      <w:widowControl w:val="0"/>
      <w:jc w:val="both"/>
    </w:pPr>
    <w:rPr>
      <w:rFonts w:ascii="Times New Roman" w:hAnsi="Times New Roman" w:eastAsia="Times New Roman" w:cs="Times New Roman"/>
      <w:kern w:val="2"/>
      <w:sz w:val="21"/>
      <w:szCs w:val="24"/>
      <w:lang w:val="en-US" w:eastAsia="zh-CN" w:bidi="ar-SA"/>
    </w:rPr>
  </w:style>
  <w:style w:type="character" w:customStyle="1" w:styleId="98">
    <w:name w:val="正文(首行缩进) Char"/>
    <w:link w:val="82"/>
    <w:qFormat/>
    <w:uiPriority w:val="0"/>
    <w:rPr>
      <w:snapToGrid w:val="0"/>
      <w:color w:val="000000"/>
      <w:kern w:val="0"/>
      <w:sz w:val="24"/>
    </w:rPr>
  </w:style>
  <w:style w:type="paragraph" w:customStyle="1" w:styleId="9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
    <w:name w:val="表格文字两端对齐"/>
    <w:basedOn w:val="1"/>
    <w:qFormat/>
    <w:uiPriority w:val="0"/>
    <w:pPr>
      <w:spacing w:line="300" w:lineRule="auto"/>
    </w:pPr>
  </w:style>
  <w:style w:type="paragraph" w:customStyle="1" w:styleId="101">
    <w:name w:val="BIG BOLD"/>
    <w:basedOn w:val="1"/>
    <w:qFormat/>
    <w:uiPriority w:val="0"/>
    <w:pPr>
      <w:tabs>
        <w:tab w:val="left" w:leader="underscore" w:pos="1134"/>
      </w:tabs>
    </w:pPr>
    <w:rPr>
      <w:szCs w:val="20"/>
    </w:rPr>
  </w:style>
  <w:style w:type="paragraph" w:customStyle="1" w:styleId="102">
    <w:name w:val="【表中文字】"/>
    <w:basedOn w:val="103"/>
    <w:qFormat/>
    <w:uiPriority w:val="0"/>
    <w:pPr>
      <w:widowControl w:val="0"/>
    </w:pPr>
    <w:rPr>
      <w:kern w:val="2"/>
    </w:rPr>
  </w:style>
  <w:style w:type="paragraph" w:customStyle="1" w:styleId="103">
    <w:name w:val="表中文字"/>
    <w:basedOn w:val="1"/>
    <w:qFormat/>
    <w:uiPriority w:val="0"/>
    <w:pPr>
      <w:widowControl/>
      <w:jc w:val="center"/>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microsoft.com/office/2006/relationships/keyMapCustomizations" Target="customizations.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emf"/><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wmf"/><Relationship Id="rId25" Type="http://schemas.openxmlformats.org/officeDocument/2006/relationships/image" Target="media/image9.wmf"/><Relationship Id="rId24" Type="http://schemas.openxmlformats.org/officeDocument/2006/relationships/image" Target="media/image8.wmf"/><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file:///C:\Users\ADMINI~1.USE\AppData\Local\Temp\&#20225;&#19994;&#24494;&#20449;&#25130;&#22270;_1645670857717.png" TargetMode="Externa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0"/>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AAB2A7-1714-41BB-BDD7-555C4F13678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171</Pages>
  <Words>103369</Words>
  <Characters>118651</Characters>
  <Lines>1978</Lines>
  <Paragraphs>557</Paragraphs>
  <TotalTime>5</TotalTime>
  <ScaleCrop>false</ScaleCrop>
  <LinksUpToDate>false</LinksUpToDate>
  <CharactersWithSpaces>119610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2021-11-04T01:07:00Z</dcterms:created>
  <dc:creator>lwj</dc:creator>
  <cp:lastModifiedBy>34928</cp:lastModifiedBy>
  <cp:lastPrinted>2022-03-07T08:10:00Z</cp:lastPrinted>
  <dcterms:modified xsi:type="dcterms:W3CDTF">2022-08-29T02:57:58Z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7F08F12AF09E4DC1B225FA539399191F</vt:lpwstr>
  </property>
</Properties>
</file>